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D4" w:rsidRPr="000A1BD4" w:rsidRDefault="000A1BD4" w:rsidP="000A1BD4">
      <w:pPr>
        <w:spacing w:after="0" w:line="240" w:lineRule="auto"/>
        <w:rPr>
          <w:rFonts w:ascii="Arial" w:eastAsia="Times New Roman" w:hAnsi="Arial"/>
          <w:b/>
          <w:sz w:val="18"/>
          <w:szCs w:val="18"/>
          <w:lang w:eastAsia="en-GB"/>
        </w:rPr>
      </w:pPr>
      <w:bookmarkStart w:id="0" w:name="_GoBack"/>
      <w:bookmarkEnd w:id="0"/>
      <w:r w:rsidRPr="000A1BD4">
        <w:rPr>
          <w:rFonts w:ascii="Arial" w:eastAsia="Times New Roman" w:hAnsi="Arial"/>
          <w:b/>
          <w:sz w:val="18"/>
          <w:szCs w:val="18"/>
          <w:lang w:eastAsia="en-GB"/>
        </w:rPr>
        <w:t>Engel and Simmel: Sharing Meals at Home in Cyprus</w:t>
      </w:r>
    </w:p>
    <w:p w:rsidR="000A1BD4" w:rsidRPr="000A1BD4" w:rsidRDefault="000A1BD4" w:rsidP="000A1BD4">
      <w:pPr>
        <w:spacing w:after="0" w:line="240" w:lineRule="auto"/>
        <w:rPr>
          <w:rFonts w:ascii="Arial" w:eastAsia="Times New Roman" w:hAnsi="Arial"/>
          <w:b/>
          <w:sz w:val="18"/>
          <w:szCs w:val="18"/>
          <w:lang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82227F">
      <w:pPr>
        <w:spacing w:after="0" w:line="240" w:lineRule="auto"/>
        <w:rPr>
          <w:rFonts w:ascii="Arial" w:eastAsia="Times New Roman" w:hAnsi="Arial"/>
          <w:sz w:val="18"/>
          <w:szCs w:val="18"/>
          <w:lang w:val="en-GB" w:eastAsia="en-GB"/>
        </w:rPr>
      </w:pPr>
      <w:r w:rsidRPr="000A1BD4">
        <w:rPr>
          <w:rFonts w:ascii="Arial" w:eastAsia="Times New Roman" w:hAnsi="Arial"/>
          <w:b/>
          <w:sz w:val="18"/>
          <w:szCs w:val="18"/>
          <w:lang w:val="en-GB" w:eastAsia="en-GB"/>
        </w:rPr>
        <w:t xml:space="preserve">Author Details </w:t>
      </w:r>
    </w:p>
    <w:p w:rsidR="000A1BD4" w:rsidRPr="000A1BD4" w:rsidRDefault="000A1BD4" w:rsidP="003D4FF9">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Author 1 Name: David</w:t>
      </w:r>
      <w:r w:rsidR="003D4FF9">
        <w:rPr>
          <w:rFonts w:ascii="Arial" w:eastAsia="Times New Roman" w:hAnsi="Arial"/>
          <w:sz w:val="18"/>
          <w:szCs w:val="18"/>
          <w:lang w:val="en-GB" w:eastAsia="en-GB"/>
        </w:rPr>
        <w:t xml:space="preserve"> Jacobson</w:t>
      </w:r>
      <w:r w:rsidRPr="000A1BD4">
        <w:rPr>
          <w:rFonts w:ascii="Arial" w:eastAsia="Times New Roman" w:hAnsi="Arial"/>
          <w:sz w:val="18"/>
          <w:szCs w:val="18"/>
          <w:lang w:val="en-GB" w:eastAsia="en-GB"/>
        </w:rPr>
        <w:t xml:space="preserve"> </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Department: DCU Business School</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University/Institution: Dublin City University</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Town/City: Dublin 9</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State (US only):</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Country: Ireland</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Author 2 Name: Caroline McMullan</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Department: DCU Business School</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University/Institution: Dublin City University</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Town/City: Dublin 9</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 xml:space="preserve">State (US only): </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Country: Ireland</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Author 3 Name: Christos Minas</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Department: SESA</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University/Institution: Frederick University</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 xml:space="preserve">Town/City: Nicosia </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State (US only):</w:t>
      </w: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Country: Cyprus</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 xml:space="preserve">Corresponding author: </w:t>
      </w:r>
      <w:r w:rsidRPr="000A1BD4">
        <w:rPr>
          <w:rFonts w:ascii="Arial" w:eastAsia="Times New Roman" w:hAnsi="Arial"/>
          <w:sz w:val="18"/>
          <w:szCs w:val="18"/>
          <w:lang w:val="en-GB" w:eastAsia="en-GB"/>
        </w:rPr>
        <w:t>David Jacobson</w:t>
      </w:r>
      <w:r w:rsidRPr="000A1BD4">
        <w:rPr>
          <w:rFonts w:ascii="Arial" w:eastAsia="Times New Roman" w:hAnsi="Arial"/>
          <w:b/>
          <w:sz w:val="18"/>
          <w:szCs w:val="18"/>
          <w:lang w:val="en-GB" w:eastAsia="en-GB"/>
        </w:rPr>
        <w:t xml:space="preserve"> </w:t>
      </w:r>
    </w:p>
    <w:p w:rsidR="000A1BD4" w:rsidRPr="000A1BD4" w:rsidRDefault="000A1BD4" w:rsidP="000A1BD4">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Corresponding Author’s Email: david.jacobson@dcu.ie</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82227F">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 xml:space="preserve">Biographical Details </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 xml:space="preserve">[Author 1 bio] David Jacobson is Emeritus Professor of Economics at Dublin City University. He has worked in research and teaching in Economics and International Political Economy, mainly at DCU but also in other universities in Britain, France, Cyprus, Japan, China, USA and Israel.  His has been publishing academic articles and books on economics and policy for many years.   </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[Author 2 bio] Dr Caroline McMullan is the Associate Dean for Teaching and Learning at DCU Business School where she specialises in Emergency, Crisis and Business Continuity Management.   Caroline’s teaching and research cover a broad spectrum of subjects including her key interests Building Resilient Organisations and Business Continuity Management.  At a national level, Caroline has contributed to the development of emergency management policy and was the architect of the first National Risk Register.</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r w:rsidRPr="000A1BD4">
        <w:rPr>
          <w:rFonts w:ascii="Arial" w:eastAsia="Times New Roman" w:hAnsi="Arial"/>
          <w:sz w:val="18"/>
          <w:szCs w:val="18"/>
          <w:lang w:val="en-GB" w:eastAsia="en-GB"/>
        </w:rPr>
        <w:t xml:space="preserve">[Author 3 bio] Christos Minas teaches at Frederick University, Nicosia, Cyprus. He has a BA (Hons) in Accounting and Finance from Manchester Metropolitan University, MSc in Accounting and Finance from De </w:t>
      </w:r>
      <w:proofErr w:type="spellStart"/>
      <w:r w:rsidRPr="000A1BD4">
        <w:rPr>
          <w:rFonts w:ascii="Arial" w:eastAsia="Times New Roman" w:hAnsi="Arial"/>
          <w:sz w:val="18"/>
          <w:szCs w:val="18"/>
          <w:lang w:val="en-GB" w:eastAsia="en-GB"/>
        </w:rPr>
        <w:t>Montford</w:t>
      </w:r>
      <w:proofErr w:type="spellEnd"/>
      <w:r w:rsidRPr="000A1BD4">
        <w:rPr>
          <w:rFonts w:ascii="Arial" w:eastAsia="Times New Roman" w:hAnsi="Arial"/>
          <w:sz w:val="18"/>
          <w:szCs w:val="18"/>
          <w:lang w:val="en-GB" w:eastAsia="en-GB"/>
        </w:rPr>
        <w:t xml:space="preserve"> University and PhD from Dublin City University. Dr Minas is also an Academic Member of the Association of International Accountants. His research interests are household expenditure patterns especially relating to food consumption and home acquisition, and welfare regimes affecting such patterns.</w:t>
      </w: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Structured Abstract:</w:t>
      </w: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82227F">
      <w:pPr>
        <w:spacing w:after="0" w:line="240" w:lineRule="auto"/>
        <w:rPr>
          <w:rFonts w:ascii="Arial" w:eastAsia="Times New Roman" w:hAnsi="Arial"/>
          <w:sz w:val="19"/>
          <w:szCs w:val="19"/>
          <w:lang w:val="en" w:eastAsia="en-GB"/>
        </w:rPr>
      </w:pPr>
      <w:r w:rsidRPr="000A1BD4">
        <w:rPr>
          <w:rFonts w:ascii="Arial" w:eastAsia="Times New Roman" w:hAnsi="Arial"/>
          <w:sz w:val="19"/>
          <w:szCs w:val="19"/>
          <w:lang w:val="en" w:eastAsia="en-GB"/>
        </w:rPr>
        <w:t>Purpose: The aim of the paper is to show the relationship between food as a shared good (</w:t>
      </w:r>
      <w:proofErr w:type="gramStart"/>
      <w:r w:rsidRPr="000A1BD4">
        <w:rPr>
          <w:rFonts w:ascii="Arial" w:eastAsia="Times New Roman" w:hAnsi="Arial"/>
          <w:sz w:val="19"/>
          <w:szCs w:val="19"/>
          <w:lang w:val="en" w:eastAsia="en-GB"/>
        </w:rPr>
        <w:t>or</w:t>
      </w:r>
      <w:proofErr w:type="gramEnd"/>
      <w:r w:rsidRPr="000A1BD4">
        <w:rPr>
          <w:rFonts w:ascii="Arial" w:eastAsia="Times New Roman" w:hAnsi="Arial"/>
          <w:sz w:val="19"/>
          <w:szCs w:val="19"/>
          <w:lang w:val="en" w:eastAsia="en-GB"/>
        </w:rPr>
        <w:t xml:space="preserve"> public within the household) in the economic sense, and food as a shared meal in the sociological sense.  </w:t>
      </w:r>
    </w:p>
    <w:p w:rsidR="000A1BD4" w:rsidRPr="000A1BD4" w:rsidRDefault="000A1BD4" w:rsidP="000A1BD4">
      <w:pPr>
        <w:spacing w:after="0" w:line="240" w:lineRule="auto"/>
        <w:rPr>
          <w:rFonts w:ascii="Arial" w:eastAsia="Times New Roman" w:hAnsi="Arial"/>
          <w:sz w:val="19"/>
          <w:szCs w:val="19"/>
          <w:lang w:val="en" w:eastAsia="en-GB"/>
        </w:rPr>
      </w:pPr>
      <w:r w:rsidRPr="000A1BD4">
        <w:rPr>
          <w:rFonts w:ascii="Arial" w:eastAsia="Times New Roman" w:hAnsi="Arial"/>
          <w:sz w:val="19"/>
          <w:szCs w:val="19"/>
          <w:lang w:val="en" w:eastAsia="en-GB"/>
        </w:rPr>
        <w:t xml:space="preserve">Design/methodology/approach (mandatory): Quantitative data derived from a household budget survey in Cyprus are used to set up questions to which answers are suggested using the qualitative approach of in-depth interviews. </w:t>
      </w:r>
    </w:p>
    <w:p w:rsidR="000A1BD4" w:rsidRPr="000A1BD4" w:rsidRDefault="000A1BD4" w:rsidP="0082227F">
      <w:pPr>
        <w:spacing w:after="0" w:line="240" w:lineRule="auto"/>
        <w:rPr>
          <w:rFonts w:ascii="Arial" w:eastAsia="Times New Roman" w:hAnsi="Arial"/>
          <w:sz w:val="19"/>
          <w:szCs w:val="19"/>
          <w:lang w:val="en" w:eastAsia="en-GB"/>
        </w:rPr>
      </w:pPr>
      <w:r w:rsidRPr="000A1BD4">
        <w:rPr>
          <w:rFonts w:ascii="Arial" w:eastAsia="Times New Roman" w:hAnsi="Arial"/>
          <w:sz w:val="19"/>
          <w:szCs w:val="19"/>
          <w:lang w:val="en" w:eastAsia="en-GB"/>
        </w:rPr>
        <w:t xml:space="preserve">Findings: The main finding is that the relatively high expenditure by elderly couples on food for home consumption may be explained by frequent inter-household, intra-extended family meals in Cyprus. </w:t>
      </w:r>
    </w:p>
    <w:p w:rsidR="000A1BD4" w:rsidRPr="000A1BD4" w:rsidRDefault="000A1BD4" w:rsidP="000A1BD4">
      <w:pPr>
        <w:spacing w:after="0" w:line="240" w:lineRule="auto"/>
        <w:rPr>
          <w:rFonts w:ascii="Arial" w:eastAsia="Times New Roman" w:hAnsi="Arial"/>
          <w:sz w:val="19"/>
          <w:szCs w:val="19"/>
          <w:lang w:val="en" w:eastAsia="en-GB"/>
        </w:rPr>
      </w:pPr>
      <w:r w:rsidRPr="000A1BD4">
        <w:rPr>
          <w:rFonts w:ascii="Arial" w:eastAsia="Times New Roman" w:hAnsi="Arial"/>
          <w:sz w:val="19"/>
          <w:szCs w:val="19"/>
          <w:lang w:val="en" w:eastAsia="en-GB"/>
        </w:rPr>
        <w:t xml:space="preserve">Research limitations/implications (if applicable): The paper provides evidence that household expenditure on food may not be directly indicative of household consumption of food.  Researchers interested in household consumption of food should therefore be aware of the differences between household and extended family and, where extended family continues to be significant, they should be wary of using data </w:t>
      </w:r>
      <w:r w:rsidRPr="000A1BD4">
        <w:rPr>
          <w:rFonts w:ascii="Arial" w:eastAsia="Times New Roman" w:hAnsi="Arial"/>
          <w:sz w:val="19"/>
          <w:szCs w:val="19"/>
          <w:lang w:val="en" w:eastAsia="en-GB"/>
        </w:rPr>
        <w:lastRenderedPageBreak/>
        <w:t xml:space="preserve">from household budget surveys to </w:t>
      </w:r>
      <w:proofErr w:type="spellStart"/>
      <w:r w:rsidRPr="000A1BD4">
        <w:rPr>
          <w:rFonts w:ascii="Arial" w:eastAsia="Times New Roman" w:hAnsi="Arial"/>
          <w:sz w:val="19"/>
          <w:szCs w:val="19"/>
          <w:lang w:val="en" w:eastAsia="en-GB"/>
        </w:rPr>
        <w:t>analyse</w:t>
      </w:r>
      <w:proofErr w:type="spellEnd"/>
      <w:r w:rsidRPr="000A1BD4">
        <w:rPr>
          <w:rFonts w:ascii="Arial" w:eastAsia="Times New Roman" w:hAnsi="Arial"/>
          <w:sz w:val="19"/>
          <w:szCs w:val="19"/>
          <w:lang w:val="en" w:eastAsia="en-GB"/>
        </w:rPr>
        <w:t xml:space="preserve"> food consumption. One limitation is that the results are derived from in-depth interviews with a purposive sample of nine households.  It may be appropriate to replicate the study, either in Cyprus or in similar societies where extended family remains significant, at a larger scale. </w:t>
      </w:r>
    </w:p>
    <w:p w:rsidR="000A1BD4" w:rsidRPr="000A1BD4" w:rsidRDefault="000A1BD4" w:rsidP="000A1BD4">
      <w:pPr>
        <w:spacing w:after="0" w:line="240" w:lineRule="auto"/>
        <w:rPr>
          <w:rFonts w:ascii="Arial" w:eastAsia="Times New Roman" w:hAnsi="Arial"/>
          <w:sz w:val="19"/>
          <w:szCs w:val="19"/>
          <w:lang w:val="en" w:eastAsia="en-GB"/>
        </w:rPr>
      </w:pPr>
      <w:r w:rsidRPr="000A1BD4">
        <w:rPr>
          <w:rFonts w:ascii="Arial" w:eastAsia="Times New Roman" w:hAnsi="Arial"/>
          <w:sz w:val="19"/>
          <w:szCs w:val="19"/>
          <w:lang w:val="en" w:eastAsia="en-GB"/>
        </w:rPr>
        <w:t xml:space="preserve">Practical implications (if applicable): The evidence that household expenditure may not be indicative of household consumption suggests that questions on consumption should be included in household budget surveys. </w:t>
      </w:r>
    </w:p>
    <w:p w:rsidR="000A1BD4" w:rsidRPr="000A1BD4" w:rsidRDefault="000A1BD4" w:rsidP="0082227F">
      <w:pPr>
        <w:spacing w:after="0" w:line="240" w:lineRule="auto"/>
        <w:rPr>
          <w:rFonts w:ascii="Arial" w:eastAsia="Times New Roman" w:hAnsi="Arial"/>
          <w:b/>
          <w:sz w:val="18"/>
          <w:szCs w:val="18"/>
          <w:lang w:val="en-GB" w:eastAsia="en-GB"/>
        </w:rPr>
      </w:pPr>
      <w:r w:rsidRPr="000A1BD4">
        <w:rPr>
          <w:rFonts w:ascii="Arial" w:eastAsia="Times New Roman" w:hAnsi="Arial"/>
          <w:sz w:val="19"/>
          <w:szCs w:val="19"/>
          <w:lang w:val="en" w:eastAsia="en-GB"/>
        </w:rPr>
        <w:t xml:space="preserve">Originality/value: This paper draws together, for the first time, economic ideas on expenditure on food derived from the quantitative research of Ernst Engel on one hand and implications of the theories of Georg Simmel on the sociology of the meal on the other.  The paper shows that some issues arising from quantitative analysis of household budget surveys cannot be explained using data from that source; this is particularly so where consumption of food is inter-household. </w:t>
      </w: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Keywords: Engel, Simmel, Cyprus, food, shared, extended family, household, Deaton-</w:t>
      </w:r>
      <w:proofErr w:type="spellStart"/>
      <w:r w:rsidRPr="000A1BD4">
        <w:rPr>
          <w:rFonts w:ascii="Arial" w:eastAsia="Times New Roman" w:hAnsi="Arial"/>
          <w:b/>
          <w:sz w:val="18"/>
          <w:szCs w:val="18"/>
          <w:lang w:val="en-GB" w:eastAsia="en-GB"/>
        </w:rPr>
        <w:t>Paxson</w:t>
      </w:r>
      <w:proofErr w:type="spellEnd"/>
      <w:r w:rsidRPr="000A1BD4">
        <w:rPr>
          <w:rFonts w:ascii="Arial" w:eastAsia="Times New Roman" w:hAnsi="Arial"/>
          <w:b/>
          <w:sz w:val="18"/>
          <w:szCs w:val="18"/>
          <w:lang w:val="en-GB" w:eastAsia="en-GB"/>
        </w:rPr>
        <w:t xml:space="preserve"> Paradox, meals, public, private.</w:t>
      </w: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r w:rsidRPr="000A1BD4">
        <w:rPr>
          <w:rFonts w:ascii="Arial" w:eastAsia="Times New Roman" w:hAnsi="Arial"/>
          <w:b/>
          <w:sz w:val="18"/>
          <w:szCs w:val="18"/>
          <w:lang w:val="en-GB" w:eastAsia="en-GB"/>
        </w:rPr>
        <w:t>Article Classification: Research Paper.</w:t>
      </w: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Pr="000A1BD4" w:rsidRDefault="000A1BD4" w:rsidP="000A1BD4">
      <w:pPr>
        <w:spacing w:after="0" w:line="240" w:lineRule="auto"/>
        <w:rPr>
          <w:rFonts w:ascii="Arial" w:eastAsia="Times New Roman" w:hAnsi="Arial"/>
          <w:b/>
          <w:sz w:val="18"/>
          <w:szCs w:val="18"/>
          <w:lang w:val="en-GB" w:eastAsia="en-GB"/>
        </w:rPr>
      </w:pPr>
    </w:p>
    <w:p w:rsidR="000A1BD4" w:rsidRDefault="000A1BD4">
      <w:pPr>
        <w:rPr>
          <w:b/>
          <w:sz w:val="28"/>
          <w:szCs w:val="28"/>
        </w:rPr>
      </w:pPr>
      <w:r>
        <w:rPr>
          <w:b/>
          <w:sz w:val="28"/>
          <w:szCs w:val="28"/>
        </w:rPr>
        <w:br w:type="page"/>
      </w:r>
    </w:p>
    <w:p w:rsidR="00125AFD" w:rsidRPr="00125AFD" w:rsidRDefault="00572258" w:rsidP="00572258">
      <w:pPr>
        <w:keepNext/>
        <w:keepLines/>
        <w:spacing w:after="0" w:line="360" w:lineRule="auto"/>
        <w:jc w:val="both"/>
        <w:rPr>
          <w:b/>
          <w:sz w:val="28"/>
          <w:szCs w:val="28"/>
        </w:rPr>
      </w:pPr>
      <w:r>
        <w:rPr>
          <w:b/>
          <w:sz w:val="28"/>
          <w:szCs w:val="28"/>
        </w:rPr>
        <w:lastRenderedPageBreak/>
        <w:t xml:space="preserve">Engel and Simmel: Sharing </w:t>
      </w:r>
      <w:r w:rsidR="00ED01F3">
        <w:rPr>
          <w:b/>
          <w:sz w:val="28"/>
          <w:szCs w:val="28"/>
        </w:rPr>
        <w:t>Meals at Home in Cyprus</w:t>
      </w:r>
    </w:p>
    <w:p w:rsidR="00125AFD" w:rsidRPr="00125AFD" w:rsidRDefault="00125AFD" w:rsidP="00125AFD">
      <w:pPr>
        <w:keepNext/>
        <w:keepLines/>
        <w:spacing w:after="0" w:line="360" w:lineRule="auto"/>
        <w:jc w:val="both"/>
        <w:rPr>
          <w:b/>
          <w:sz w:val="28"/>
          <w:szCs w:val="28"/>
        </w:rPr>
      </w:pPr>
    </w:p>
    <w:p w:rsidR="00125AFD" w:rsidRDefault="00125AFD" w:rsidP="009C5EEF">
      <w:pPr>
        <w:keepNext/>
        <w:keepLines/>
        <w:spacing w:after="0" w:line="360" w:lineRule="auto"/>
        <w:jc w:val="both"/>
        <w:rPr>
          <w:b/>
          <w:lang w:val="en-GB"/>
        </w:rPr>
      </w:pPr>
    </w:p>
    <w:p w:rsidR="001A62DA" w:rsidRPr="001A62DA" w:rsidRDefault="008C2072" w:rsidP="009C5EEF">
      <w:pPr>
        <w:keepNext/>
        <w:keepLines/>
        <w:spacing w:after="0" w:line="360" w:lineRule="auto"/>
        <w:jc w:val="both"/>
        <w:rPr>
          <w:b/>
          <w:lang w:val="en-GB"/>
        </w:rPr>
      </w:pPr>
      <w:r>
        <w:rPr>
          <w:b/>
          <w:lang w:val="en-GB"/>
        </w:rPr>
        <w:t xml:space="preserve">1 </w:t>
      </w:r>
      <w:r w:rsidR="001A62DA" w:rsidRPr="001A62DA">
        <w:rPr>
          <w:b/>
          <w:lang w:val="en-GB"/>
        </w:rPr>
        <w:t>Introduction</w:t>
      </w:r>
    </w:p>
    <w:p w:rsidR="00817364" w:rsidRDefault="00817364" w:rsidP="00491670">
      <w:pPr>
        <w:keepNext/>
        <w:keepLines/>
        <w:spacing w:after="0" w:line="360" w:lineRule="auto"/>
        <w:jc w:val="both"/>
        <w:rPr>
          <w:bCs/>
        </w:rPr>
      </w:pPr>
    </w:p>
    <w:p w:rsidR="003C61AC" w:rsidRDefault="00FB0B40" w:rsidP="00D77CF1">
      <w:pPr>
        <w:keepNext/>
        <w:keepLines/>
        <w:spacing w:after="0" w:line="360" w:lineRule="auto"/>
        <w:jc w:val="both"/>
        <w:rPr>
          <w:bCs/>
        </w:rPr>
      </w:pPr>
      <w:r>
        <w:rPr>
          <w:bCs/>
        </w:rPr>
        <w:t>A</w:t>
      </w:r>
      <w:r w:rsidR="004E0E02">
        <w:rPr>
          <w:bCs/>
        </w:rPr>
        <w:t>mong writers whose work in the 19</w:t>
      </w:r>
      <w:r w:rsidR="004E0E02" w:rsidRPr="004E0E02">
        <w:rPr>
          <w:bCs/>
          <w:vertAlign w:val="superscript"/>
        </w:rPr>
        <w:t>th</w:t>
      </w:r>
      <w:r w:rsidR="004E0E02">
        <w:rPr>
          <w:bCs/>
        </w:rPr>
        <w:t xml:space="preserve"> and early 20</w:t>
      </w:r>
      <w:r w:rsidR="004E0E02" w:rsidRPr="004E0E02">
        <w:rPr>
          <w:bCs/>
          <w:vertAlign w:val="superscript"/>
        </w:rPr>
        <w:t>th</w:t>
      </w:r>
      <w:r w:rsidR="004E0E02">
        <w:rPr>
          <w:bCs/>
        </w:rPr>
        <w:t xml:space="preserve"> centuries can be considered to be seminal</w:t>
      </w:r>
      <w:r>
        <w:rPr>
          <w:bCs/>
        </w:rPr>
        <w:t xml:space="preserve"> to research on expenditure on and consumption of food</w:t>
      </w:r>
      <w:r w:rsidR="004E0E02">
        <w:rPr>
          <w:bCs/>
        </w:rPr>
        <w:t xml:space="preserve">, </w:t>
      </w:r>
      <w:r w:rsidR="00E957BB">
        <w:rPr>
          <w:bCs/>
        </w:rPr>
        <w:t xml:space="preserve">Ernst </w:t>
      </w:r>
      <w:r w:rsidR="004E0E02">
        <w:rPr>
          <w:bCs/>
        </w:rPr>
        <w:t>Engel (</w:t>
      </w:r>
      <w:r w:rsidR="00E957BB">
        <w:rPr>
          <w:bCs/>
        </w:rPr>
        <w:t>1821-1896</w:t>
      </w:r>
      <w:r w:rsidR="004E0E02">
        <w:rPr>
          <w:bCs/>
        </w:rPr>
        <w:t xml:space="preserve">) and </w:t>
      </w:r>
      <w:r w:rsidR="00E957BB">
        <w:rPr>
          <w:bCs/>
        </w:rPr>
        <w:t xml:space="preserve">Georg </w:t>
      </w:r>
      <w:r w:rsidR="004E0E02">
        <w:rPr>
          <w:bCs/>
        </w:rPr>
        <w:t xml:space="preserve">Simmel </w:t>
      </w:r>
      <w:r w:rsidR="00E957BB">
        <w:rPr>
          <w:bCs/>
        </w:rPr>
        <w:t>(1858-1918)</w:t>
      </w:r>
      <w:r>
        <w:rPr>
          <w:bCs/>
        </w:rPr>
        <w:t xml:space="preserve"> are to the forefront</w:t>
      </w:r>
      <w:r w:rsidR="004E0E02">
        <w:rPr>
          <w:bCs/>
        </w:rPr>
        <w:t xml:space="preserve">.  Engel’s </w:t>
      </w:r>
      <w:r w:rsidR="000D4B94">
        <w:rPr>
          <w:bCs/>
        </w:rPr>
        <w:t xml:space="preserve">(1895) </w:t>
      </w:r>
      <w:r w:rsidR="004E0E02">
        <w:rPr>
          <w:bCs/>
        </w:rPr>
        <w:t xml:space="preserve">work has contributed to and been developed mainly by economists, for example through </w:t>
      </w:r>
      <w:r w:rsidR="008957EE">
        <w:rPr>
          <w:bCs/>
        </w:rPr>
        <w:t xml:space="preserve">such </w:t>
      </w:r>
      <w:r w:rsidR="004E0E02">
        <w:rPr>
          <w:bCs/>
        </w:rPr>
        <w:t>idea</w:t>
      </w:r>
      <w:r w:rsidR="007A1FD8">
        <w:rPr>
          <w:bCs/>
        </w:rPr>
        <w:t>s</w:t>
      </w:r>
      <w:r w:rsidR="004E0E02">
        <w:rPr>
          <w:bCs/>
        </w:rPr>
        <w:t xml:space="preserve"> </w:t>
      </w:r>
      <w:r w:rsidR="008957EE">
        <w:rPr>
          <w:bCs/>
        </w:rPr>
        <w:t>as</w:t>
      </w:r>
      <w:r w:rsidR="004E0E02">
        <w:rPr>
          <w:bCs/>
        </w:rPr>
        <w:t xml:space="preserve"> </w:t>
      </w:r>
      <w:r w:rsidR="007A1FD8">
        <w:rPr>
          <w:bCs/>
        </w:rPr>
        <w:t>“inferior goods”</w:t>
      </w:r>
      <w:r w:rsidR="008A48A6">
        <w:rPr>
          <w:bCs/>
        </w:rPr>
        <w:t xml:space="preserve"> and “Engel curves”</w:t>
      </w:r>
      <w:r w:rsidR="007A1FD8">
        <w:rPr>
          <w:bCs/>
        </w:rPr>
        <w:t xml:space="preserve">.  </w:t>
      </w:r>
      <w:r w:rsidR="00466B22">
        <w:rPr>
          <w:bCs/>
        </w:rPr>
        <w:t>His basic finding was that, out of additional income, a declining proportion is spent on food</w:t>
      </w:r>
      <w:r w:rsidR="00D77CF1">
        <w:rPr>
          <w:rStyle w:val="EndnoteReference"/>
          <w:bCs/>
        </w:rPr>
        <w:endnoteReference w:id="1"/>
      </w:r>
      <w:r w:rsidR="00466B22">
        <w:rPr>
          <w:bCs/>
        </w:rPr>
        <w:t xml:space="preserve">.  </w:t>
      </w:r>
      <w:r w:rsidR="007A1FD8">
        <w:rPr>
          <w:bCs/>
        </w:rPr>
        <w:t>T</w:t>
      </w:r>
      <w:r w:rsidR="00F43DCC">
        <w:rPr>
          <w:bCs/>
        </w:rPr>
        <w:t>here are many papers</w:t>
      </w:r>
      <w:r w:rsidR="003F51D8">
        <w:rPr>
          <w:bCs/>
        </w:rPr>
        <w:t xml:space="preserve"> using </w:t>
      </w:r>
      <w:r w:rsidR="00D03DED">
        <w:rPr>
          <w:bCs/>
        </w:rPr>
        <w:t xml:space="preserve">ideas derived from </w:t>
      </w:r>
      <w:r w:rsidR="003F51D8">
        <w:rPr>
          <w:bCs/>
        </w:rPr>
        <w:t xml:space="preserve">Engel's </w:t>
      </w:r>
      <w:r w:rsidR="00D03DED">
        <w:rPr>
          <w:bCs/>
        </w:rPr>
        <w:t>work</w:t>
      </w:r>
      <w:r w:rsidR="003F51D8">
        <w:rPr>
          <w:bCs/>
        </w:rPr>
        <w:t>,</w:t>
      </w:r>
      <w:r w:rsidR="00466B22">
        <w:rPr>
          <w:bCs/>
        </w:rPr>
        <w:t xml:space="preserve"> including </w:t>
      </w:r>
      <w:r w:rsidR="003F51D8">
        <w:rPr>
          <w:bCs/>
        </w:rPr>
        <w:t xml:space="preserve">a sophisticated econometric study of expenditure on food at home in Germany published in </w:t>
      </w:r>
      <w:r w:rsidR="00C53CDE">
        <w:rPr>
          <w:bCs/>
        </w:rPr>
        <w:t xml:space="preserve">the </w:t>
      </w:r>
      <w:r w:rsidR="00466B22">
        <w:rPr>
          <w:bCs/>
          <w:i/>
          <w:iCs/>
        </w:rPr>
        <w:t xml:space="preserve">British Food Journal </w:t>
      </w:r>
      <w:r w:rsidR="003F51D8">
        <w:rPr>
          <w:bCs/>
        </w:rPr>
        <w:t>(</w:t>
      </w:r>
      <w:proofErr w:type="spellStart"/>
      <w:r w:rsidR="003F51D8">
        <w:rPr>
          <w:bCs/>
        </w:rPr>
        <w:t>Burzig</w:t>
      </w:r>
      <w:proofErr w:type="spellEnd"/>
      <w:r w:rsidR="003F51D8">
        <w:rPr>
          <w:bCs/>
        </w:rPr>
        <w:t xml:space="preserve"> and Herrmann, 2012) </w:t>
      </w:r>
      <w:r w:rsidR="00466B22">
        <w:rPr>
          <w:bCs/>
        </w:rPr>
        <w:t xml:space="preserve">and </w:t>
      </w:r>
      <w:r w:rsidR="003F51D8">
        <w:rPr>
          <w:bCs/>
        </w:rPr>
        <w:t xml:space="preserve">a household budget survey (HBS)-based study of expenditure on food in Cyprus published in the </w:t>
      </w:r>
      <w:r w:rsidR="003F51D8">
        <w:rPr>
          <w:bCs/>
          <w:i/>
          <w:iCs/>
        </w:rPr>
        <w:t>Journal of European Social Policy</w:t>
      </w:r>
      <w:r w:rsidR="00464065">
        <w:rPr>
          <w:bCs/>
          <w:i/>
          <w:iCs/>
        </w:rPr>
        <w:t xml:space="preserve"> </w:t>
      </w:r>
      <w:r w:rsidR="00464065">
        <w:rPr>
          <w:bCs/>
        </w:rPr>
        <w:t xml:space="preserve">(Jacobson </w:t>
      </w:r>
      <w:r w:rsidR="00464065">
        <w:rPr>
          <w:bCs/>
          <w:i/>
          <w:iCs/>
        </w:rPr>
        <w:t>et al</w:t>
      </w:r>
      <w:r w:rsidR="00464065">
        <w:rPr>
          <w:bCs/>
        </w:rPr>
        <w:t>., 2010)</w:t>
      </w:r>
      <w:r w:rsidR="003C61AC">
        <w:rPr>
          <w:bCs/>
        </w:rPr>
        <w:t xml:space="preserve">.    </w:t>
      </w:r>
    </w:p>
    <w:p w:rsidR="003C61AC" w:rsidRDefault="003C61AC" w:rsidP="00AE7E34">
      <w:pPr>
        <w:keepNext/>
        <w:keepLines/>
        <w:spacing w:after="0" w:line="360" w:lineRule="auto"/>
        <w:jc w:val="both"/>
        <w:rPr>
          <w:bCs/>
        </w:rPr>
      </w:pPr>
    </w:p>
    <w:p w:rsidR="001B3488" w:rsidRDefault="003C61AC" w:rsidP="002C3B0C">
      <w:pPr>
        <w:keepNext/>
        <w:keepLines/>
        <w:spacing w:after="0" w:line="360" w:lineRule="auto"/>
        <w:jc w:val="both"/>
        <w:rPr>
          <w:bCs/>
          <w:lang w:val="en-GB"/>
        </w:rPr>
      </w:pPr>
      <w:r>
        <w:rPr>
          <w:bCs/>
        </w:rPr>
        <w:t>Simmel’s work is more familiar to, and referenced by, sociologists.  Among his papers of most relevance in the context of food research is “The Sociology of the Meal” (1998), first published in German in 1910. Simmel considered the development of the meal into a time for sharing food as reflecting the evolution from “primitive” to more “cultivated” social existence (though he noted that the physical act of eating of course remains individual)</w:t>
      </w:r>
      <w:r w:rsidR="00D77CF1">
        <w:rPr>
          <w:rStyle w:val="EndnoteReference"/>
          <w:bCs/>
        </w:rPr>
        <w:endnoteReference w:id="2"/>
      </w:r>
      <w:r>
        <w:rPr>
          <w:bCs/>
        </w:rPr>
        <w:t xml:space="preserve">. Like Engel, Simmel will also be familiar to readers of </w:t>
      </w:r>
      <w:r>
        <w:rPr>
          <w:bCs/>
          <w:i/>
          <w:iCs/>
        </w:rPr>
        <w:t>British Food Journal</w:t>
      </w:r>
      <w:r>
        <w:rPr>
          <w:bCs/>
        </w:rPr>
        <w:t>.</w:t>
      </w:r>
      <w:r>
        <w:rPr>
          <w:bCs/>
          <w:i/>
          <w:iCs/>
        </w:rPr>
        <w:t xml:space="preserve"> </w:t>
      </w:r>
      <w:r>
        <w:rPr>
          <w:bCs/>
        </w:rPr>
        <w:t xml:space="preserve">The </w:t>
      </w:r>
      <w:proofErr w:type="spellStart"/>
      <w:r>
        <w:rPr>
          <w:bCs/>
        </w:rPr>
        <w:t>Simmellian</w:t>
      </w:r>
      <w:proofErr w:type="spellEnd"/>
      <w:r>
        <w:rPr>
          <w:bCs/>
        </w:rPr>
        <w:t xml:space="preserve"> idea that there are both social and physical elements to eating is used by Brown </w:t>
      </w:r>
      <w:r w:rsidRPr="00FD0918">
        <w:rPr>
          <w:bCs/>
          <w:i/>
          <w:iCs/>
        </w:rPr>
        <w:t>et al</w:t>
      </w:r>
      <w:r>
        <w:rPr>
          <w:bCs/>
        </w:rPr>
        <w:t>. (2013) in their study of the lunchtime meal among students in Britain.  The “socialisation of the meal” (Simmel, 1998, p.132) may in some ways have been reversed in recent times</w:t>
      </w:r>
      <w:proofErr w:type="gramStart"/>
      <w:r>
        <w:rPr>
          <w:bCs/>
        </w:rPr>
        <w:t xml:space="preserve">;  </w:t>
      </w:r>
      <w:proofErr w:type="spellStart"/>
      <w:r>
        <w:rPr>
          <w:bCs/>
        </w:rPr>
        <w:t>Warde</w:t>
      </w:r>
      <w:proofErr w:type="spellEnd"/>
      <w:proofErr w:type="gramEnd"/>
      <w:r>
        <w:rPr>
          <w:bCs/>
        </w:rPr>
        <w:t xml:space="preserve"> (1999) for example writes of the </w:t>
      </w:r>
      <w:r w:rsidRPr="00AE7E34">
        <w:rPr>
          <w:bCs/>
          <w:lang w:val="en-GB"/>
        </w:rPr>
        <w:t xml:space="preserve">increasing absence of routine </w:t>
      </w:r>
      <w:r>
        <w:rPr>
          <w:bCs/>
          <w:lang w:val="en-GB"/>
        </w:rPr>
        <w:t xml:space="preserve">in Western eating habits that </w:t>
      </w:r>
      <w:r w:rsidRPr="00AE7E34">
        <w:rPr>
          <w:bCs/>
          <w:lang w:val="en-GB"/>
        </w:rPr>
        <w:t>makes it less and less likely that the household will eat together</w:t>
      </w:r>
      <w:r>
        <w:rPr>
          <w:bCs/>
          <w:lang w:val="en-GB"/>
        </w:rPr>
        <w:t xml:space="preserve">. </w:t>
      </w:r>
    </w:p>
    <w:p w:rsidR="001B3488" w:rsidRDefault="001B3488" w:rsidP="00F17AB4">
      <w:pPr>
        <w:keepNext/>
        <w:keepLines/>
        <w:spacing w:after="0" w:line="360" w:lineRule="auto"/>
        <w:jc w:val="both"/>
        <w:rPr>
          <w:bCs/>
          <w:lang w:val="en-GB"/>
        </w:rPr>
      </w:pPr>
    </w:p>
    <w:p w:rsidR="00C40D19" w:rsidRDefault="008220B0" w:rsidP="00D03DED">
      <w:pPr>
        <w:keepNext/>
        <w:keepLines/>
        <w:spacing w:after="0" w:line="360" w:lineRule="auto"/>
        <w:jc w:val="both"/>
        <w:rPr>
          <w:bCs/>
          <w:lang w:val="en-GB"/>
        </w:rPr>
      </w:pPr>
      <w:r>
        <w:rPr>
          <w:bCs/>
          <w:lang w:val="en-GB"/>
        </w:rPr>
        <w:t xml:space="preserve">Given the importance to research on food of these two writers, it is of interest to consider an area of overlap between them and that is what this paper sets out to do.  Much of the work inspired by Engel is quantitative, </w:t>
      </w:r>
      <w:r w:rsidR="00D03DED">
        <w:rPr>
          <w:bCs/>
          <w:lang w:val="en-GB"/>
        </w:rPr>
        <w:t xml:space="preserve">often </w:t>
      </w:r>
      <w:r>
        <w:rPr>
          <w:bCs/>
          <w:lang w:val="en-GB"/>
        </w:rPr>
        <w:t xml:space="preserve">using as its </w:t>
      </w:r>
      <w:r w:rsidR="00C53CDE">
        <w:rPr>
          <w:bCs/>
          <w:lang w:val="en-GB"/>
        </w:rPr>
        <w:t xml:space="preserve">data </w:t>
      </w:r>
      <w:r>
        <w:rPr>
          <w:bCs/>
          <w:lang w:val="en-GB"/>
        </w:rPr>
        <w:t xml:space="preserve">source HBSs as undertaken in most developed and many less developed countries.  </w:t>
      </w:r>
      <w:r w:rsidR="00316C15">
        <w:rPr>
          <w:bCs/>
          <w:lang w:val="en-GB"/>
        </w:rPr>
        <w:t>In the present paper a puzzle emerging from a HBS in Cyprus is identified and some possible explanations associated with Engel are considered.  A more sociological explanation, associated with Simmel, is then posited – arising from primary qualitative research – as more likely.</w:t>
      </w:r>
      <w:r w:rsidR="0048099E">
        <w:rPr>
          <w:bCs/>
          <w:lang w:val="en-GB"/>
        </w:rPr>
        <w:t xml:space="preserve">  </w:t>
      </w:r>
    </w:p>
    <w:p w:rsidR="00AE7E34" w:rsidRDefault="00AE7E34" w:rsidP="00AE7E34">
      <w:pPr>
        <w:keepNext/>
        <w:keepLines/>
        <w:spacing w:after="0" w:line="360" w:lineRule="auto"/>
        <w:jc w:val="both"/>
        <w:rPr>
          <w:bCs/>
          <w:lang w:val="en-GB"/>
        </w:rPr>
      </w:pPr>
    </w:p>
    <w:p w:rsidR="009C5EEF" w:rsidRDefault="008468DF" w:rsidP="005C3159">
      <w:pPr>
        <w:keepNext/>
        <w:keepLines/>
        <w:spacing w:after="0" w:line="360" w:lineRule="auto"/>
        <w:jc w:val="both"/>
        <w:rPr>
          <w:bCs/>
        </w:rPr>
      </w:pPr>
      <w:r>
        <w:rPr>
          <w:bCs/>
        </w:rPr>
        <w:lastRenderedPageBreak/>
        <w:t xml:space="preserve">Household budget surveys measure the expenditure of households based on the assumption that all the consumer products purchased by a household are consumed by that household.  Where families are </w:t>
      </w:r>
      <w:proofErr w:type="gramStart"/>
      <w:r>
        <w:rPr>
          <w:bCs/>
        </w:rPr>
        <w:t>to</w:t>
      </w:r>
      <w:r w:rsidR="001A62DA">
        <w:rPr>
          <w:bCs/>
        </w:rPr>
        <w:t xml:space="preserve"> </w:t>
      </w:r>
      <w:r>
        <w:rPr>
          <w:bCs/>
        </w:rPr>
        <w:t>a</w:t>
      </w:r>
      <w:proofErr w:type="gramEnd"/>
      <w:r>
        <w:rPr>
          <w:bCs/>
        </w:rPr>
        <w:t xml:space="preserve"> great</w:t>
      </w:r>
      <w:r w:rsidR="00CA57A5">
        <w:rPr>
          <w:bCs/>
        </w:rPr>
        <w:t>er</w:t>
      </w:r>
      <w:r>
        <w:rPr>
          <w:bCs/>
        </w:rPr>
        <w:t xml:space="preserve"> extent extended families, with different generations living in different households but </w:t>
      </w:r>
      <w:r w:rsidR="00CA57A5">
        <w:rPr>
          <w:bCs/>
        </w:rPr>
        <w:t>in other ways</w:t>
      </w:r>
      <w:r>
        <w:rPr>
          <w:bCs/>
        </w:rPr>
        <w:t xml:space="preserve"> continuing to live as </w:t>
      </w:r>
      <w:r w:rsidR="00CA57A5">
        <w:rPr>
          <w:bCs/>
        </w:rPr>
        <w:t>one</w:t>
      </w:r>
      <w:r>
        <w:rPr>
          <w:bCs/>
        </w:rPr>
        <w:t xml:space="preserve"> extended family unit, then </w:t>
      </w:r>
      <w:r w:rsidR="00CA57A5">
        <w:rPr>
          <w:bCs/>
        </w:rPr>
        <w:t xml:space="preserve">some </w:t>
      </w:r>
      <w:r>
        <w:rPr>
          <w:bCs/>
        </w:rPr>
        <w:t xml:space="preserve">consumption is inter-household and </w:t>
      </w:r>
      <w:r w:rsidR="009E627A">
        <w:rPr>
          <w:bCs/>
        </w:rPr>
        <w:t>HBS</w:t>
      </w:r>
      <w:r>
        <w:rPr>
          <w:bCs/>
        </w:rPr>
        <w:t xml:space="preserve">s may not be an accurate measure of consumption behaviour. </w:t>
      </w:r>
      <w:r w:rsidR="009E627A">
        <w:rPr>
          <w:bCs/>
        </w:rPr>
        <w:t>This paper provides evidence of this from Cyprus</w:t>
      </w:r>
      <w:r w:rsidR="003B6769">
        <w:rPr>
          <w:bCs/>
        </w:rPr>
        <w:t>, suggesting</w:t>
      </w:r>
      <w:r w:rsidR="009E627A">
        <w:rPr>
          <w:bCs/>
        </w:rPr>
        <w:t xml:space="preserve"> that </w:t>
      </w:r>
      <w:r w:rsidR="003B6769">
        <w:rPr>
          <w:bCs/>
        </w:rPr>
        <w:t xml:space="preserve">using the HBS to show Engel-type relationships between </w:t>
      </w:r>
      <w:r w:rsidR="009E627A">
        <w:rPr>
          <w:bCs/>
        </w:rPr>
        <w:t>income and expenditure</w:t>
      </w:r>
      <w:r w:rsidR="003B6769">
        <w:rPr>
          <w:bCs/>
        </w:rPr>
        <w:t xml:space="preserve"> may be inappropriate. Using </w:t>
      </w:r>
      <w:r w:rsidR="00E23E3E">
        <w:rPr>
          <w:bCs/>
        </w:rPr>
        <w:t xml:space="preserve">evidence from </w:t>
      </w:r>
      <w:r w:rsidR="003B6769">
        <w:rPr>
          <w:bCs/>
        </w:rPr>
        <w:t xml:space="preserve">in-depth interviews the paper suggests that food consumption behaviour of families may be more related to culture than to income.  </w:t>
      </w:r>
      <w:r w:rsidR="002C3B0C">
        <w:rPr>
          <w:bCs/>
        </w:rPr>
        <w:t xml:space="preserve">To be more precise, the Engel-type approach provides evidence that the expenditure on food by older couples is relatively high, but does not provide an explanation for this finding.  </w:t>
      </w:r>
      <w:r w:rsidR="002C3B0C">
        <w:rPr>
          <w:bCs/>
          <w:lang w:val="en-GB"/>
        </w:rPr>
        <w:t xml:space="preserve">The </w:t>
      </w:r>
      <w:proofErr w:type="spellStart"/>
      <w:r w:rsidR="002C3B0C">
        <w:rPr>
          <w:bCs/>
          <w:lang w:val="en-GB"/>
        </w:rPr>
        <w:t>Simmel</w:t>
      </w:r>
      <w:r w:rsidR="00A420A2">
        <w:rPr>
          <w:bCs/>
          <w:lang w:val="en-GB"/>
        </w:rPr>
        <w:t>l</w:t>
      </w:r>
      <w:r w:rsidR="002C3B0C">
        <w:rPr>
          <w:bCs/>
          <w:lang w:val="en-GB"/>
        </w:rPr>
        <w:t>ian</w:t>
      </w:r>
      <w:proofErr w:type="spellEnd"/>
      <w:r w:rsidR="002C3B0C">
        <w:rPr>
          <w:bCs/>
          <w:lang w:val="en-GB"/>
        </w:rPr>
        <w:t xml:space="preserve"> question at the heart of the paper is then, whether</w:t>
      </w:r>
      <w:r w:rsidR="00A25D8B">
        <w:rPr>
          <w:bCs/>
          <w:lang w:val="en-GB"/>
        </w:rPr>
        <w:t xml:space="preserve"> </w:t>
      </w:r>
      <w:r w:rsidR="00796DCC">
        <w:rPr>
          <w:bCs/>
          <w:lang w:val="en-GB"/>
        </w:rPr>
        <w:t xml:space="preserve">this relatively high expenditure on food by older couple households is related to </w:t>
      </w:r>
      <w:r w:rsidR="00A25D8B">
        <w:rPr>
          <w:bCs/>
          <w:lang w:val="en-GB"/>
        </w:rPr>
        <w:t>extended-</w:t>
      </w:r>
      <w:r w:rsidR="002C3B0C">
        <w:rPr>
          <w:bCs/>
          <w:lang w:val="en-GB"/>
        </w:rPr>
        <w:t>family, inter-household meals in Cyprus</w:t>
      </w:r>
      <w:r w:rsidR="00796DCC">
        <w:rPr>
          <w:bCs/>
          <w:lang w:val="en-GB"/>
        </w:rPr>
        <w:t xml:space="preserve">. </w:t>
      </w:r>
      <w:r w:rsidR="001A62DA">
        <w:rPr>
          <w:bCs/>
        </w:rPr>
        <w:t xml:space="preserve">The paper is structured with a </w:t>
      </w:r>
      <w:r w:rsidR="00433583">
        <w:rPr>
          <w:bCs/>
        </w:rPr>
        <w:t xml:space="preserve">brief methodology section following this introduction; next there is a </w:t>
      </w:r>
      <w:r w:rsidR="001A62DA">
        <w:rPr>
          <w:bCs/>
        </w:rPr>
        <w:t>literature review</w:t>
      </w:r>
      <w:r w:rsidR="00806E44">
        <w:rPr>
          <w:bCs/>
        </w:rPr>
        <w:t xml:space="preserve"> in w</w:t>
      </w:r>
      <w:r w:rsidR="00D03DED">
        <w:rPr>
          <w:bCs/>
        </w:rPr>
        <w:t>hich the question from the Cypr</w:t>
      </w:r>
      <w:r w:rsidR="00806E44">
        <w:rPr>
          <w:bCs/>
        </w:rPr>
        <w:t>us HBS is raised and explained.  In the fourth section possible explanations are considered;</w:t>
      </w:r>
      <w:r w:rsidR="001A62DA">
        <w:rPr>
          <w:bCs/>
        </w:rPr>
        <w:t xml:space="preserve"> </w:t>
      </w:r>
      <w:r w:rsidR="00806E44">
        <w:rPr>
          <w:bCs/>
        </w:rPr>
        <w:t xml:space="preserve">this is </w:t>
      </w:r>
      <w:r w:rsidR="001A62DA">
        <w:rPr>
          <w:bCs/>
        </w:rPr>
        <w:t xml:space="preserve">followed by </w:t>
      </w:r>
      <w:r w:rsidR="00806E44">
        <w:rPr>
          <w:bCs/>
        </w:rPr>
        <w:t xml:space="preserve">a presentation of some of the information from the interviews; the final section offers </w:t>
      </w:r>
      <w:r w:rsidR="001A62DA">
        <w:rPr>
          <w:bCs/>
        </w:rPr>
        <w:t xml:space="preserve">results, discussion and conclusion. </w:t>
      </w:r>
    </w:p>
    <w:p w:rsidR="001A62DA" w:rsidRDefault="001A62DA" w:rsidP="001A62DA">
      <w:pPr>
        <w:keepNext/>
        <w:keepLines/>
        <w:spacing w:after="0" w:line="360" w:lineRule="auto"/>
        <w:jc w:val="both"/>
        <w:rPr>
          <w:bCs/>
        </w:rPr>
      </w:pPr>
    </w:p>
    <w:p w:rsidR="005F2905" w:rsidRPr="00F15755" w:rsidRDefault="005F2905" w:rsidP="005F2905">
      <w:pPr>
        <w:keepNext/>
        <w:keepLines/>
        <w:widowControl w:val="0"/>
        <w:spacing w:after="0" w:line="360" w:lineRule="auto"/>
        <w:jc w:val="both"/>
        <w:rPr>
          <w:b/>
          <w:lang w:val="en-GB"/>
        </w:rPr>
      </w:pPr>
      <w:r w:rsidRPr="00F15755">
        <w:rPr>
          <w:b/>
          <w:lang w:val="en-GB"/>
        </w:rPr>
        <w:t xml:space="preserve">2 </w:t>
      </w:r>
      <w:proofErr w:type="gramStart"/>
      <w:r w:rsidRPr="00F15755">
        <w:rPr>
          <w:b/>
          <w:lang w:val="en-GB"/>
        </w:rPr>
        <w:t>Methodology</w:t>
      </w:r>
      <w:proofErr w:type="gramEnd"/>
    </w:p>
    <w:p w:rsidR="005F2905" w:rsidRPr="00D76A65" w:rsidRDefault="005F2905" w:rsidP="00D03DED">
      <w:pPr>
        <w:keepNext/>
        <w:keepLines/>
        <w:widowControl w:val="0"/>
        <w:spacing w:after="0" w:line="360" w:lineRule="auto"/>
        <w:jc w:val="both"/>
      </w:pPr>
      <w:r w:rsidRPr="00514F72">
        <w:rPr>
          <w:lang w:val="en-GB"/>
        </w:rPr>
        <w:t xml:space="preserve">This paper </w:t>
      </w:r>
      <w:r w:rsidR="00746B5E">
        <w:rPr>
          <w:lang w:val="en-GB"/>
        </w:rPr>
        <w:t>draws</w:t>
      </w:r>
      <w:r w:rsidRPr="00514F72">
        <w:rPr>
          <w:lang w:val="en-GB"/>
        </w:rPr>
        <w:t xml:space="preserve"> on data from a household budget survey reported on in Jacobson </w:t>
      </w:r>
      <w:r w:rsidR="00FD0918" w:rsidRPr="00FD0918">
        <w:rPr>
          <w:i/>
          <w:iCs/>
          <w:lang w:val="en-GB"/>
        </w:rPr>
        <w:t>et al</w:t>
      </w:r>
      <w:r w:rsidRPr="00514F72">
        <w:rPr>
          <w:lang w:val="en-GB"/>
        </w:rPr>
        <w:t>. (2010)</w:t>
      </w:r>
      <w:r w:rsidR="003D7F6F">
        <w:rPr>
          <w:lang w:val="en-GB"/>
        </w:rPr>
        <w:t xml:space="preserve"> and on interviews with nine households r</w:t>
      </w:r>
      <w:r w:rsidR="00B159BD">
        <w:rPr>
          <w:lang w:val="en-GB"/>
        </w:rPr>
        <w:t xml:space="preserve">eported on in Minas </w:t>
      </w:r>
      <w:r w:rsidR="00FD0918" w:rsidRPr="00FD0918">
        <w:rPr>
          <w:i/>
          <w:iCs/>
          <w:lang w:val="en-GB"/>
        </w:rPr>
        <w:t>et al</w:t>
      </w:r>
      <w:r w:rsidR="00B159BD">
        <w:rPr>
          <w:lang w:val="en-GB"/>
        </w:rPr>
        <w:t>. (2013</w:t>
      </w:r>
      <w:r w:rsidR="0003229E">
        <w:rPr>
          <w:lang w:val="en-GB"/>
        </w:rPr>
        <w:t>a</w:t>
      </w:r>
      <w:r w:rsidR="003D7F6F">
        <w:rPr>
          <w:lang w:val="en-GB"/>
        </w:rPr>
        <w:t>)</w:t>
      </w:r>
      <w:r w:rsidRPr="00514F72">
        <w:rPr>
          <w:lang w:val="en-GB"/>
        </w:rPr>
        <w:t xml:space="preserve">. </w:t>
      </w:r>
      <w:r w:rsidR="00D03DED">
        <w:t>HBS</w:t>
      </w:r>
      <w:r>
        <w:t xml:space="preserve"> d</w:t>
      </w:r>
      <w:r w:rsidRPr="00D76A65">
        <w:t>ata were collected on 625 households, the addresses of which were obtained, as a random sample, from the Cyprus Phone Directory. A household comprises “one or more persons (related or not) who live together and share principal meals, in the sense that the household's food supply is obtained out of a common budget, and have common arrangements for supplying basic living needs” (</w:t>
      </w:r>
      <w:r w:rsidRPr="00FD0918">
        <w:t>DSR, 1999</w:t>
      </w:r>
      <w:r w:rsidRPr="00D76A65">
        <w:t>, p.31).</w:t>
      </w:r>
    </w:p>
    <w:p w:rsidR="005F2905" w:rsidRDefault="005F2905" w:rsidP="005F2905">
      <w:pPr>
        <w:keepNext/>
        <w:keepLines/>
        <w:widowControl w:val="0"/>
        <w:spacing w:after="0" w:line="360" w:lineRule="auto"/>
        <w:jc w:val="both"/>
      </w:pPr>
    </w:p>
    <w:p w:rsidR="005F2905" w:rsidRDefault="005F2905" w:rsidP="00727CD1">
      <w:pPr>
        <w:keepNext/>
        <w:keepLines/>
        <w:widowControl w:val="0"/>
        <w:spacing w:after="0" w:line="360" w:lineRule="auto"/>
        <w:jc w:val="both"/>
      </w:pPr>
      <w:r w:rsidRPr="00D76A65">
        <w:t>The rate of response was very high at over 80</w:t>
      </w:r>
      <w:r w:rsidR="00727CD1">
        <w:t xml:space="preserve"> per cent</w:t>
      </w:r>
      <w:r w:rsidRPr="00D76A65">
        <w:t>. The high response rates are attributable to the commitment of the</w:t>
      </w:r>
      <w:r>
        <w:t xml:space="preserve"> trained</w:t>
      </w:r>
      <w:r w:rsidRPr="00D76A65">
        <w:t xml:space="preserve"> interviewers, all drawn from Frederick Institute of Technology undergraduates in the final year of their studies, and to the readiness of Cyprus households to participate in a survey conducted by a respected institution after they were clearly informed about the survey's purpose and objectives and after being guaranteed confidentiality.</w:t>
      </w:r>
    </w:p>
    <w:p w:rsidR="005F2905" w:rsidRPr="00D76A65" w:rsidRDefault="005F2905" w:rsidP="005F2905">
      <w:pPr>
        <w:keepNext/>
        <w:keepLines/>
        <w:widowControl w:val="0"/>
        <w:spacing w:after="0" w:line="360" w:lineRule="auto"/>
        <w:jc w:val="both"/>
      </w:pPr>
    </w:p>
    <w:p w:rsidR="003D7F6F" w:rsidRDefault="005F2905" w:rsidP="002C3E9B">
      <w:pPr>
        <w:keepNext/>
        <w:keepLines/>
        <w:widowControl w:val="0"/>
        <w:spacing w:after="0" w:line="360" w:lineRule="auto"/>
        <w:jc w:val="both"/>
        <w:rPr>
          <w:lang w:val="en-GB"/>
        </w:rPr>
      </w:pPr>
      <w:r w:rsidRPr="00D76A65">
        <w:lastRenderedPageBreak/>
        <w:t xml:space="preserve">It might be argued that the use of the telephone directory as a sample frame leads to a non-representative sample because those without telephones are omitted. However, household </w:t>
      </w:r>
      <w:r w:rsidR="002C3E9B">
        <w:t xml:space="preserve">landline </w:t>
      </w:r>
      <w:r w:rsidRPr="00D76A65">
        <w:t xml:space="preserve">penetration </w:t>
      </w:r>
      <w:r w:rsidR="00BD3831">
        <w:t>at the time of the survey (2004) was</w:t>
      </w:r>
      <w:r w:rsidRPr="00D76A65">
        <w:t xml:space="preserve"> very high</w:t>
      </w:r>
      <w:r w:rsidR="00AA5757">
        <w:t>, over 90 per cent</w:t>
      </w:r>
      <w:r w:rsidRPr="00D76A65">
        <w:t xml:space="preserve"> in Cyprus, exceeding that of France and comparable to that of Germany (</w:t>
      </w:r>
      <w:r w:rsidRPr="00A60CBE">
        <w:t>Enterprise Ireland, 2007</w:t>
      </w:r>
      <w:r w:rsidRPr="00D76A65">
        <w:t>) thus any sample frame error is minimal.</w:t>
      </w:r>
      <w:r w:rsidR="003D7F6F">
        <w:t xml:space="preserve"> </w:t>
      </w:r>
    </w:p>
    <w:p w:rsidR="005F2905" w:rsidRDefault="005F2905" w:rsidP="005F2905">
      <w:pPr>
        <w:keepNext/>
        <w:keepLines/>
        <w:widowControl w:val="0"/>
        <w:spacing w:after="0" w:line="360" w:lineRule="auto"/>
        <w:jc w:val="both"/>
        <w:rPr>
          <w:lang w:val="en-GB"/>
        </w:rPr>
      </w:pPr>
    </w:p>
    <w:p w:rsidR="003C61AC" w:rsidRDefault="003D7F6F" w:rsidP="003C61AC">
      <w:pPr>
        <w:keepNext/>
        <w:keepLines/>
        <w:spacing w:after="0" w:line="360" w:lineRule="auto"/>
        <w:jc w:val="both"/>
        <w:rPr>
          <w:bCs/>
          <w:lang w:val="en-GB"/>
        </w:rPr>
      </w:pPr>
      <w:r>
        <w:rPr>
          <w:bCs/>
        </w:rPr>
        <w:t xml:space="preserve">As concerns the interviews, </w:t>
      </w:r>
      <w:r w:rsidR="00B159BD">
        <w:rPr>
          <w:bCs/>
        </w:rPr>
        <w:t xml:space="preserve">the methodology </w:t>
      </w:r>
      <w:r w:rsidR="00EF2DA7">
        <w:rPr>
          <w:bCs/>
        </w:rPr>
        <w:t xml:space="preserve">is qualitative; nine households (or cases) </w:t>
      </w:r>
      <w:r w:rsidR="00093028">
        <w:rPr>
          <w:bCs/>
        </w:rPr>
        <w:t>were</w:t>
      </w:r>
      <w:r w:rsidR="00EF2DA7">
        <w:rPr>
          <w:bCs/>
        </w:rPr>
        <w:t xml:space="preserve"> chosen</w:t>
      </w:r>
      <w:r w:rsidR="00BD3831">
        <w:rPr>
          <w:bCs/>
        </w:rPr>
        <w:t>, using purposive sampling,</w:t>
      </w:r>
      <w:r w:rsidR="00EF2DA7">
        <w:rPr>
          <w:bCs/>
        </w:rPr>
        <w:t xml:space="preserve"> for in-depth study.  As argued by </w:t>
      </w:r>
      <w:proofErr w:type="spellStart"/>
      <w:r w:rsidR="00EF2DA7">
        <w:rPr>
          <w:bCs/>
        </w:rPr>
        <w:t>Flyvberg</w:t>
      </w:r>
      <w:proofErr w:type="spellEnd"/>
      <w:r w:rsidR="00EF2DA7">
        <w:rPr>
          <w:bCs/>
        </w:rPr>
        <w:t xml:space="preserve"> (2006), t</w:t>
      </w:r>
      <w:r w:rsidR="00EF2DA7" w:rsidRPr="00EF2DA7">
        <w:rPr>
          <w:bCs/>
          <w:lang w:val="en-GB"/>
        </w:rPr>
        <w:t>he paradoxes and anomalies arising from quantitative research can sometimes be resolved by the greater d</w:t>
      </w:r>
      <w:r w:rsidR="00EF2DA7">
        <w:rPr>
          <w:bCs/>
          <w:lang w:val="en-GB"/>
        </w:rPr>
        <w:t xml:space="preserve">epth achieved from case studies. </w:t>
      </w:r>
      <w:r w:rsidR="00BD3831">
        <w:rPr>
          <w:bCs/>
          <w:lang w:val="en-GB"/>
        </w:rPr>
        <w:t>N</w:t>
      </w:r>
      <w:r w:rsidR="00EF2DA7">
        <w:rPr>
          <w:bCs/>
          <w:lang w:val="en-GB"/>
        </w:rPr>
        <w:t xml:space="preserve">ine salient characteristics </w:t>
      </w:r>
      <w:r w:rsidR="00BD3831">
        <w:rPr>
          <w:bCs/>
          <w:lang w:val="en-GB"/>
        </w:rPr>
        <w:t xml:space="preserve">were </w:t>
      </w:r>
      <w:r w:rsidR="00EF2DA7">
        <w:rPr>
          <w:bCs/>
          <w:lang w:val="en-GB"/>
        </w:rPr>
        <w:t>identified (</w:t>
      </w:r>
      <w:r w:rsidR="00BD3831" w:rsidRPr="00BD3831">
        <w:rPr>
          <w:bCs/>
          <w:lang w:val="en-GB"/>
        </w:rPr>
        <w:t>single person household; single parent household; a two parent family with children; household where the mother participates in the labour force; household where the mother does not participate in the labour force; a low income household; a high income household; a rural household; an urban household</w:t>
      </w:r>
      <w:r w:rsidR="00EF2DA7">
        <w:rPr>
          <w:bCs/>
          <w:lang w:val="en-GB"/>
        </w:rPr>
        <w:t>) and a household was selected to reflect each of these.</w:t>
      </w:r>
      <w:r w:rsidR="00BD3831">
        <w:rPr>
          <w:bCs/>
          <w:lang w:val="en-GB"/>
        </w:rPr>
        <w:t xml:space="preserve"> The households used were drawn from those surveyed in the HBS.  </w:t>
      </w:r>
    </w:p>
    <w:p w:rsidR="003C61AC" w:rsidRDefault="003C61AC" w:rsidP="003C61AC">
      <w:pPr>
        <w:keepNext/>
        <w:keepLines/>
        <w:spacing w:after="0" w:line="360" w:lineRule="auto"/>
        <w:jc w:val="both"/>
        <w:rPr>
          <w:bCs/>
          <w:lang w:val="en-GB"/>
        </w:rPr>
      </w:pPr>
    </w:p>
    <w:p w:rsidR="00473C47" w:rsidRPr="00473C47" w:rsidRDefault="003C61AC" w:rsidP="002314DA">
      <w:pPr>
        <w:keepNext/>
        <w:keepLines/>
        <w:spacing w:after="0" w:line="360" w:lineRule="auto"/>
        <w:jc w:val="both"/>
        <w:rPr>
          <w:bCs/>
          <w:lang w:val="en-GB"/>
        </w:rPr>
      </w:pPr>
      <w:r>
        <w:rPr>
          <w:bCs/>
          <w:lang w:val="en-GB"/>
        </w:rPr>
        <w:t xml:space="preserve">The research questions were derived from the literature review and the previous research of the authors.  </w:t>
      </w:r>
      <w:r w:rsidRPr="003C61AC">
        <w:rPr>
          <w:bCs/>
          <w:lang w:val="en-GB"/>
        </w:rPr>
        <w:t xml:space="preserve">Semi-structured interviews were </w:t>
      </w:r>
      <w:r>
        <w:rPr>
          <w:bCs/>
          <w:lang w:val="en-GB"/>
        </w:rPr>
        <w:t xml:space="preserve">then </w:t>
      </w:r>
      <w:r w:rsidRPr="003C61AC">
        <w:rPr>
          <w:bCs/>
          <w:lang w:val="en-GB"/>
        </w:rPr>
        <w:t>used to collect the data required to answer the</w:t>
      </w:r>
      <w:r>
        <w:rPr>
          <w:bCs/>
          <w:lang w:val="en-GB"/>
        </w:rPr>
        <w:t>se</w:t>
      </w:r>
      <w:r w:rsidRPr="003C61AC">
        <w:rPr>
          <w:bCs/>
          <w:lang w:val="en-GB"/>
        </w:rPr>
        <w:t xml:space="preserve"> questions.  The interviews were recorded, transcribed and translated into English. </w:t>
      </w:r>
      <w:r>
        <w:rPr>
          <w:bCs/>
          <w:lang w:val="en-GB"/>
        </w:rPr>
        <w:t>A simple coding system</w:t>
      </w:r>
      <w:r w:rsidR="00E93EE4">
        <w:rPr>
          <w:bCs/>
          <w:lang w:val="en-GB"/>
        </w:rPr>
        <w:t xml:space="preserve"> was used to cluster the key issues in the interview data </w:t>
      </w:r>
      <w:r w:rsidRPr="003C61AC">
        <w:rPr>
          <w:bCs/>
          <w:lang w:val="en-GB"/>
        </w:rPr>
        <w:t>(Bell, 2005).</w:t>
      </w:r>
      <w:r w:rsidR="004A098D">
        <w:rPr>
          <w:bCs/>
          <w:lang w:val="en-GB"/>
        </w:rPr>
        <w:t xml:space="preserve"> </w:t>
      </w:r>
      <w:r w:rsidR="00473C47" w:rsidRPr="00473C47">
        <w:rPr>
          <w:bCs/>
          <w:lang w:val="en-GB"/>
        </w:rPr>
        <w:t xml:space="preserve">The issues were derived from questions arising in previous research (Jacobson </w:t>
      </w:r>
      <w:r w:rsidR="00473C47" w:rsidRPr="00B87921">
        <w:rPr>
          <w:bCs/>
          <w:i/>
          <w:iCs/>
          <w:lang w:val="en-GB"/>
        </w:rPr>
        <w:t>et al</w:t>
      </w:r>
      <w:r w:rsidR="00473C47">
        <w:rPr>
          <w:bCs/>
          <w:lang w:val="en-GB"/>
        </w:rPr>
        <w:t>., 2010). Given the focus on how meals were actually taken</w:t>
      </w:r>
      <w:r w:rsidR="002314DA">
        <w:rPr>
          <w:bCs/>
          <w:lang w:val="en-GB"/>
        </w:rPr>
        <w:t xml:space="preserve">, a different symbol was used for each of the main possibilities in Cyprus, namely at home, in pubs and cafes, in restaurants, and at the homes of parents or parents-in-law. Thus any mention in an interview of one of those ways of consuming food was flagged with its particular symbol. This facilitated the construction of Table 2 and the discussion in Section 6. </w:t>
      </w:r>
    </w:p>
    <w:p w:rsidR="00E62FD3" w:rsidRDefault="00E62FD3" w:rsidP="00473C47">
      <w:pPr>
        <w:keepNext/>
        <w:keepLines/>
        <w:spacing w:after="0" w:line="360" w:lineRule="auto"/>
        <w:jc w:val="both"/>
        <w:rPr>
          <w:bCs/>
          <w:lang w:val="en-GB"/>
        </w:rPr>
      </w:pPr>
    </w:p>
    <w:p w:rsidR="00093028" w:rsidRPr="003D7F6F" w:rsidRDefault="00093028" w:rsidP="00093028">
      <w:pPr>
        <w:keepNext/>
        <w:keepLines/>
        <w:spacing w:after="0" w:line="360" w:lineRule="auto"/>
        <w:jc w:val="both"/>
        <w:rPr>
          <w:bCs/>
        </w:rPr>
      </w:pPr>
    </w:p>
    <w:p w:rsidR="001A62DA" w:rsidRDefault="00433583" w:rsidP="001A62DA">
      <w:pPr>
        <w:keepNext/>
        <w:keepLines/>
        <w:spacing w:after="0" w:line="360" w:lineRule="auto"/>
        <w:jc w:val="both"/>
        <w:rPr>
          <w:b/>
        </w:rPr>
      </w:pPr>
      <w:r>
        <w:rPr>
          <w:b/>
        </w:rPr>
        <w:t>3</w:t>
      </w:r>
      <w:r w:rsidR="008C2072">
        <w:rPr>
          <w:b/>
        </w:rPr>
        <w:t xml:space="preserve"> </w:t>
      </w:r>
      <w:r w:rsidR="001A62DA">
        <w:rPr>
          <w:b/>
        </w:rPr>
        <w:t>Literature Review</w:t>
      </w:r>
      <w:r w:rsidR="00A420A2">
        <w:rPr>
          <w:b/>
        </w:rPr>
        <w:t>: HBS and Food</w:t>
      </w:r>
    </w:p>
    <w:p w:rsidR="00071668" w:rsidRDefault="008C2072" w:rsidP="002C3E9B">
      <w:pPr>
        <w:keepNext/>
        <w:keepLines/>
        <w:spacing w:after="0" w:line="360" w:lineRule="auto"/>
        <w:jc w:val="both"/>
        <w:rPr>
          <w:bCs/>
          <w:lang w:val="en-GB"/>
        </w:rPr>
      </w:pPr>
      <w:r>
        <w:rPr>
          <w:bCs/>
        </w:rPr>
        <w:t xml:space="preserve">Among the vast literature on, </w:t>
      </w:r>
      <w:r w:rsidR="00093028">
        <w:rPr>
          <w:bCs/>
        </w:rPr>
        <w:t>and using, HBSs</w:t>
      </w:r>
      <w:r w:rsidR="0018365A">
        <w:rPr>
          <w:bCs/>
        </w:rPr>
        <w:t xml:space="preserve"> </w:t>
      </w:r>
      <w:r>
        <w:rPr>
          <w:bCs/>
        </w:rPr>
        <w:t>is a recent debate on household size and food consumption (</w:t>
      </w:r>
      <w:proofErr w:type="spellStart"/>
      <w:r w:rsidR="0018365A" w:rsidRPr="0018365A">
        <w:rPr>
          <w:bCs/>
          <w:lang w:val="en-GB"/>
        </w:rPr>
        <w:t>Lanjouw</w:t>
      </w:r>
      <w:proofErr w:type="spellEnd"/>
      <w:r w:rsidR="0018365A" w:rsidRPr="0018365A">
        <w:rPr>
          <w:bCs/>
          <w:lang w:val="en-GB"/>
        </w:rPr>
        <w:t xml:space="preserve"> and </w:t>
      </w:r>
      <w:proofErr w:type="spellStart"/>
      <w:r w:rsidR="0018365A" w:rsidRPr="0018365A">
        <w:rPr>
          <w:bCs/>
          <w:lang w:val="en-GB"/>
        </w:rPr>
        <w:t>Revallion</w:t>
      </w:r>
      <w:proofErr w:type="spellEnd"/>
      <w:r w:rsidR="0018365A">
        <w:rPr>
          <w:bCs/>
          <w:lang w:val="en-GB"/>
        </w:rPr>
        <w:t>,</w:t>
      </w:r>
      <w:r w:rsidR="0018365A" w:rsidRPr="0018365A">
        <w:rPr>
          <w:bCs/>
          <w:lang w:val="en-GB"/>
        </w:rPr>
        <w:t xml:space="preserve"> 1995</w:t>
      </w:r>
      <w:r w:rsidR="0018365A">
        <w:rPr>
          <w:bCs/>
          <w:lang w:val="en-GB"/>
        </w:rPr>
        <w:t xml:space="preserve">; Deaton and </w:t>
      </w:r>
      <w:proofErr w:type="spellStart"/>
      <w:r w:rsidR="0018365A">
        <w:rPr>
          <w:bCs/>
          <w:lang w:val="en-GB"/>
        </w:rPr>
        <w:t>Paxson</w:t>
      </w:r>
      <w:proofErr w:type="spellEnd"/>
      <w:r w:rsidR="0018365A">
        <w:rPr>
          <w:bCs/>
          <w:lang w:val="en-GB"/>
        </w:rPr>
        <w:t xml:space="preserve">, </w:t>
      </w:r>
      <w:r w:rsidR="0018365A" w:rsidRPr="0018365A">
        <w:rPr>
          <w:bCs/>
          <w:lang w:val="en-GB"/>
        </w:rPr>
        <w:t>1998</w:t>
      </w:r>
      <w:r w:rsidR="0018365A">
        <w:rPr>
          <w:bCs/>
          <w:lang w:val="en-GB"/>
        </w:rPr>
        <w:t xml:space="preserve">; </w:t>
      </w:r>
      <w:r w:rsidR="0018365A" w:rsidRPr="0018365A">
        <w:rPr>
          <w:bCs/>
        </w:rPr>
        <w:t>Horowitz</w:t>
      </w:r>
      <w:r w:rsidR="0018365A">
        <w:rPr>
          <w:bCs/>
        </w:rPr>
        <w:t>,</w:t>
      </w:r>
      <w:r w:rsidR="0018365A" w:rsidRPr="0018365A">
        <w:rPr>
          <w:bCs/>
        </w:rPr>
        <w:t xml:space="preserve"> </w:t>
      </w:r>
      <w:r w:rsidR="0018365A">
        <w:rPr>
          <w:bCs/>
        </w:rPr>
        <w:t xml:space="preserve">2002; </w:t>
      </w:r>
      <w:proofErr w:type="spellStart"/>
      <w:r w:rsidR="0018365A">
        <w:rPr>
          <w:bCs/>
        </w:rPr>
        <w:t>Gan</w:t>
      </w:r>
      <w:proofErr w:type="spellEnd"/>
      <w:r w:rsidR="0018365A">
        <w:rPr>
          <w:bCs/>
        </w:rPr>
        <w:t xml:space="preserve"> and Vernon, 2003; </w:t>
      </w:r>
      <w:proofErr w:type="spellStart"/>
      <w:r w:rsidR="0018365A">
        <w:rPr>
          <w:bCs/>
        </w:rPr>
        <w:t>Perali</w:t>
      </w:r>
      <w:proofErr w:type="spellEnd"/>
      <w:r w:rsidR="0018365A">
        <w:rPr>
          <w:bCs/>
        </w:rPr>
        <w:t>, 2008</w:t>
      </w:r>
      <w:r w:rsidR="0018365A" w:rsidRPr="0018365A">
        <w:rPr>
          <w:bCs/>
          <w:lang w:val="en-GB"/>
        </w:rPr>
        <w:t>)</w:t>
      </w:r>
      <w:r w:rsidR="0018365A">
        <w:rPr>
          <w:bCs/>
          <w:lang w:val="en-GB"/>
        </w:rPr>
        <w:t xml:space="preserve">.  These references </w:t>
      </w:r>
      <w:r w:rsidR="005669A2">
        <w:rPr>
          <w:bCs/>
          <w:lang w:val="en-GB"/>
        </w:rPr>
        <w:t>constitute</w:t>
      </w:r>
      <w:r w:rsidR="0018365A">
        <w:rPr>
          <w:bCs/>
          <w:lang w:val="en-GB"/>
        </w:rPr>
        <w:t xml:space="preserve"> only a selection from this small sub-set of papers using HBSs.  </w:t>
      </w:r>
      <w:r w:rsidR="002C3E9B">
        <w:rPr>
          <w:bCs/>
          <w:lang w:val="en-GB"/>
        </w:rPr>
        <w:t>This particular debate focused on</w:t>
      </w:r>
      <w:r w:rsidR="00C4213A">
        <w:rPr>
          <w:bCs/>
          <w:lang w:val="en-GB"/>
        </w:rPr>
        <w:t xml:space="preserve"> what became known as the “Deat</w:t>
      </w:r>
      <w:r w:rsidR="00EB3CAF">
        <w:rPr>
          <w:bCs/>
          <w:lang w:val="en-GB"/>
        </w:rPr>
        <w:t>on-</w:t>
      </w:r>
      <w:proofErr w:type="spellStart"/>
      <w:r w:rsidR="00EB3CAF">
        <w:rPr>
          <w:bCs/>
          <w:lang w:val="en-GB"/>
        </w:rPr>
        <w:t>Paxson</w:t>
      </w:r>
      <w:proofErr w:type="spellEnd"/>
      <w:r w:rsidR="00EB3CAF">
        <w:rPr>
          <w:bCs/>
          <w:lang w:val="en-GB"/>
        </w:rPr>
        <w:t xml:space="preserve"> paradox”. </w:t>
      </w:r>
    </w:p>
    <w:p w:rsidR="00071668" w:rsidRDefault="00071668" w:rsidP="005669A2">
      <w:pPr>
        <w:keepNext/>
        <w:keepLines/>
        <w:spacing w:after="0" w:line="360" w:lineRule="auto"/>
        <w:jc w:val="both"/>
        <w:rPr>
          <w:bCs/>
          <w:lang w:val="en-GB"/>
        </w:rPr>
      </w:pPr>
    </w:p>
    <w:p w:rsidR="00EB3CAF" w:rsidRDefault="00071668" w:rsidP="000C5ADA">
      <w:pPr>
        <w:keepNext/>
        <w:keepLines/>
        <w:spacing w:after="0" w:line="360" w:lineRule="auto"/>
        <w:jc w:val="both"/>
        <w:rPr>
          <w:bCs/>
          <w:lang w:val="en-GB"/>
        </w:rPr>
      </w:pPr>
      <w:proofErr w:type="spellStart"/>
      <w:r>
        <w:rPr>
          <w:bCs/>
          <w:lang w:val="en-GB"/>
        </w:rPr>
        <w:lastRenderedPageBreak/>
        <w:t>Lanjouw</w:t>
      </w:r>
      <w:proofErr w:type="spellEnd"/>
      <w:r>
        <w:rPr>
          <w:bCs/>
          <w:lang w:val="en-GB"/>
        </w:rPr>
        <w:t xml:space="preserve"> and </w:t>
      </w:r>
      <w:proofErr w:type="spellStart"/>
      <w:r>
        <w:rPr>
          <w:bCs/>
          <w:lang w:val="en-GB"/>
        </w:rPr>
        <w:t>Revallion</w:t>
      </w:r>
      <w:proofErr w:type="spellEnd"/>
      <w:r>
        <w:rPr>
          <w:bCs/>
          <w:lang w:val="en-GB"/>
        </w:rPr>
        <w:t xml:space="preserve"> (1995), in addressing the relationship between household size and </w:t>
      </w:r>
      <w:r w:rsidR="00FF16C5">
        <w:rPr>
          <w:bCs/>
          <w:lang w:val="en-GB"/>
        </w:rPr>
        <w:t xml:space="preserve">poverty, consider among other things, </w:t>
      </w:r>
      <w:r>
        <w:rPr>
          <w:bCs/>
          <w:lang w:val="en-GB"/>
        </w:rPr>
        <w:t>food consumption</w:t>
      </w:r>
      <w:r w:rsidR="00FF16C5">
        <w:rPr>
          <w:bCs/>
          <w:lang w:val="en-GB"/>
        </w:rPr>
        <w:t xml:space="preserve">.  They conclude that </w:t>
      </w:r>
      <w:r w:rsidR="00FF16C5" w:rsidRPr="00FF16C5">
        <w:rPr>
          <w:bCs/>
          <w:lang w:val="en-GB"/>
        </w:rPr>
        <w:t>“the relationship between poverty and household size should be interpreted with considerable caution” (</w:t>
      </w:r>
      <w:proofErr w:type="spellStart"/>
      <w:r w:rsidR="00FF16C5" w:rsidRPr="00FF16C5">
        <w:rPr>
          <w:bCs/>
          <w:lang w:val="en-GB"/>
        </w:rPr>
        <w:t>Lanjouw</w:t>
      </w:r>
      <w:proofErr w:type="spellEnd"/>
      <w:r w:rsidR="00FF16C5" w:rsidRPr="00FF16C5">
        <w:rPr>
          <w:bCs/>
          <w:lang w:val="en-GB"/>
        </w:rPr>
        <w:t xml:space="preserve"> and </w:t>
      </w:r>
      <w:proofErr w:type="spellStart"/>
      <w:r w:rsidR="00FF16C5" w:rsidRPr="00FF16C5">
        <w:rPr>
          <w:bCs/>
          <w:lang w:val="en-GB"/>
        </w:rPr>
        <w:t>Ravallion</w:t>
      </w:r>
      <w:proofErr w:type="spellEnd"/>
      <w:r w:rsidR="00FF16C5" w:rsidRPr="00FF16C5">
        <w:rPr>
          <w:bCs/>
          <w:lang w:val="en-GB"/>
        </w:rPr>
        <w:t>, (1995, p.1432)</w:t>
      </w:r>
      <w:r w:rsidR="00FF16C5">
        <w:rPr>
          <w:bCs/>
          <w:lang w:val="en-GB"/>
        </w:rPr>
        <w:t xml:space="preserve">. Deaton and </w:t>
      </w:r>
      <w:proofErr w:type="spellStart"/>
      <w:r w:rsidR="00FF16C5">
        <w:rPr>
          <w:bCs/>
          <w:lang w:val="en-GB"/>
        </w:rPr>
        <w:t>Paxson</w:t>
      </w:r>
      <w:proofErr w:type="spellEnd"/>
      <w:r w:rsidR="00FF16C5">
        <w:rPr>
          <w:bCs/>
          <w:lang w:val="en-GB"/>
        </w:rPr>
        <w:t xml:space="preserve"> (1998), in a sense ignoring this warning, posit and test the theory that the relationship between household size and per capita expenditure on food should be positive.  Their empirical testing of this theory shows the opposite, that the relationship is </w:t>
      </w:r>
      <w:proofErr w:type="gramStart"/>
      <w:r w:rsidR="00FF16C5">
        <w:rPr>
          <w:bCs/>
          <w:lang w:val="en-GB"/>
        </w:rPr>
        <w:t>inverse</w:t>
      </w:r>
      <w:proofErr w:type="gramEnd"/>
      <w:r>
        <w:rPr>
          <w:bCs/>
          <w:lang w:val="en-GB"/>
        </w:rPr>
        <w:t>,</w:t>
      </w:r>
      <w:r w:rsidR="00FF16C5">
        <w:rPr>
          <w:bCs/>
          <w:lang w:val="en-GB"/>
        </w:rPr>
        <w:t xml:space="preserve"> and this, in essence, is the Deaton-</w:t>
      </w:r>
      <w:proofErr w:type="spellStart"/>
      <w:r w:rsidR="00FF16C5">
        <w:rPr>
          <w:bCs/>
          <w:lang w:val="en-GB"/>
        </w:rPr>
        <w:t>Paxson</w:t>
      </w:r>
      <w:proofErr w:type="spellEnd"/>
      <w:r w:rsidR="00FF16C5">
        <w:rPr>
          <w:bCs/>
          <w:lang w:val="en-GB"/>
        </w:rPr>
        <w:t xml:space="preserve"> paradox.</w:t>
      </w:r>
      <w:r w:rsidR="005D63BD">
        <w:rPr>
          <w:bCs/>
          <w:lang w:val="en-GB"/>
        </w:rPr>
        <w:t xml:space="preserve"> </w:t>
      </w:r>
      <w:r w:rsidR="005D63BD">
        <w:rPr>
          <w:lang w:val="en-GB"/>
        </w:rPr>
        <w:t>At the heart of the Deaton-</w:t>
      </w:r>
      <w:proofErr w:type="spellStart"/>
      <w:r w:rsidR="005D63BD">
        <w:rPr>
          <w:lang w:val="en-GB"/>
        </w:rPr>
        <w:t>Paxson</w:t>
      </w:r>
      <w:proofErr w:type="spellEnd"/>
      <w:r w:rsidR="005D63BD">
        <w:rPr>
          <w:lang w:val="en-GB"/>
        </w:rPr>
        <w:t xml:space="preserve"> paradox is the question of shared vs private consumption of food where “shared” means public – as in economists’ use of the term “public goods” – within the household.</w:t>
      </w:r>
      <w:r w:rsidR="000C5ADA">
        <w:rPr>
          <w:lang w:val="en-GB"/>
        </w:rPr>
        <w:t xml:space="preserve"> The sharing of a meal in </w:t>
      </w:r>
      <w:proofErr w:type="spellStart"/>
      <w:r w:rsidR="000C5ADA">
        <w:rPr>
          <w:lang w:val="en-GB"/>
        </w:rPr>
        <w:t>Simmellian</w:t>
      </w:r>
      <w:proofErr w:type="spellEnd"/>
      <w:r w:rsidR="000C5ADA">
        <w:rPr>
          <w:lang w:val="en-GB"/>
        </w:rPr>
        <w:t xml:space="preserve"> terms is very different, referring to the social or cultural process of being together while eating a meal.</w:t>
      </w:r>
    </w:p>
    <w:p w:rsidR="00EB3CAF" w:rsidRDefault="00EB3CAF" w:rsidP="00EB3CAF">
      <w:pPr>
        <w:keepNext/>
        <w:keepLines/>
        <w:spacing w:after="0" w:line="360" w:lineRule="auto"/>
        <w:jc w:val="both"/>
        <w:rPr>
          <w:bCs/>
          <w:lang w:val="en-GB"/>
        </w:rPr>
      </w:pPr>
    </w:p>
    <w:p w:rsidR="000B2325" w:rsidRDefault="008811FA" w:rsidP="004B761E">
      <w:pPr>
        <w:keepNext/>
        <w:keepLines/>
        <w:spacing w:after="0" w:line="360" w:lineRule="auto"/>
        <w:jc w:val="both"/>
      </w:pPr>
      <w:r>
        <w:rPr>
          <w:bCs/>
          <w:lang w:val="en-GB"/>
        </w:rPr>
        <w:t>A large number of papers have addressed th</w:t>
      </w:r>
      <w:r w:rsidR="000C5ADA">
        <w:rPr>
          <w:bCs/>
          <w:lang w:val="en-GB"/>
        </w:rPr>
        <w:t>e Deaton-</w:t>
      </w:r>
      <w:proofErr w:type="spellStart"/>
      <w:r w:rsidR="000C5ADA">
        <w:rPr>
          <w:bCs/>
          <w:lang w:val="en-GB"/>
        </w:rPr>
        <w:t>Paxson</w:t>
      </w:r>
      <w:proofErr w:type="spellEnd"/>
      <w:r>
        <w:rPr>
          <w:bCs/>
          <w:lang w:val="en-GB"/>
        </w:rPr>
        <w:t xml:space="preserve"> paradox, including </w:t>
      </w:r>
      <w:r w:rsidRPr="008811FA">
        <w:rPr>
          <w:bCs/>
        </w:rPr>
        <w:t xml:space="preserve">Horowitz </w:t>
      </w:r>
      <w:r>
        <w:rPr>
          <w:bCs/>
        </w:rPr>
        <w:t>(</w:t>
      </w:r>
      <w:r w:rsidRPr="008811FA">
        <w:rPr>
          <w:bCs/>
        </w:rPr>
        <w:t>2002</w:t>
      </w:r>
      <w:r>
        <w:rPr>
          <w:bCs/>
        </w:rPr>
        <w:t>),</w:t>
      </w:r>
      <w:r w:rsidRPr="008811FA">
        <w:rPr>
          <w:bCs/>
        </w:rPr>
        <w:t xml:space="preserve"> </w:t>
      </w:r>
      <w:proofErr w:type="spellStart"/>
      <w:r w:rsidRPr="008811FA">
        <w:rPr>
          <w:bCs/>
        </w:rPr>
        <w:t>Gan</w:t>
      </w:r>
      <w:proofErr w:type="spellEnd"/>
      <w:r w:rsidRPr="008811FA">
        <w:rPr>
          <w:bCs/>
        </w:rPr>
        <w:t xml:space="preserve"> and Vernon </w:t>
      </w:r>
      <w:r>
        <w:rPr>
          <w:bCs/>
        </w:rPr>
        <w:t>(</w:t>
      </w:r>
      <w:r w:rsidRPr="008811FA">
        <w:rPr>
          <w:bCs/>
        </w:rPr>
        <w:t>2003</w:t>
      </w:r>
      <w:r>
        <w:rPr>
          <w:bCs/>
        </w:rPr>
        <w:t>) and</w:t>
      </w:r>
      <w:r w:rsidRPr="008811FA">
        <w:rPr>
          <w:bCs/>
        </w:rPr>
        <w:t xml:space="preserve"> </w:t>
      </w:r>
      <w:proofErr w:type="spellStart"/>
      <w:r w:rsidRPr="008811FA">
        <w:rPr>
          <w:bCs/>
        </w:rPr>
        <w:t>Perali</w:t>
      </w:r>
      <w:proofErr w:type="spellEnd"/>
      <w:r w:rsidRPr="008811FA">
        <w:rPr>
          <w:bCs/>
        </w:rPr>
        <w:t xml:space="preserve"> </w:t>
      </w:r>
      <w:r>
        <w:rPr>
          <w:bCs/>
        </w:rPr>
        <w:t>(</w:t>
      </w:r>
      <w:r w:rsidRPr="008811FA">
        <w:rPr>
          <w:bCs/>
        </w:rPr>
        <w:t>2008</w:t>
      </w:r>
      <w:r>
        <w:rPr>
          <w:bCs/>
        </w:rPr>
        <w:t>), with different theoretical and statistical suggestions.</w:t>
      </w:r>
      <w:r>
        <w:rPr>
          <w:bCs/>
          <w:lang w:val="en-GB"/>
        </w:rPr>
        <w:t xml:space="preserve">  </w:t>
      </w:r>
      <w:proofErr w:type="spellStart"/>
      <w:r w:rsidR="00FE03A8">
        <w:rPr>
          <w:bCs/>
          <w:lang w:val="en-GB"/>
        </w:rPr>
        <w:t>Perali’s</w:t>
      </w:r>
      <w:proofErr w:type="spellEnd"/>
      <w:r w:rsidR="00FE03A8">
        <w:rPr>
          <w:bCs/>
          <w:lang w:val="en-GB"/>
        </w:rPr>
        <w:t xml:space="preserve"> (2008) resolution is </w:t>
      </w:r>
      <w:r w:rsidR="00FE03A8">
        <w:t>obtained</w:t>
      </w:r>
      <w:r>
        <w:t xml:space="preserve"> </w:t>
      </w:r>
      <w:r w:rsidR="00FE03A8">
        <w:t>through</w:t>
      </w:r>
      <w:r>
        <w:t xml:space="preserve"> different statistical methods from th</w:t>
      </w:r>
      <w:r w:rsidR="00FE03A8">
        <w:t xml:space="preserve">ose of Deaton and </w:t>
      </w:r>
      <w:proofErr w:type="spellStart"/>
      <w:r w:rsidR="00FE03A8">
        <w:t>Paxson</w:t>
      </w:r>
      <w:proofErr w:type="spellEnd"/>
      <w:r w:rsidR="00FE03A8">
        <w:t xml:space="preserve"> (1998).  Rather than focusing on per capita expenditure, </w:t>
      </w:r>
      <w:proofErr w:type="spellStart"/>
      <w:r w:rsidR="00FE03A8">
        <w:t>Perali</w:t>
      </w:r>
      <w:proofErr w:type="spellEnd"/>
      <w:r w:rsidR="00FE03A8">
        <w:t xml:space="preserve"> (2008</w:t>
      </w:r>
      <w:r w:rsidR="00610F13">
        <w:t>, p.1536</w:t>
      </w:r>
      <w:r w:rsidR="00FE03A8">
        <w:t xml:space="preserve">) focuses on total expenditure and examines whether </w:t>
      </w:r>
      <w:r w:rsidR="00FE03A8" w:rsidRPr="00FE03A8">
        <w:t>“food share increases with household size at a diminishing or increasing rate”</w:t>
      </w:r>
      <w:r w:rsidR="00FE03A8">
        <w:t xml:space="preserve">. This leads to empirical results </w:t>
      </w:r>
      <w:r w:rsidR="004B761E">
        <w:t>that match</w:t>
      </w:r>
      <w:r w:rsidR="00FE03A8">
        <w:t xml:space="preserve"> the theoretical expectation </w:t>
      </w:r>
      <w:r w:rsidR="00FE03A8" w:rsidRPr="009261F8">
        <w:t>that an increase in household size should be associated wit</w:t>
      </w:r>
      <w:r w:rsidR="00FE03A8">
        <w:t>h an increase in the food share.</w:t>
      </w:r>
    </w:p>
    <w:p w:rsidR="009261F8" w:rsidRDefault="009261F8" w:rsidP="009261F8">
      <w:pPr>
        <w:spacing w:after="0" w:line="360" w:lineRule="auto"/>
        <w:jc w:val="both"/>
      </w:pPr>
    </w:p>
    <w:p w:rsidR="00E1758E" w:rsidRDefault="00746B5E" w:rsidP="00746B5E">
      <w:pPr>
        <w:spacing w:after="0" w:line="360" w:lineRule="auto"/>
        <w:jc w:val="both"/>
      </w:pPr>
      <w:r>
        <w:t xml:space="preserve">Data from the HBS for Cyprus undertaken by </w:t>
      </w:r>
      <w:r w:rsidR="009261F8">
        <w:t xml:space="preserve">Jacobson </w:t>
      </w:r>
      <w:r w:rsidR="00FD0918" w:rsidRPr="00FD0918">
        <w:rPr>
          <w:i/>
          <w:iCs/>
        </w:rPr>
        <w:t>et al</w:t>
      </w:r>
      <w:r w:rsidR="002867BF">
        <w:t>.</w:t>
      </w:r>
      <w:r w:rsidR="009261F8">
        <w:t xml:space="preserve"> (2010) </w:t>
      </w:r>
      <w:r>
        <w:t xml:space="preserve">have been </w:t>
      </w:r>
      <w:r w:rsidR="009261F8">
        <w:t>use</w:t>
      </w:r>
      <w:r>
        <w:t>d</w:t>
      </w:r>
      <w:r w:rsidR="009261F8">
        <w:t xml:space="preserve"> to </w:t>
      </w:r>
      <w:r w:rsidR="00736576">
        <w:t>address aspects of the Deaton-</w:t>
      </w:r>
      <w:proofErr w:type="spellStart"/>
      <w:r w:rsidR="00736576">
        <w:t>Paxson</w:t>
      </w:r>
      <w:proofErr w:type="spellEnd"/>
      <w:r w:rsidR="00736576">
        <w:t xml:space="preserve"> paradox. </w:t>
      </w:r>
      <w:r w:rsidR="009261F8">
        <w:t xml:space="preserve"> </w:t>
      </w:r>
      <w:r w:rsidR="00736576" w:rsidRPr="00736576">
        <w:t xml:space="preserve">More consistent with </w:t>
      </w:r>
      <w:proofErr w:type="spellStart"/>
      <w:r w:rsidR="00736576" w:rsidRPr="00736576">
        <w:t>Perali</w:t>
      </w:r>
      <w:proofErr w:type="spellEnd"/>
      <w:r w:rsidR="00736576" w:rsidRPr="00736576">
        <w:t xml:space="preserve"> (2008) than Deaton and </w:t>
      </w:r>
      <w:proofErr w:type="spellStart"/>
      <w:r w:rsidR="00736576" w:rsidRPr="00736576">
        <w:t>Paxson</w:t>
      </w:r>
      <w:proofErr w:type="spellEnd"/>
      <w:r w:rsidR="00736576" w:rsidRPr="00736576">
        <w:t xml:space="preserve"> (1998), </w:t>
      </w:r>
      <w:r w:rsidR="00736576">
        <w:t>the</w:t>
      </w:r>
      <w:r w:rsidR="00AD4732">
        <w:t>y</w:t>
      </w:r>
      <w:r w:rsidR="00736576">
        <w:t xml:space="preserve"> use </w:t>
      </w:r>
      <w:r w:rsidR="00736576" w:rsidRPr="00736576">
        <w:t xml:space="preserve">total expenditure as the basis for the analysis.  </w:t>
      </w:r>
      <w:r w:rsidR="00323FF3">
        <w:t>T</w:t>
      </w:r>
      <w:r w:rsidR="00736576">
        <w:t>hey distinguish between expenditure on food at home and food from elsew</w:t>
      </w:r>
      <w:r w:rsidR="002B47DE">
        <w:t>here (like take-</w:t>
      </w:r>
      <w:proofErr w:type="spellStart"/>
      <w:r w:rsidR="002B47DE">
        <w:t>aways</w:t>
      </w:r>
      <w:proofErr w:type="spellEnd"/>
      <w:r w:rsidR="002B47DE">
        <w:t xml:space="preserve"> and restau</w:t>
      </w:r>
      <w:r w:rsidR="00736576">
        <w:t>rants</w:t>
      </w:r>
      <w:r w:rsidR="00AD4732">
        <w:t>)</w:t>
      </w:r>
      <w:r w:rsidR="00736576">
        <w:t xml:space="preserve">. With Horowitz (2002) and </w:t>
      </w:r>
      <w:proofErr w:type="spellStart"/>
      <w:r w:rsidR="00736576">
        <w:t>Gan</w:t>
      </w:r>
      <w:proofErr w:type="spellEnd"/>
      <w:r w:rsidR="00736576">
        <w:t xml:space="preserve"> and Vernon (2003) they find</w:t>
      </w:r>
      <w:r w:rsidR="00FE03A8">
        <w:t>, among other things,</w:t>
      </w:r>
      <w:r w:rsidR="00736576" w:rsidRPr="00736576">
        <w:t xml:space="preserve"> that </w:t>
      </w:r>
      <w:r w:rsidR="00323FF3">
        <w:t xml:space="preserve">expenditure on </w:t>
      </w:r>
      <w:r w:rsidR="00736576" w:rsidRPr="00736576">
        <w:t xml:space="preserve">clothing </w:t>
      </w:r>
      <w:r w:rsidR="00323FF3">
        <w:t>goes up more than on food at home a</w:t>
      </w:r>
      <w:r>
        <w:t>s</w:t>
      </w:r>
      <w:r w:rsidR="00323FF3">
        <w:t xml:space="preserve"> household size increases.</w:t>
      </w:r>
      <w:r w:rsidR="00AD4732">
        <w:t xml:space="preserve"> </w:t>
      </w:r>
    </w:p>
    <w:p w:rsidR="00093028" w:rsidRDefault="00093028" w:rsidP="00DC3214">
      <w:pPr>
        <w:spacing w:after="0" w:line="360" w:lineRule="auto"/>
        <w:jc w:val="both"/>
      </w:pPr>
    </w:p>
    <w:p w:rsidR="00E1758E" w:rsidRDefault="002C3E9B" w:rsidP="002E7769">
      <w:pPr>
        <w:spacing w:after="0" w:line="360" w:lineRule="auto"/>
        <w:jc w:val="both"/>
      </w:pPr>
      <w:r>
        <w:t>In the</w:t>
      </w:r>
      <w:r w:rsidR="00FE03A8">
        <w:t xml:space="preserve"> analysis of </w:t>
      </w:r>
      <w:r w:rsidR="00AD4732">
        <w:t xml:space="preserve">HBS data for Cyprus, Jacobson </w:t>
      </w:r>
      <w:r w:rsidR="00FD0918" w:rsidRPr="00FD0918">
        <w:rPr>
          <w:i/>
          <w:iCs/>
        </w:rPr>
        <w:t>et al</w:t>
      </w:r>
      <w:r w:rsidR="002867BF">
        <w:t>.</w:t>
      </w:r>
      <w:r w:rsidR="00AD4732">
        <w:t xml:space="preserve"> (2010) also find a number of characteristics of food consumption not remarked upon in the other papers referenced here.  They note, for example, a strong correlation between the age of the household – in particular the age of the woman of the household – and expenditure on food at home. Older households spend more, relatively, on food at home</w:t>
      </w:r>
      <w:r w:rsidR="0043619B">
        <w:t>.</w:t>
      </w:r>
      <w:r w:rsidR="00AD4732">
        <w:t xml:space="preserve"> Table 1, ba</w:t>
      </w:r>
      <w:r w:rsidR="002E7769">
        <w:t>sed on the data from the</w:t>
      </w:r>
      <w:r>
        <w:t xml:space="preserve"> HBS and presented here for the first time, </w:t>
      </w:r>
      <w:r w:rsidR="00AD4732">
        <w:t>shows th</w:t>
      </w:r>
      <w:r w:rsidR="002E7769">
        <w:t>at older, two-person households</w:t>
      </w:r>
      <w:r w:rsidR="00AD4732">
        <w:t xml:space="preserve"> spend 55 per cent more per person on food at home than younger, four-person households.</w:t>
      </w:r>
      <w:r w:rsidR="00E1758E">
        <w:t xml:space="preserve"> </w:t>
      </w:r>
    </w:p>
    <w:p w:rsidR="00E1758E" w:rsidRDefault="00E1758E" w:rsidP="00E1758E">
      <w:pPr>
        <w:spacing w:after="0" w:line="360" w:lineRule="auto"/>
        <w:jc w:val="both"/>
        <w:rPr>
          <w:b/>
          <w:lang w:val="en-GB"/>
        </w:rPr>
      </w:pPr>
    </w:p>
    <w:p w:rsidR="00727CD1" w:rsidRDefault="009C5EEF" w:rsidP="00D42EA2">
      <w:pPr>
        <w:keepNext/>
        <w:keepLines/>
        <w:spacing w:after="0" w:line="360" w:lineRule="auto"/>
        <w:jc w:val="both"/>
        <w:rPr>
          <w:lang w:val="en-GB"/>
        </w:rPr>
      </w:pPr>
      <w:r w:rsidRPr="00183943">
        <w:rPr>
          <w:b/>
          <w:lang w:val="en-GB"/>
        </w:rPr>
        <w:t>Table 1</w:t>
      </w:r>
      <w:r w:rsidR="00D42EA2">
        <w:rPr>
          <w:b/>
          <w:lang w:val="en-GB"/>
        </w:rPr>
        <w:t xml:space="preserve"> about here</w:t>
      </w:r>
      <w:r w:rsidR="00727CD1" w:rsidDel="00727CD1">
        <w:rPr>
          <w:lang w:val="en-GB"/>
        </w:rPr>
        <w:t xml:space="preserve"> </w:t>
      </w:r>
    </w:p>
    <w:p w:rsidR="00727CD1" w:rsidRDefault="00727CD1" w:rsidP="00727CD1">
      <w:pPr>
        <w:spacing w:after="0" w:line="360" w:lineRule="auto"/>
        <w:jc w:val="both"/>
        <w:rPr>
          <w:lang w:val="en-GB"/>
        </w:rPr>
      </w:pPr>
    </w:p>
    <w:p w:rsidR="00325981" w:rsidRPr="00325981" w:rsidRDefault="00325981" w:rsidP="00AA43C2">
      <w:pPr>
        <w:spacing w:after="0" w:line="360" w:lineRule="auto"/>
        <w:jc w:val="both"/>
        <w:rPr>
          <w:b/>
          <w:bCs/>
          <w:lang w:val="en-GB"/>
        </w:rPr>
      </w:pPr>
      <w:r>
        <w:rPr>
          <w:b/>
          <w:bCs/>
          <w:lang w:val="en-GB"/>
        </w:rPr>
        <w:t xml:space="preserve">4 </w:t>
      </w:r>
      <w:proofErr w:type="gramStart"/>
      <w:r w:rsidR="00AA43C2">
        <w:rPr>
          <w:b/>
          <w:bCs/>
          <w:lang w:val="en-GB"/>
        </w:rPr>
        <w:t>Explanation</w:t>
      </w:r>
      <w:proofErr w:type="gramEnd"/>
      <w:r w:rsidR="00AA43C2">
        <w:rPr>
          <w:b/>
          <w:bCs/>
          <w:lang w:val="en-GB"/>
        </w:rPr>
        <w:t>: Engel or Simmel?</w:t>
      </w:r>
    </w:p>
    <w:p w:rsidR="00727CD1" w:rsidRDefault="002B47DE" w:rsidP="005C3159">
      <w:pPr>
        <w:spacing w:after="0" w:line="360" w:lineRule="auto"/>
        <w:jc w:val="both"/>
        <w:rPr>
          <w:lang w:val="en-GB"/>
        </w:rPr>
      </w:pPr>
      <w:r w:rsidRPr="002B47DE">
        <w:rPr>
          <w:lang w:val="en-GB"/>
        </w:rPr>
        <w:t xml:space="preserve">There are a number of possible explanations for the findings </w:t>
      </w:r>
      <w:r w:rsidR="00746B5E">
        <w:rPr>
          <w:lang w:val="en-GB"/>
        </w:rPr>
        <w:t>in Table 1</w:t>
      </w:r>
      <w:r w:rsidRPr="002B47DE">
        <w:rPr>
          <w:lang w:val="en-GB"/>
        </w:rPr>
        <w:t>.  Among these are that older households are better off than younger households, that economies of scale are highly significant, that food for children is cheaper than food for adults</w:t>
      </w:r>
      <w:r w:rsidR="005C3159">
        <w:rPr>
          <w:lang w:val="en-GB"/>
        </w:rPr>
        <w:t>, and that older households increase their expenditure on food at home (and reduce expenditure on food out)</w:t>
      </w:r>
      <w:r w:rsidRPr="002B47DE">
        <w:rPr>
          <w:lang w:val="en-GB"/>
        </w:rPr>
        <w:t xml:space="preserve">. </w:t>
      </w:r>
      <w:r>
        <w:rPr>
          <w:lang w:val="en-GB"/>
        </w:rPr>
        <w:t>The first of these is ruled out by evidence that expenditure on food at home is not related to income of the household</w:t>
      </w:r>
      <w:r w:rsidR="003B5878">
        <w:rPr>
          <w:lang w:val="en-GB"/>
        </w:rPr>
        <w:t xml:space="preserve"> (Jacobson </w:t>
      </w:r>
      <w:r w:rsidR="003B5878">
        <w:rPr>
          <w:i/>
          <w:iCs/>
          <w:lang w:val="en-GB"/>
        </w:rPr>
        <w:t>et al</w:t>
      </w:r>
      <w:r>
        <w:rPr>
          <w:lang w:val="en-GB"/>
        </w:rPr>
        <w:t>.</w:t>
      </w:r>
      <w:r w:rsidR="003B5878">
        <w:rPr>
          <w:lang w:val="en-GB"/>
        </w:rPr>
        <w:t>, 2010).</w:t>
      </w:r>
      <w:r>
        <w:rPr>
          <w:lang w:val="en-GB"/>
        </w:rPr>
        <w:t xml:space="preserve">  </w:t>
      </w:r>
    </w:p>
    <w:p w:rsidR="00727CD1" w:rsidRDefault="00727CD1" w:rsidP="00727CD1">
      <w:pPr>
        <w:spacing w:after="0" w:line="360" w:lineRule="auto"/>
        <w:jc w:val="both"/>
        <w:rPr>
          <w:lang w:val="en-GB"/>
        </w:rPr>
      </w:pPr>
    </w:p>
    <w:p w:rsidR="00727CD1" w:rsidRDefault="002B47DE" w:rsidP="003B5878">
      <w:pPr>
        <w:spacing w:after="0" w:line="360" w:lineRule="auto"/>
        <w:jc w:val="both"/>
        <w:rPr>
          <w:lang w:val="en-GB"/>
        </w:rPr>
      </w:pPr>
      <w:r w:rsidRPr="002B47DE">
        <w:rPr>
          <w:lang w:val="en-GB"/>
        </w:rPr>
        <w:t xml:space="preserve">For </w:t>
      </w:r>
      <w:r>
        <w:rPr>
          <w:lang w:val="en-GB"/>
        </w:rPr>
        <w:t>economies of scale to be the explanation</w:t>
      </w:r>
      <w:r w:rsidRPr="002B47DE">
        <w:rPr>
          <w:lang w:val="en-GB"/>
        </w:rPr>
        <w:t xml:space="preserve">, an additional person should cost less than the previous additional person.  A third child should cost less than a second child, in terms of expenditure on food at home, and so on.  </w:t>
      </w:r>
      <w:r w:rsidR="00E93EE4">
        <w:rPr>
          <w:lang w:val="en-GB"/>
        </w:rPr>
        <w:t>Again using the data from the HBS, it emerges that t</w:t>
      </w:r>
      <w:r w:rsidRPr="002B47DE">
        <w:rPr>
          <w:lang w:val="en-GB"/>
        </w:rPr>
        <w:t>he cost of the first child – in terms of food at home –</w:t>
      </w:r>
      <w:r w:rsidR="00E93EE4">
        <w:rPr>
          <w:lang w:val="en-GB"/>
        </w:rPr>
        <w:t xml:space="preserve"> </w:t>
      </w:r>
      <w:r w:rsidRPr="002B47DE">
        <w:rPr>
          <w:lang w:val="en-GB"/>
        </w:rPr>
        <w:t>calculated by subtracting the cost per couple household from the cost per household with one child</w:t>
      </w:r>
      <w:r w:rsidR="00E93EE4">
        <w:rPr>
          <w:lang w:val="en-GB"/>
        </w:rPr>
        <w:t>, is</w:t>
      </w:r>
      <w:r w:rsidRPr="002B47DE">
        <w:rPr>
          <w:lang w:val="en-GB"/>
        </w:rPr>
        <w:t xml:space="preserve"> 59.99 (Cyprus pounds per month).  </w:t>
      </w:r>
      <w:r w:rsidR="00E93EE4">
        <w:rPr>
          <w:lang w:val="en-GB"/>
        </w:rPr>
        <w:t xml:space="preserve">Using the same method, </w:t>
      </w:r>
      <w:r w:rsidRPr="002B47DE">
        <w:rPr>
          <w:lang w:val="en-GB"/>
        </w:rPr>
        <w:t xml:space="preserve">the cost of the second child </w:t>
      </w:r>
      <w:r w:rsidR="00E93EE4">
        <w:rPr>
          <w:lang w:val="en-GB"/>
        </w:rPr>
        <w:t>is</w:t>
      </w:r>
      <w:r w:rsidRPr="002B47DE">
        <w:rPr>
          <w:lang w:val="en-GB"/>
        </w:rPr>
        <w:t xml:space="preserve"> 69.65.  Therefore, economies of scale</w:t>
      </w:r>
      <w:r w:rsidR="00775679">
        <w:rPr>
          <w:lang w:val="en-GB"/>
        </w:rPr>
        <w:t xml:space="preserve"> do not provide the explanation for the data in Table 1</w:t>
      </w:r>
      <w:r w:rsidRPr="002B47DE">
        <w:rPr>
          <w:lang w:val="en-GB"/>
        </w:rPr>
        <w:t>.</w:t>
      </w:r>
    </w:p>
    <w:p w:rsidR="00727CD1" w:rsidRDefault="00727CD1" w:rsidP="00727CD1">
      <w:pPr>
        <w:spacing w:after="0" w:line="360" w:lineRule="auto"/>
        <w:jc w:val="both"/>
        <w:rPr>
          <w:lang w:val="en-GB"/>
        </w:rPr>
      </w:pPr>
    </w:p>
    <w:p w:rsidR="00727CD1" w:rsidRDefault="0043619B" w:rsidP="002E7769">
      <w:pPr>
        <w:spacing w:after="0" w:line="360" w:lineRule="auto"/>
        <w:jc w:val="both"/>
        <w:rPr>
          <w:lang w:val="en-GB"/>
        </w:rPr>
      </w:pPr>
      <w:r>
        <w:rPr>
          <w:lang w:val="en-GB"/>
        </w:rPr>
        <w:t xml:space="preserve">If </w:t>
      </w:r>
      <w:r w:rsidR="002B47DE">
        <w:rPr>
          <w:lang w:val="en-GB"/>
        </w:rPr>
        <w:t xml:space="preserve">younger </w:t>
      </w:r>
      <w:r w:rsidR="002B47DE" w:rsidRPr="002B47DE">
        <w:rPr>
          <w:lang w:val="en-GB"/>
        </w:rPr>
        <w:t xml:space="preserve">children eat </w:t>
      </w:r>
      <w:r>
        <w:rPr>
          <w:lang w:val="en-GB"/>
        </w:rPr>
        <w:t xml:space="preserve">– and cost – </w:t>
      </w:r>
      <w:r w:rsidR="002B47DE" w:rsidRPr="002B47DE">
        <w:rPr>
          <w:lang w:val="en-GB"/>
        </w:rPr>
        <w:t>less than adults</w:t>
      </w:r>
      <w:r w:rsidR="002B47DE">
        <w:rPr>
          <w:lang w:val="en-GB"/>
        </w:rPr>
        <w:t xml:space="preserve">, </w:t>
      </w:r>
      <w:r w:rsidR="002B47DE" w:rsidRPr="002B47DE">
        <w:rPr>
          <w:lang w:val="en-GB"/>
        </w:rPr>
        <w:t xml:space="preserve">the data should indicate that for younger households, for example where the age of the woman of the household is under 40, the cost of an extra child </w:t>
      </w:r>
      <w:r>
        <w:rPr>
          <w:lang w:val="en-GB"/>
        </w:rPr>
        <w:t>is</w:t>
      </w:r>
      <w:r w:rsidR="002B47DE" w:rsidRPr="002B47DE">
        <w:rPr>
          <w:lang w:val="en-GB"/>
        </w:rPr>
        <w:t xml:space="preserve"> less than the cost of an extra child in older households, for example where the age of the woman of the household is over 40</w:t>
      </w:r>
      <w:r w:rsidR="002E7769">
        <w:rPr>
          <w:rStyle w:val="EndnoteReference"/>
          <w:lang w:val="en-GB"/>
        </w:rPr>
        <w:endnoteReference w:id="3"/>
      </w:r>
      <w:r w:rsidR="002B47DE" w:rsidRPr="002B47DE">
        <w:rPr>
          <w:lang w:val="en-GB"/>
        </w:rPr>
        <w:t>.  Again this is not confirmed by the data.  The cost of an extra child, on average, for households in which the woman of the household is 30-39 is 61.11.  The cost of an extra child, for households in which the woman of the household is 40-49 is 43.38.</w:t>
      </w:r>
    </w:p>
    <w:p w:rsidR="00727CD1" w:rsidRDefault="00727CD1" w:rsidP="00727CD1">
      <w:pPr>
        <w:spacing w:after="0" w:line="360" w:lineRule="auto"/>
        <w:jc w:val="both"/>
        <w:rPr>
          <w:lang w:val="en-GB"/>
        </w:rPr>
      </w:pPr>
    </w:p>
    <w:p w:rsidR="005C3159" w:rsidRDefault="00AA08B4" w:rsidP="007B5521">
      <w:pPr>
        <w:spacing w:after="0" w:line="360" w:lineRule="auto"/>
        <w:jc w:val="both"/>
        <w:rPr>
          <w:lang w:val="en-GB"/>
        </w:rPr>
      </w:pPr>
      <w:r>
        <w:rPr>
          <w:lang w:val="en-GB"/>
        </w:rPr>
        <w:t xml:space="preserve">The higher expenditure on food at home by older couples could be explained </w:t>
      </w:r>
      <w:r w:rsidR="007B5521">
        <w:rPr>
          <w:lang w:val="en-GB"/>
        </w:rPr>
        <w:t xml:space="preserve">simply </w:t>
      </w:r>
      <w:r>
        <w:rPr>
          <w:lang w:val="en-GB"/>
        </w:rPr>
        <w:t>by the fact that the “</w:t>
      </w:r>
      <w:r w:rsidRPr="00AA08B4">
        <w:rPr>
          <w:lang w:val="en-GB"/>
        </w:rPr>
        <w:t xml:space="preserve">retired decide to spend more time on shopping and meal preparation. </w:t>
      </w:r>
      <w:proofErr w:type="gramStart"/>
      <w:r w:rsidRPr="00AA08B4">
        <w:rPr>
          <w:lang w:val="en-GB"/>
        </w:rPr>
        <w:t>Empirical</w:t>
      </w:r>
      <w:r>
        <w:rPr>
          <w:lang w:val="en-GB"/>
        </w:rPr>
        <w:t xml:space="preserve"> </w:t>
      </w:r>
      <w:r w:rsidRPr="00AA08B4">
        <w:rPr>
          <w:lang w:val="en-GB"/>
        </w:rPr>
        <w:t>evidence</w:t>
      </w:r>
      <w:r>
        <w:rPr>
          <w:lang w:val="en-GB"/>
        </w:rPr>
        <w:t xml:space="preserve"> </w:t>
      </w:r>
      <w:r w:rsidRPr="00AA08B4">
        <w:rPr>
          <w:lang w:val="en-GB"/>
        </w:rPr>
        <w:t>suggests that this happened in the US (</w:t>
      </w:r>
      <w:proofErr w:type="spellStart"/>
      <w:r w:rsidRPr="00AA08B4">
        <w:rPr>
          <w:lang w:val="en-GB"/>
        </w:rPr>
        <w:t>Aguiar</w:t>
      </w:r>
      <w:proofErr w:type="spellEnd"/>
      <w:r w:rsidRPr="00AA08B4">
        <w:rPr>
          <w:lang w:val="en-GB"/>
        </w:rPr>
        <w:t xml:space="preserve"> and Hurst, 2005) and in Italy</w:t>
      </w:r>
      <w:r>
        <w:rPr>
          <w:lang w:val="en-GB"/>
        </w:rPr>
        <w:t xml:space="preserve"> </w:t>
      </w:r>
      <w:r w:rsidRPr="00AA08B4">
        <w:rPr>
          <w:lang w:val="en-GB"/>
        </w:rPr>
        <w:t>(</w:t>
      </w:r>
      <w:proofErr w:type="spellStart"/>
      <w:r w:rsidRPr="00AA08B4">
        <w:rPr>
          <w:lang w:val="en-GB"/>
        </w:rPr>
        <w:t>Battistin</w:t>
      </w:r>
      <w:proofErr w:type="spellEnd"/>
      <w:r w:rsidRPr="00AA08B4">
        <w:rPr>
          <w:lang w:val="en-GB"/>
        </w:rPr>
        <w:t xml:space="preserve"> </w:t>
      </w:r>
      <w:r w:rsidRPr="00B87921">
        <w:rPr>
          <w:i/>
          <w:iCs/>
          <w:lang w:val="en-GB"/>
        </w:rPr>
        <w:t>et al</w:t>
      </w:r>
      <w:r w:rsidRPr="00AA08B4">
        <w:rPr>
          <w:lang w:val="en-GB"/>
        </w:rPr>
        <w:t>., 2009)</w:t>
      </w:r>
      <w:r>
        <w:rPr>
          <w:lang w:val="en-GB"/>
        </w:rPr>
        <w:t>” (</w:t>
      </w:r>
      <w:proofErr w:type="spellStart"/>
      <w:r>
        <w:rPr>
          <w:lang w:val="en-GB"/>
        </w:rPr>
        <w:t>Burzig</w:t>
      </w:r>
      <w:proofErr w:type="spellEnd"/>
      <w:r>
        <w:rPr>
          <w:lang w:val="en-GB"/>
        </w:rPr>
        <w:t xml:space="preserve"> and Herrmann, </w:t>
      </w:r>
      <w:r w:rsidR="007F0333">
        <w:rPr>
          <w:lang w:val="en-GB"/>
        </w:rPr>
        <w:t xml:space="preserve">2012, </w:t>
      </w:r>
      <w:r>
        <w:rPr>
          <w:lang w:val="en-GB"/>
        </w:rPr>
        <w:t>p.1382)</w:t>
      </w:r>
      <w:r w:rsidRPr="00AA08B4">
        <w:rPr>
          <w:lang w:val="en-GB"/>
        </w:rPr>
        <w:t>.</w:t>
      </w:r>
      <w:proofErr w:type="gramEnd"/>
      <w:r>
        <w:rPr>
          <w:lang w:val="en-GB"/>
        </w:rPr>
        <w:t xml:space="preserve"> </w:t>
      </w:r>
      <w:proofErr w:type="spellStart"/>
      <w:r w:rsidR="007F0333">
        <w:rPr>
          <w:lang w:val="en-GB"/>
        </w:rPr>
        <w:t>Burzig</w:t>
      </w:r>
      <w:proofErr w:type="spellEnd"/>
      <w:r w:rsidR="007F0333">
        <w:rPr>
          <w:lang w:val="en-GB"/>
        </w:rPr>
        <w:t xml:space="preserve"> and Herrmann (2012) find partial support for this explanation in Germany in that, although the retired increase their expendi</w:t>
      </w:r>
      <w:r w:rsidR="0049061E">
        <w:rPr>
          <w:lang w:val="en-GB"/>
        </w:rPr>
        <w:t>ture on food at home, the ratio</w:t>
      </w:r>
      <w:r w:rsidR="007F0333">
        <w:rPr>
          <w:lang w:val="en-GB"/>
        </w:rPr>
        <w:t xml:space="preserve"> between expenditure on food at home and food out stays the same.  </w:t>
      </w:r>
      <w:r w:rsidR="0049061E">
        <w:rPr>
          <w:lang w:val="en-GB"/>
        </w:rPr>
        <w:t>However, i</w:t>
      </w:r>
      <w:r w:rsidR="007F0333">
        <w:rPr>
          <w:lang w:val="en-GB"/>
        </w:rPr>
        <w:t>n follow u</w:t>
      </w:r>
      <w:r w:rsidR="0049061E">
        <w:rPr>
          <w:lang w:val="en-GB"/>
        </w:rPr>
        <w:t>p work</w:t>
      </w:r>
      <w:r w:rsidR="00F021C3">
        <w:rPr>
          <w:lang w:val="en-GB"/>
        </w:rPr>
        <w:t xml:space="preserve"> using the German Time-Use Survey</w:t>
      </w:r>
      <w:r w:rsidR="0049061E">
        <w:rPr>
          <w:lang w:val="en-GB"/>
        </w:rPr>
        <w:t>, Velarde and Herrmann (2014, p.8) find that “</w:t>
      </w:r>
      <w:r w:rsidR="0049061E" w:rsidRPr="0049061E">
        <w:rPr>
          <w:lang w:val="en-GB"/>
        </w:rPr>
        <w:t>After retirement,</w:t>
      </w:r>
      <w:r w:rsidR="0049061E">
        <w:rPr>
          <w:lang w:val="en-GB"/>
        </w:rPr>
        <w:t xml:space="preserve"> </w:t>
      </w:r>
      <w:r w:rsidR="0049061E" w:rsidRPr="0049061E">
        <w:rPr>
          <w:lang w:val="en-GB"/>
        </w:rPr>
        <w:t>the probability of consuming food away from home declines</w:t>
      </w:r>
      <w:r w:rsidR="0049061E">
        <w:rPr>
          <w:lang w:val="en-GB"/>
        </w:rPr>
        <w:t xml:space="preserve"> </w:t>
      </w:r>
      <w:r w:rsidR="0049061E" w:rsidRPr="0049061E">
        <w:rPr>
          <w:lang w:val="en-GB"/>
        </w:rPr>
        <w:t xml:space="preserve">whereas the probability of </w:t>
      </w:r>
      <w:r w:rsidR="0049061E" w:rsidRPr="0049061E">
        <w:rPr>
          <w:lang w:val="en-GB"/>
        </w:rPr>
        <w:lastRenderedPageBreak/>
        <w:t>engaging in food production at home</w:t>
      </w:r>
      <w:r w:rsidR="0049061E">
        <w:rPr>
          <w:lang w:val="en-GB"/>
        </w:rPr>
        <w:t xml:space="preserve"> </w:t>
      </w:r>
      <w:r w:rsidR="0049061E" w:rsidRPr="0049061E">
        <w:rPr>
          <w:lang w:val="en-GB"/>
        </w:rPr>
        <w:t>rises as does the average time of doing so.</w:t>
      </w:r>
      <w:r w:rsidR="0049061E">
        <w:rPr>
          <w:lang w:val="en-GB"/>
        </w:rPr>
        <w:t>”</w:t>
      </w:r>
      <w:r w:rsidR="00F021C3">
        <w:rPr>
          <w:lang w:val="en-GB"/>
        </w:rPr>
        <w:t xml:space="preserve"> This may be a factor in Cyprus, but given </w:t>
      </w:r>
      <w:r w:rsidR="00E40B41">
        <w:rPr>
          <w:lang w:val="en-GB"/>
        </w:rPr>
        <w:t xml:space="preserve">the low labour force participation rate especially of older women (see Table 3), and </w:t>
      </w:r>
      <w:r w:rsidR="00F021C3">
        <w:rPr>
          <w:lang w:val="en-GB"/>
        </w:rPr>
        <w:t xml:space="preserve">the much greater importance of inter-household family in Cyprus than elsewhere (Minas </w:t>
      </w:r>
      <w:r w:rsidR="00F021C3">
        <w:rPr>
          <w:i/>
          <w:iCs/>
          <w:lang w:val="en-GB"/>
        </w:rPr>
        <w:t>et al</w:t>
      </w:r>
      <w:r w:rsidR="00F021C3">
        <w:rPr>
          <w:lang w:val="en-GB"/>
        </w:rPr>
        <w:t xml:space="preserve">., 2014) it is likely to be only a minor factor.  In other words it may explain some of the extra 55 per cent of Table </w:t>
      </w:r>
      <w:r w:rsidR="00E40B41">
        <w:rPr>
          <w:lang w:val="en-GB"/>
        </w:rPr>
        <w:t>1, but other factors are likely to be more important.</w:t>
      </w:r>
      <w:r w:rsidR="007B5521">
        <w:rPr>
          <w:lang w:val="en-GB"/>
        </w:rPr>
        <w:t xml:space="preserve"> </w:t>
      </w:r>
      <w:r w:rsidR="00F021C3">
        <w:rPr>
          <w:i/>
          <w:iCs/>
          <w:lang w:val="en-GB"/>
        </w:rPr>
        <w:t xml:space="preserve"> </w:t>
      </w:r>
    </w:p>
    <w:p w:rsidR="00AA08B4" w:rsidRDefault="00AA08B4" w:rsidP="00B87921">
      <w:pPr>
        <w:spacing w:after="0" w:line="360" w:lineRule="auto"/>
        <w:rPr>
          <w:lang w:val="en-GB"/>
        </w:rPr>
      </w:pPr>
    </w:p>
    <w:p w:rsidR="00536DE6" w:rsidRDefault="004F781C" w:rsidP="009C06D0">
      <w:pPr>
        <w:spacing w:after="0" w:line="360" w:lineRule="auto"/>
        <w:jc w:val="both"/>
        <w:rPr>
          <w:lang w:val="en-GB"/>
        </w:rPr>
      </w:pPr>
      <w:r>
        <w:rPr>
          <w:lang w:val="en-GB"/>
        </w:rPr>
        <w:t xml:space="preserve">Another possible explanation for </w:t>
      </w:r>
      <w:r w:rsidR="00681490">
        <w:rPr>
          <w:lang w:val="en-GB"/>
        </w:rPr>
        <w:t>the data in Table 1 is that older households are buying and preparing food that is being consumed not just by themselves, but also by their children and</w:t>
      </w:r>
      <w:r w:rsidR="009C06D0">
        <w:rPr>
          <w:lang w:val="en-GB"/>
        </w:rPr>
        <w:t xml:space="preserve"> </w:t>
      </w:r>
      <w:r w:rsidR="00681490">
        <w:rPr>
          <w:lang w:val="en-GB"/>
        </w:rPr>
        <w:t xml:space="preserve">their children’s households.  </w:t>
      </w:r>
      <w:r w:rsidR="00D06E6A">
        <w:rPr>
          <w:lang w:val="en-GB"/>
        </w:rPr>
        <w:t>For people with a familiarity with Cypriot society, this is the most likely explanation; however, quantitative evidence in support cannot be adduced</w:t>
      </w:r>
      <w:r w:rsidR="00536DE6">
        <w:rPr>
          <w:lang w:val="en-GB"/>
        </w:rPr>
        <w:t xml:space="preserve"> from the type of household-</w:t>
      </w:r>
      <w:r w:rsidR="00681490">
        <w:rPr>
          <w:lang w:val="en-GB"/>
        </w:rPr>
        <w:t xml:space="preserve">specific expenditure data generated by HBSs, because </w:t>
      </w:r>
      <w:r w:rsidR="003B5878">
        <w:rPr>
          <w:lang w:val="en-GB"/>
        </w:rPr>
        <w:t>HBSs</w:t>
      </w:r>
      <w:r w:rsidR="00681490">
        <w:rPr>
          <w:lang w:val="en-GB"/>
        </w:rPr>
        <w:t xml:space="preserve"> </w:t>
      </w:r>
      <w:r w:rsidR="00681490">
        <w:rPr>
          <w:bCs/>
          <w:lang w:val="en-GB"/>
        </w:rPr>
        <w:t xml:space="preserve">in general assume that products </w:t>
      </w:r>
      <w:r w:rsidR="00681490" w:rsidRPr="00681490">
        <w:rPr>
          <w:bCs/>
        </w:rPr>
        <w:t>purchased by a household are consumed by that household</w:t>
      </w:r>
      <w:r w:rsidR="00681490">
        <w:rPr>
          <w:lang w:val="en-GB"/>
        </w:rPr>
        <w:t xml:space="preserve">.  </w:t>
      </w:r>
    </w:p>
    <w:p w:rsidR="00536DE6" w:rsidRDefault="00536DE6" w:rsidP="00536DE6">
      <w:pPr>
        <w:spacing w:after="0" w:line="360" w:lineRule="auto"/>
        <w:jc w:val="both"/>
        <w:rPr>
          <w:lang w:val="en-GB"/>
        </w:rPr>
      </w:pPr>
    </w:p>
    <w:p w:rsidR="00727CD1" w:rsidRDefault="00EE29A0" w:rsidP="0043619B">
      <w:pPr>
        <w:spacing w:after="0" w:line="360" w:lineRule="auto"/>
        <w:jc w:val="both"/>
        <w:rPr>
          <w:lang w:val="en-GB"/>
        </w:rPr>
      </w:pPr>
      <w:r>
        <w:rPr>
          <w:lang w:val="en-GB"/>
        </w:rPr>
        <w:t>A</w:t>
      </w:r>
      <w:r w:rsidR="00D21535">
        <w:rPr>
          <w:lang w:val="en-GB"/>
        </w:rPr>
        <w:t>n approach generated by a focus on the questions and issues raised by Engel-type theories and dat</w:t>
      </w:r>
      <w:r w:rsidR="00746B5E">
        <w:rPr>
          <w:lang w:val="en-GB"/>
        </w:rPr>
        <w:t xml:space="preserve">a </w:t>
      </w:r>
      <w:r w:rsidR="00D21535">
        <w:rPr>
          <w:lang w:val="en-GB"/>
        </w:rPr>
        <w:t>led in the first instan</w:t>
      </w:r>
      <w:r w:rsidR="00746B5E">
        <w:rPr>
          <w:lang w:val="en-GB"/>
        </w:rPr>
        <w:t>ce to the Deaton-</w:t>
      </w:r>
      <w:proofErr w:type="spellStart"/>
      <w:r w:rsidR="00746B5E">
        <w:rPr>
          <w:lang w:val="en-GB"/>
        </w:rPr>
        <w:t>Paxson</w:t>
      </w:r>
      <w:proofErr w:type="spellEnd"/>
      <w:r w:rsidR="00746B5E">
        <w:rPr>
          <w:lang w:val="en-GB"/>
        </w:rPr>
        <w:t xml:space="preserve"> paradox</w:t>
      </w:r>
      <w:r>
        <w:rPr>
          <w:lang w:val="en-GB"/>
        </w:rPr>
        <w:t xml:space="preserve">. </w:t>
      </w:r>
      <w:r w:rsidR="007A228A">
        <w:rPr>
          <w:lang w:val="en-GB"/>
        </w:rPr>
        <w:t xml:space="preserve">This has been </w:t>
      </w:r>
      <w:r w:rsidR="005D63BD">
        <w:rPr>
          <w:lang w:val="en-GB"/>
        </w:rPr>
        <w:t xml:space="preserve">the catalyst for </w:t>
      </w:r>
      <w:r w:rsidR="007A228A">
        <w:rPr>
          <w:lang w:val="en-GB"/>
        </w:rPr>
        <w:t xml:space="preserve">a great deal of interesting work on </w:t>
      </w:r>
      <w:r>
        <w:rPr>
          <w:lang w:val="en-GB"/>
        </w:rPr>
        <w:t xml:space="preserve">theory, </w:t>
      </w:r>
      <w:r w:rsidR="007A228A">
        <w:rPr>
          <w:lang w:val="en-GB"/>
        </w:rPr>
        <w:t>o</w:t>
      </w:r>
      <w:r>
        <w:rPr>
          <w:lang w:val="en-GB"/>
        </w:rPr>
        <w:t xml:space="preserve">n substance and </w:t>
      </w:r>
      <w:r w:rsidR="007A228A">
        <w:rPr>
          <w:lang w:val="en-GB"/>
        </w:rPr>
        <w:t>on methodology</w:t>
      </w:r>
      <w:r>
        <w:rPr>
          <w:lang w:val="en-GB"/>
        </w:rPr>
        <w:t xml:space="preserve"> </w:t>
      </w:r>
      <w:r w:rsidR="007A228A">
        <w:rPr>
          <w:lang w:val="en-GB"/>
        </w:rPr>
        <w:t xml:space="preserve">in papers on expenditure on and consumption of food.  </w:t>
      </w:r>
      <w:r>
        <w:rPr>
          <w:lang w:val="en-GB"/>
        </w:rPr>
        <w:t xml:space="preserve">  However, </w:t>
      </w:r>
      <w:r w:rsidR="00D06E6A">
        <w:rPr>
          <w:lang w:val="en-GB"/>
        </w:rPr>
        <w:t xml:space="preserve">what emerges from the above is that some questions, especially those associated with consumption behaviour that crosses conventionally defined households, </w:t>
      </w:r>
      <w:r w:rsidR="00325981">
        <w:rPr>
          <w:lang w:val="en-GB"/>
        </w:rPr>
        <w:t>are</w:t>
      </w:r>
      <w:r w:rsidR="00D21535">
        <w:rPr>
          <w:lang w:val="en-GB"/>
        </w:rPr>
        <w:t xml:space="preserve"> </w:t>
      </w:r>
      <w:r w:rsidR="00EE2925">
        <w:rPr>
          <w:lang w:val="en-GB"/>
        </w:rPr>
        <w:t xml:space="preserve">not susceptible </w:t>
      </w:r>
      <w:r w:rsidR="00F24CCC">
        <w:rPr>
          <w:lang w:val="en-GB"/>
        </w:rPr>
        <w:t>of</w:t>
      </w:r>
      <w:r w:rsidR="00EE2925">
        <w:rPr>
          <w:lang w:val="en-GB"/>
        </w:rPr>
        <w:t xml:space="preserve"> resolution using data on household budgets.</w:t>
      </w:r>
      <w:r w:rsidR="004F781C">
        <w:rPr>
          <w:lang w:val="en-GB"/>
        </w:rPr>
        <w:t xml:space="preserve"> </w:t>
      </w:r>
      <w:r w:rsidR="0043619B">
        <w:rPr>
          <w:lang w:val="en-GB"/>
        </w:rPr>
        <w:t>Q</w:t>
      </w:r>
      <w:r w:rsidR="00D06E6A">
        <w:rPr>
          <w:lang w:val="en-GB"/>
        </w:rPr>
        <w:t>uestions</w:t>
      </w:r>
      <w:r>
        <w:rPr>
          <w:lang w:val="en-GB"/>
        </w:rPr>
        <w:t xml:space="preserve">, </w:t>
      </w:r>
      <w:r w:rsidR="00D06E6A">
        <w:rPr>
          <w:lang w:val="en-GB"/>
        </w:rPr>
        <w:t>for example</w:t>
      </w:r>
      <w:r w:rsidR="0043619B">
        <w:rPr>
          <w:lang w:val="en-GB"/>
        </w:rPr>
        <w:t>,</w:t>
      </w:r>
      <w:r w:rsidR="00D06E6A">
        <w:rPr>
          <w:lang w:val="en-GB"/>
        </w:rPr>
        <w:t xml:space="preserve"> </w:t>
      </w:r>
      <w:r w:rsidR="0043619B">
        <w:rPr>
          <w:lang w:val="en-GB"/>
        </w:rPr>
        <w:t xml:space="preserve">on </w:t>
      </w:r>
      <w:r>
        <w:rPr>
          <w:lang w:val="en-GB"/>
        </w:rPr>
        <w:t>such issues as who shares meals, are closer to the cultural and sociological concerns of theories emanating from the work of Simmel.</w:t>
      </w:r>
    </w:p>
    <w:p w:rsidR="00727CD1" w:rsidRDefault="00727CD1" w:rsidP="00727CD1">
      <w:pPr>
        <w:spacing w:after="0" w:line="360" w:lineRule="auto"/>
        <w:jc w:val="both"/>
        <w:rPr>
          <w:lang w:val="en-GB"/>
        </w:rPr>
      </w:pPr>
    </w:p>
    <w:p w:rsidR="00AA43C2" w:rsidRPr="00AA43C2" w:rsidRDefault="00AA43C2" w:rsidP="00727CD1">
      <w:pPr>
        <w:spacing w:after="0" w:line="360" w:lineRule="auto"/>
        <w:jc w:val="both"/>
        <w:rPr>
          <w:b/>
          <w:bCs/>
          <w:lang w:val="en-GB"/>
        </w:rPr>
      </w:pPr>
      <w:r>
        <w:rPr>
          <w:b/>
          <w:bCs/>
          <w:lang w:val="en-GB"/>
        </w:rPr>
        <w:t xml:space="preserve">5 </w:t>
      </w:r>
      <w:proofErr w:type="gramStart"/>
      <w:r w:rsidR="00A420A2">
        <w:rPr>
          <w:b/>
          <w:bCs/>
          <w:lang w:val="en-GB"/>
        </w:rPr>
        <w:t>Food</w:t>
      </w:r>
      <w:proofErr w:type="gramEnd"/>
      <w:r w:rsidR="00A420A2">
        <w:rPr>
          <w:b/>
          <w:bCs/>
          <w:lang w:val="en-GB"/>
        </w:rPr>
        <w:t xml:space="preserve"> and </w:t>
      </w:r>
      <w:r>
        <w:rPr>
          <w:b/>
          <w:bCs/>
          <w:lang w:val="en-GB"/>
        </w:rPr>
        <w:t>Extended Family in Cyprus</w:t>
      </w:r>
      <w:r w:rsidR="00A420A2">
        <w:rPr>
          <w:b/>
          <w:bCs/>
          <w:lang w:val="en-GB"/>
        </w:rPr>
        <w:t>: Evidence from Interviews</w:t>
      </w:r>
    </w:p>
    <w:p w:rsidR="00727CD1" w:rsidRDefault="005E7759" w:rsidP="00DC67A2">
      <w:pPr>
        <w:spacing w:after="0" w:line="360" w:lineRule="auto"/>
        <w:jc w:val="both"/>
      </w:pPr>
      <w:r>
        <w:rPr>
          <w:lang w:val="en-GB"/>
        </w:rPr>
        <w:t xml:space="preserve">At the core of the difference between the Engel-type research using aggregated household expenditure on food, and the Simmel-type examination of individual families’ food consumption behaviour, is the extended family. </w:t>
      </w:r>
      <w:r w:rsidR="0003229E">
        <w:rPr>
          <w:lang w:val="en-GB"/>
        </w:rPr>
        <w:t xml:space="preserve">The </w:t>
      </w:r>
      <w:r w:rsidR="00433583">
        <w:rPr>
          <w:lang w:val="en-GB"/>
        </w:rPr>
        <w:t xml:space="preserve">extended family may, following elements of </w:t>
      </w:r>
      <w:proofErr w:type="spellStart"/>
      <w:r w:rsidR="00433583">
        <w:rPr>
          <w:lang w:val="en-GB"/>
        </w:rPr>
        <w:t>nuclearisation</w:t>
      </w:r>
      <w:proofErr w:type="spellEnd"/>
      <w:r w:rsidR="00433583">
        <w:rPr>
          <w:lang w:val="en-GB"/>
        </w:rPr>
        <w:t xml:space="preserve"> (Verdon, 1998), live in different households</w:t>
      </w:r>
      <w:r w:rsidR="00610F13">
        <w:rPr>
          <w:lang w:val="en-GB"/>
        </w:rPr>
        <w:t>. However,</w:t>
      </w:r>
      <w:r w:rsidR="00433583">
        <w:rPr>
          <w:lang w:val="en-GB"/>
        </w:rPr>
        <w:t xml:space="preserve"> the additional homes are </w:t>
      </w:r>
      <w:r w:rsidR="00677920">
        <w:rPr>
          <w:lang w:val="en-GB"/>
        </w:rPr>
        <w:t xml:space="preserve">in many cases </w:t>
      </w:r>
      <w:r>
        <w:rPr>
          <w:lang w:val="en-GB"/>
        </w:rPr>
        <w:t>–</w:t>
      </w:r>
      <w:r w:rsidR="00610F13">
        <w:rPr>
          <w:lang w:val="en-GB"/>
        </w:rPr>
        <w:t xml:space="preserve"> </w:t>
      </w:r>
      <w:r>
        <w:rPr>
          <w:lang w:val="en-GB"/>
        </w:rPr>
        <w:t xml:space="preserve">especially in Cyprus (Minas </w:t>
      </w:r>
      <w:r>
        <w:rPr>
          <w:i/>
          <w:iCs/>
          <w:lang w:val="en-GB"/>
        </w:rPr>
        <w:t>et al</w:t>
      </w:r>
      <w:r w:rsidR="003B5878">
        <w:rPr>
          <w:lang w:val="en-GB"/>
        </w:rPr>
        <w:t>., 2013b</w:t>
      </w:r>
      <w:r>
        <w:rPr>
          <w:lang w:val="en-GB"/>
        </w:rPr>
        <w:t>) –</w:t>
      </w:r>
      <w:r>
        <w:rPr>
          <w:i/>
          <w:iCs/>
          <w:lang w:val="en-GB"/>
        </w:rPr>
        <w:t xml:space="preserve"> </w:t>
      </w:r>
      <w:r w:rsidR="00433583">
        <w:rPr>
          <w:lang w:val="en-GB"/>
        </w:rPr>
        <w:t>obtained</w:t>
      </w:r>
      <w:r>
        <w:rPr>
          <w:lang w:val="en-GB"/>
        </w:rPr>
        <w:t xml:space="preserve"> </w:t>
      </w:r>
      <w:r w:rsidR="00433583">
        <w:rPr>
          <w:lang w:val="en-GB"/>
        </w:rPr>
        <w:t xml:space="preserve">through the </w:t>
      </w:r>
      <w:r w:rsidR="00677920">
        <w:rPr>
          <w:lang w:val="en-GB"/>
        </w:rPr>
        <w:t xml:space="preserve">support of the </w:t>
      </w:r>
      <w:r w:rsidR="00433583">
        <w:rPr>
          <w:lang w:val="en-GB"/>
        </w:rPr>
        <w:t>extended family</w:t>
      </w:r>
      <w:r w:rsidR="00610F13">
        <w:rPr>
          <w:lang w:val="en-GB"/>
        </w:rPr>
        <w:t xml:space="preserve">.  In addition </w:t>
      </w:r>
      <w:r w:rsidR="00677920">
        <w:rPr>
          <w:lang w:val="en-GB"/>
        </w:rPr>
        <w:t>the extended families, though living apart</w:t>
      </w:r>
      <w:r w:rsidR="00363D75">
        <w:rPr>
          <w:lang w:val="en-GB"/>
        </w:rPr>
        <w:t>,</w:t>
      </w:r>
      <w:r w:rsidR="00AA43C2">
        <w:rPr>
          <w:lang w:val="en-GB"/>
        </w:rPr>
        <w:t xml:space="preserve"> </w:t>
      </w:r>
      <w:r w:rsidR="00677920">
        <w:rPr>
          <w:lang w:val="en-GB"/>
        </w:rPr>
        <w:t>frequently have meals together.</w:t>
      </w:r>
      <w:r w:rsidR="002867BF">
        <w:rPr>
          <w:lang w:val="en-GB"/>
        </w:rPr>
        <w:t xml:space="preserve"> Even where they do not actually eat together, the meals for the children or grandchildren may be </w:t>
      </w:r>
      <w:r w:rsidR="005D63BD">
        <w:rPr>
          <w:lang w:val="en-GB"/>
        </w:rPr>
        <w:t xml:space="preserve">prepared </w:t>
      </w:r>
      <w:r w:rsidR="002867BF">
        <w:rPr>
          <w:lang w:val="en-GB"/>
        </w:rPr>
        <w:t>by the grandparents (</w:t>
      </w:r>
      <w:proofErr w:type="spellStart"/>
      <w:r w:rsidR="002867BF">
        <w:rPr>
          <w:lang w:val="en-GB"/>
        </w:rPr>
        <w:t>Lazarou</w:t>
      </w:r>
      <w:proofErr w:type="spellEnd"/>
      <w:r w:rsidR="002867BF">
        <w:rPr>
          <w:lang w:val="en-GB"/>
        </w:rPr>
        <w:t xml:space="preserve"> and </w:t>
      </w:r>
      <w:proofErr w:type="spellStart"/>
      <w:r w:rsidR="002867BF">
        <w:rPr>
          <w:lang w:val="en-GB"/>
        </w:rPr>
        <w:t>Soteriades</w:t>
      </w:r>
      <w:proofErr w:type="spellEnd"/>
      <w:r w:rsidR="002867BF">
        <w:rPr>
          <w:lang w:val="en-GB"/>
        </w:rPr>
        <w:t>, 2010).</w:t>
      </w:r>
      <w:r w:rsidR="00D21535">
        <w:rPr>
          <w:lang w:val="en-GB"/>
        </w:rPr>
        <w:t xml:space="preserve"> </w:t>
      </w:r>
      <w:r w:rsidR="00EC339A" w:rsidRPr="00EC339A">
        <w:t>M</w:t>
      </w:r>
      <w:r w:rsidR="00D21535">
        <w:t>editerranean European countries</w:t>
      </w:r>
      <w:r w:rsidR="0003229E">
        <w:t xml:space="preserve"> </w:t>
      </w:r>
      <w:r w:rsidR="00D21535">
        <w:t>including</w:t>
      </w:r>
      <w:r w:rsidR="0003229E">
        <w:t xml:space="preserve"> Cyprus,</w:t>
      </w:r>
      <w:r w:rsidR="00EC339A" w:rsidRPr="00EC339A">
        <w:t xml:space="preserve"> </w:t>
      </w:r>
      <w:r w:rsidR="00D21535">
        <w:t>“</w:t>
      </w:r>
      <w:r w:rsidR="00EC339A" w:rsidRPr="00EC339A">
        <w:t>are characterised by the extreme importance they attribute to family cohesion and intergenerational solidarity</w:t>
      </w:r>
      <w:r w:rsidR="00D21535">
        <w:t xml:space="preserve">” </w:t>
      </w:r>
      <w:r w:rsidR="006C5844">
        <w:t>(</w:t>
      </w:r>
      <w:proofErr w:type="spellStart"/>
      <w:r w:rsidR="00D21535" w:rsidRPr="00EC339A">
        <w:t>Böhnke</w:t>
      </w:r>
      <w:proofErr w:type="spellEnd"/>
      <w:r w:rsidR="006C5844">
        <w:t>,</w:t>
      </w:r>
      <w:r w:rsidR="00D21535" w:rsidRPr="00EC339A">
        <w:t xml:space="preserve"> </w:t>
      </w:r>
      <w:r w:rsidR="00D21535">
        <w:t>2008, p.136).</w:t>
      </w:r>
      <w:r w:rsidR="00727CD1">
        <w:t xml:space="preserve"> </w:t>
      </w:r>
    </w:p>
    <w:p w:rsidR="00727CD1" w:rsidRDefault="00727CD1" w:rsidP="00727CD1">
      <w:pPr>
        <w:spacing w:after="0" w:line="360" w:lineRule="auto"/>
        <w:jc w:val="both"/>
      </w:pPr>
    </w:p>
    <w:p w:rsidR="00AA43C2" w:rsidRDefault="00716D6C" w:rsidP="00DF5452">
      <w:pPr>
        <w:spacing w:after="0" w:line="360" w:lineRule="auto"/>
        <w:jc w:val="both"/>
      </w:pPr>
      <w:r>
        <w:lastRenderedPageBreak/>
        <w:t>The data on food consumption from the interviews is summarised in Table 2.</w:t>
      </w:r>
      <w:r w:rsidR="00F03C44">
        <w:t xml:space="preserve">  The ratings </w:t>
      </w:r>
      <w:r w:rsidR="008A3704">
        <w:t xml:space="preserve">(low, moderate or high) </w:t>
      </w:r>
      <w:r w:rsidR="00F03C44">
        <w:t xml:space="preserve">are based on the information from the interviews on how food is obtained.  </w:t>
      </w:r>
      <w:r w:rsidR="00DF5452">
        <w:t xml:space="preserve">“Low” is defined as once a week or less; “moderate” as two or three times a week; and “high” as more than three times a week.  </w:t>
      </w:r>
      <w:r w:rsidR="00F03C44">
        <w:t xml:space="preserve">In many of the households, a high proportion of the food consumed is obtained from parents or parents-in-law of the adults in the household.  The most important </w:t>
      </w:r>
      <w:r w:rsidR="00363D75">
        <w:t xml:space="preserve">result of the interviews </w:t>
      </w:r>
      <w:r w:rsidR="00AA1A66">
        <w:t>for the present context</w:t>
      </w:r>
      <w:r w:rsidR="00363D75">
        <w:t xml:space="preserve"> is that unless specific factors – like distance – prevent it, </w:t>
      </w:r>
      <w:r w:rsidR="00AA1A66">
        <w:t>meals are regularly shared between households, within extended families.  The location of these shared meals is most often the original family home, and generally the payment for the meals</w:t>
      </w:r>
      <w:r w:rsidR="00F03C44">
        <w:t xml:space="preserve"> </w:t>
      </w:r>
      <w:r w:rsidR="00AA1A66">
        <w:t xml:space="preserve">is by the couple in the family home, namely the parents/grandparents of the people in the other households (confirming </w:t>
      </w:r>
      <w:proofErr w:type="spellStart"/>
      <w:r w:rsidR="00AA1A66">
        <w:t>Lazarou</w:t>
      </w:r>
      <w:proofErr w:type="spellEnd"/>
      <w:r w:rsidR="00AA1A66">
        <w:t xml:space="preserve"> and </w:t>
      </w:r>
      <w:proofErr w:type="spellStart"/>
      <w:r w:rsidR="00AA1A66">
        <w:t>Soteriades</w:t>
      </w:r>
      <w:proofErr w:type="spellEnd"/>
      <w:r w:rsidR="00AA1A66">
        <w:t>, 2010).</w:t>
      </w:r>
    </w:p>
    <w:p w:rsidR="00AA1A66" w:rsidRDefault="00AA1A66" w:rsidP="00AA1A66">
      <w:pPr>
        <w:spacing w:after="0" w:line="360" w:lineRule="auto"/>
        <w:jc w:val="both"/>
      </w:pPr>
    </w:p>
    <w:p w:rsidR="00DF5452" w:rsidRPr="00AA1A66" w:rsidRDefault="009C06D0" w:rsidP="00D42EA2">
      <w:pPr>
        <w:keepNext/>
        <w:keepLines/>
        <w:spacing w:after="0" w:line="360" w:lineRule="auto"/>
        <w:jc w:val="both"/>
      </w:pPr>
      <w:r>
        <w:rPr>
          <w:b/>
          <w:lang w:val="en-GB"/>
        </w:rPr>
        <w:t>Table 2</w:t>
      </w:r>
      <w:r w:rsidR="00D42EA2">
        <w:rPr>
          <w:b/>
          <w:lang w:val="en-GB"/>
        </w:rPr>
        <w:t xml:space="preserve"> about here</w:t>
      </w:r>
    </w:p>
    <w:p w:rsidR="00F2557F" w:rsidRDefault="00F2557F" w:rsidP="00727CD1">
      <w:pPr>
        <w:spacing w:after="0" w:line="360" w:lineRule="auto"/>
        <w:jc w:val="both"/>
      </w:pPr>
    </w:p>
    <w:p w:rsidR="008207D4" w:rsidRDefault="008207D4" w:rsidP="00327BE6">
      <w:pPr>
        <w:spacing w:after="0" w:line="360" w:lineRule="auto"/>
        <w:jc w:val="both"/>
      </w:pPr>
      <w:r>
        <w:t>The case narratives p</w:t>
      </w:r>
      <w:r w:rsidR="00327BE6">
        <w:t>rovide some illustration.  In Household 6</w:t>
      </w:r>
      <w:r w:rsidR="00A854EA">
        <w:t xml:space="preserve"> (rural household)</w:t>
      </w:r>
      <w:r w:rsidR="00327BE6">
        <w:t xml:space="preserve">, for example, there is “low” inter-generational sharing of meals.  The couple, </w:t>
      </w:r>
      <w:proofErr w:type="spellStart"/>
      <w:r w:rsidR="00327BE6">
        <w:t>Yiannakis</w:t>
      </w:r>
      <w:proofErr w:type="spellEnd"/>
      <w:r w:rsidR="00327BE6">
        <w:t xml:space="preserve"> and Marina</w:t>
      </w:r>
      <w:r w:rsidR="008A3704">
        <w:rPr>
          <w:rStyle w:val="EndnoteReference"/>
        </w:rPr>
        <w:endnoteReference w:id="4"/>
      </w:r>
      <w:r w:rsidR="00327BE6">
        <w:t xml:space="preserve">, work in relatively low-paid jobs in a small village, </w:t>
      </w:r>
      <w:proofErr w:type="spellStart"/>
      <w:r w:rsidR="00327BE6">
        <w:t>Yiannakis</w:t>
      </w:r>
      <w:proofErr w:type="spellEnd"/>
      <w:r w:rsidR="00327BE6">
        <w:t xml:space="preserve"> in his own business and Marina in an office. The main meal of the day for them and their children is in the evening, prepared by Marina.  She says: </w:t>
      </w:r>
      <w:r w:rsidR="00327BE6">
        <w:rPr>
          <w:lang w:val="en-GB"/>
        </w:rPr>
        <w:t>“</w:t>
      </w:r>
      <w:r w:rsidR="00327BE6" w:rsidRPr="00327BE6">
        <w:rPr>
          <w:lang w:val="en-GB"/>
        </w:rPr>
        <w:t>I get home from work tired and have to prepare food for me and the kids.  If only my Mum lived nearer, she’d be happy to do this for me</w:t>
      </w:r>
      <w:r w:rsidR="00327BE6">
        <w:rPr>
          <w:lang w:val="en-GB"/>
        </w:rPr>
        <w:t>”</w:t>
      </w:r>
      <w:r w:rsidR="00327BE6" w:rsidRPr="00327BE6">
        <w:rPr>
          <w:lang w:val="en-GB"/>
        </w:rPr>
        <w:t>.</w:t>
      </w:r>
      <w:r w:rsidR="00327BE6">
        <w:rPr>
          <w:lang w:val="en-GB"/>
        </w:rPr>
        <w:t xml:space="preserve">  They travel to her parents’ home for a family get-together, including a meal, on Saturdays.</w:t>
      </w:r>
      <w:r w:rsidR="00637785">
        <w:rPr>
          <w:lang w:val="en-GB"/>
        </w:rPr>
        <w:t xml:space="preserve"> Given the greater frequency of inter-generational meals </w:t>
      </w:r>
      <w:r w:rsidR="009A6FDE">
        <w:rPr>
          <w:lang w:val="en-GB"/>
        </w:rPr>
        <w:t>of other households interviewed</w:t>
      </w:r>
      <w:r w:rsidR="00637785">
        <w:rPr>
          <w:lang w:val="en-GB"/>
        </w:rPr>
        <w:t>, once a week is rated as “low”.</w:t>
      </w:r>
    </w:p>
    <w:p w:rsidR="00AA1A66" w:rsidRDefault="00AA1A66" w:rsidP="00AA1A66">
      <w:pPr>
        <w:spacing w:after="0" w:line="360" w:lineRule="auto"/>
        <w:jc w:val="both"/>
      </w:pPr>
    </w:p>
    <w:p w:rsidR="00A854EA" w:rsidRDefault="00A854EA" w:rsidP="008A3704">
      <w:pPr>
        <w:spacing w:after="0" w:line="360" w:lineRule="auto"/>
        <w:jc w:val="both"/>
      </w:pPr>
      <w:r>
        <w:t xml:space="preserve">Households 3 (high income) and 4 (low income) are more typical of those interviewed.  </w:t>
      </w:r>
      <w:r w:rsidR="008B39C0">
        <w:t xml:space="preserve">In both cases there are daily inter-generational, inter-household meals, </w:t>
      </w:r>
      <w:r w:rsidR="008A3704">
        <w:t xml:space="preserve">paid for and prepared </w:t>
      </w:r>
      <w:r w:rsidR="008B39C0">
        <w:t xml:space="preserve">by the grandparental household. In Household 3 the mother leaves her child with his grandparents in the morning.  They take him to the kindergarten and pick him up at lunchtime.  The mother comes from work during her lunch break and eats with them, often joined by her siblings during their lunch </w:t>
      </w:r>
      <w:r w:rsidR="00BB3F3F">
        <w:t>breaks</w:t>
      </w:r>
      <w:r w:rsidR="008B39C0">
        <w:t>.  In Household 4, similarly, the mother, her children and often her siblings, all eat a midday meal in the grandparental home, prepared by the grandmother. In both households, too, the evening meal is often leftovers brought home after the midday meal.</w:t>
      </w:r>
    </w:p>
    <w:p w:rsidR="008B39C0" w:rsidRDefault="008B39C0" w:rsidP="008B39C0">
      <w:pPr>
        <w:spacing w:after="0" w:line="360" w:lineRule="auto"/>
        <w:jc w:val="both"/>
      </w:pPr>
    </w:p>
    <w:p w:rsidR="0043189F" w:rsidRDefault="0043189F" w:rsidP="008A3704">
      <w:pPr>
        <w:spacing w:after="0" w:line="360" w:lineRule="auto"/>
        <w:jc w:val="both"/>
      </w:pPr>
      <w:r>
        <w:t xml:space="preserve">In Household 1 (single person household) </w:t>
      </w:r>
      <w:proofErr w:type="spellStart"/>
      <w:r>
        <w:t>Fivos</w:t>
      </w:r>
      <w:proofErr w:type="spellEnd"/>
      <w:r>
        <w:t xml:space="preserve"> is a retired professional who</w:t>
      </w:r>
      <w:r w:rsidR="008A3704">
        <w:t>, when his mother was alive,</w:t>
      </w:r>
      <w:r>
        <w:t xml:space="preserve"> almost always ate at home the food that his mother prepared</w:t>
      </w:r>
      <w:r w:rsidR="008A3704">
        <w:t>.</w:t>
      </w:r>
      <w:r>
        <w:t xml:space="preserve"> Now he almost always eats in restaurants.  The exception is when he eats with other relatives.  Household 2 (single parent) is that </w:t>
      </w:r>
      <w:r>
        <w:lastRenderedPageBreak/>
        <w:t>of a divorced woman and her young child. The child always and the woman almost always eat at the woman’s mother’s house.  As the woman says, “There’s always food for me at my Mum’s”.</w:t>
      </w:r>
    </w:p>
    <w:p w:rsidR="0043189F" w:rsidRDefault="0043189F" w:rsidP="008B39C0">
      <w:pPr>
        <w:spacing w:after="0" w:line="360" w:lineRule="auto"/>
        <w:jc w:val="both"/>
      </w:pPr>
    </w:p>
    <w:p w:rsidR="008B39C0" w:rsidRDefault="00CA106D" w:rsidP="00CA106D">
      <w:pPr>
        <w:spacing w:after="0" w:line="360" w:lineRule="auto"/>
        <w:jc w:val="both"/>
      </w:pPr>
      <w:r>
        <w:t xml:space="preserve">In Household 7 (urban household) the three children always eat lunch at their grandparents’ but the parents work in different towns so they eat separately.  Their household has a meal together at home most evenings.  Household 8 (two parents with children) is one in which three of the four grandparents have passed away, and the fourth, the father’s mother, has a small business so is not available to prepare meals or mind children.  </w:t>
      </w:r>
    </w:p>
    <w:p w:rsidR="00CA106D" w:rsidRDefault="00CA106D" w:rsidP="00CA106D">
      <w:pPr>
        <w:spacing w:after="0" w:line="360" w:lineRule="auto"/>
        <w:jc w:val="both"/>
      </w:pPr>
    </w:p>
    <w:p w:rsidR="00CA106D" w:rsidRDefault="00CA106D" w:rsidP="00125E4B">
      <w:pPr>
        <w:spacing w:after="0" w:line="360" w:lineRule="auto"/>
        <w:jc w:val="both"/>
      </w:pPr>
      <w:r>
        <w:t>Finally, Household 9 (</w:t>
      </w:r>
      <w:r w:rsidR="002B6131">
        <w:t>wife/</w:t>
      </w:r>
      <w:r>
        <w:t xml:space="preserve">mother not in labour force) </w:t>
      </w:r>
      <w:r w:rsidR="009D3916">
        <w:t xml:space="preserve">is that of George and </w:t>
      </w:r>
      <w:proofErr w:type="spellStart"/>
      <w:r w:rsidR="009D3916">
        <w:t>Spyroula</w:t>
      </w:r>
      <w:proofErr w:type="spellEnd"/>
      <w:r w:rsidR="009D3916">
        <w:t xml:space="preserve">.  He has a successful business and she works in the home; she prepares most meals herself.  They have consciously decided to bring their children up more within the nuclear family than with the help of grandparents; this is related to the fact that George does not get on with </w:t>
      </w:r>
      <w:proofErr w:type="spellStart"/>
      <w:r w:rsidR="009D3916">
        <w:t>Spyroula’s</w:t>
      </w:r>
      <w:proofErr w:type="spellEnd"/>
      <w:r w:rsidR="009D3916">
        <w:t xml:space="preserve"> parents.  </w:t>
      </w:r>
      <w:r w:rsidR="008A3704">
        <w:t xml:space="preserve">This is the only example, among the households interviewed, where proximity </w:t>
      </w:r>
      <w:r w:rsidR="00125E4B">
        <w:t xml:space="preserve">and availability </w:t>
      </w:r>
      <w:r w:rsidR="008A3704">
        <w:t xml:space="preserve">would have facilitated grandparental help with meals but where </w:t>
      </w:r>
      <w:r w:rsidR="00125E4B">
        <w:t>nevertheless the rating under “Parents/In-laws” is “none”.  It may be that a rating of “moderate” or “none” in this column is more common for households where the woman of the household is not in the labour force, but a larger, random sample would be necessary for this to be verified.</w:t>
      </w:r>
    </w:p>
    <w:p w:rsidR="009D3916" w:rsidRDefault="009D3916" w:rsidP="009D3916">
      <w:pPr>
        <w:spacing w:after="0" w:line="360" w:lineRule="auto"/>
        <w:jc w:val="both"/>
      </w:pPr>
    </w:p>
    <w:p w:rsidR="00727CD1" w:rsidRPr="009D3916" w:rsidRDefault="00125E4B" w:rsidP="00BB3F3F">
      <w:pPr>
        <w:spacing w:after="0" w:line="360" w:lineRule="auto"/>
        <w:jc w:val="both"/>
        <w:rPr>
          <w:lang w:val="en-GB"/>
        </w:rPr>
      </w:pPr>
      <w:r>
        <w:rPr>
          <w:lang w:val="en-GB"/>
        </w:rPr>
        <w:t>Other than this possibility, t</w:t>
      </w:r>
      <w:r w:rsidR="009D3916">
        <w:rPr>
          <w:lang w:val="en-GB"/>
        </w:rPr>
        <w:t>he interviews suggest that, i</w:t>
      </w:r>
      <w:r w:rsidR="00060904">
        <w:rPr>
          <w:lang w:val="en-GB"/>
        </w:rPr>
        <w:t xml:space="preserve">n relation to food consumption, it is the norm for different generations of a family, including married siblings, to eat at least some meals together, in some cases daily.  </w:t>
      </w:r>
      <w:r w:rsidR="008168B6">
        <w:rPr>
          <w:lang w:val="en-GB"/>
        </w:rPr>
        <w:t xml:space="preserve">The food is generally provided by the grandparents, and this is the case for families at all income levels and therefore </w:t>
      </w:r>
      <w:r w:rsidR="009D3916">
        <w:rPr>
          <w:lang w:val="en-GB"/>
        </w:rPr>
        <w:t xml:space="preserve">seems to be unrelated to income. This is consistent with the finding of Jacobson </w:t>
      </w:r>
      <w:r w:rsidR="009D3916">
        <w:rPr>
          <w:i/>
          <w:iCs/>
          <w:lang w:val="en-GB"/>
        </w:rPr>
        <w:t>et al</w:t>
      </w:r>
      <w:r w:rsidR="009D3916">
        <w:rPr>
          <w:lang w:val="en-GB"/>
        </w:rPr>
        <w:t>. (2010) from the HBS data, that expenditure on food at home is unrelated to income.</w:t>
      </w:r>
    </w:p>
    <w:p w:rsidR="00727CD1" w:rsidRDefault="00727CD1" w:rsidP="00727CD1">
      <w:pPr>
        <w:spacing w:after="0" w:line="360" w:lineRule="auto"/>
        <w:jc w:val="both"/>
        <w:rPr>
          <w:lang w:val="en-GB"/>
        </w:rPr>
      </w:pPr>
    </w:p>
    <w:p w:rsidR="00A174B8" w:rsidRDefault="007A228A" w:rsidP="002E391D">
      <w:pPr>
        <w:spacing w:after="0" w:line="360" w:lineRule="auto"/>
        <w:jc w:val="both"/>
        <w:rPr>
          <w:lang w:val="en-GB"/>
        </w:rPr>
      </w:pPr>
      <w:r>
        <w:rPr>
          <w:lang w:val="en-GB"/>
        </w:rPr>
        <w:t xml:space="preserve">The purchase by grandparents of food consumed by the extended family </w:t>
      </w:r>
      <w:r w:rsidR="002E391D">
        <w:rPr>
          <w:lang w:val="en-GB"/>
        </w:rPr>
        <w:t>thus seems to</w:t>
      </w:r>
      <w:r>
        <w:rPr>
          <w:lang w:val="en-GB"/>
        </w:rPr>
        <w:t xml:space="preserve"> explain the data in Table 1.  But w</w:t>
      </w:r>
      <w:r w:rsidR="00093A7E">
        <w:rPr>
          <w:lang w:val="en-GB"/>
        </w:rPr>
        <w:t xml:space="preserve">hy – in contrast to the findings of </w:t>
      </w:r>
      <w:proofErr w:type="spellStart"/>
      <w:r w:rsidR="00093A7E">
        <w:rPr>
          <w:lang w:val="en-GB"/>
        </w:rPr>
        <w:t>Warde</w:t>
      </w:r>
      <w:proofErr w:type="spellEnd"/>
      <w:r w:rsidR="00093A7E">
        <w:rPr>
          <w:lang w:val="en-GB"/>
        </w:rPr>
        <w:t xml:space="preserve"> (1999) for “the West” – is there a prevalence of regular, shared meals in Cyprus?</w:t>
      </w:r>
      <w:r>
        <w:rPr>
          <w:lang w:val="en-GB"/>
        </w:rPr>
        <w:t xml:space="preserve"> </w:t>
      </w:r>
      <w:r w:rsidR="00595BDB">
        <w:rPr>
          <w:lang w:val="en-GB"/>
        </w:rPr>
        <w:t xml:space="preserve"> </w:t>
      </w:r>
    </w:p>
    <w:p w:rsidR="00595BDB" w:rsidRDefault="00595BDB" w:rsidP="007A228A">
      <w:pPr>
        <w:spacing w:after="0" w:line="360" w:lineRule="auto"/>
        <w:jc w:val="both"/>
        <w:rPr>
          <w:lang w:val="en-GB"/>
        </w:rPr>
      </w:pPr>
    </w:p>
    <w:p w:rsidR="00595BDB" w:rsidRDefault="00595BDB" w:rsidP="00C90C0D">
      <w:pPr>
        <w:spacing w:after="0" w:line="360" w:lineRule="auto"/>
        <w:jc w:val="both"/>
        <w:rPr>
          <w:lang w:val="en-GB"/>
        </w:rPr>
      </w:pPr>
      <w:proofErr w:type="spellStart"/>
      <w:r w:rsidRPr="00595BDB">
        <w:rPr>
          <w:lang w:val="en-GB"/>
        </w:rPr>
        <w:t>Brewis</w:t>
      </w:r>
      <w:proofErr w:type="spellEnd"/>
      <w:r w:rsidRPr="00595BDB">
        <w:rPr>
          <w:lang w:val="en-GB"/>
        </w:rPr>
        <w:t xml:space="preserve"> and Jack (2005) </w:t>
      </w:r>
      <w:r>
        <w:rPr>
          <w:lang w:val="en-GB"/>
        </w:rPr>
        <w:t>argue</w:t>
      </w:r>
      <w:r w:rsidRPr="00595BDB">
        <w:rPr>
          <w:lang w:val="en-GB"/>
        </w:rPr>
        <w:t xml:space="preserve"> that “time seems increasingly to be of the essence when it comes to Western food habits” (p.51).</w:t>
      </w:r>
      <w:r>
        <w:rPr>
          <w:lang w:val="en-GB"/>
        </w:rPr>
        <w:t xml:space="preserve">  “Time poverty” for busy households</w:t>
      </w:r>
      <w:r w:rsidR="00E23E3E">
        <w:rPr>
          <w:lang w:val="en-GB"/>
        </w:rPr>
        <w:t>,</w:t>
      </w:r>
      <w:r>
        <w:rPr>
          <w:lang w:val="en-GB"/>
        </w:rPr>
        <w:t xml:space="preserve"> reduces the likelihood of time being allocated for shared meals.  </w:t>
      </w:r>
      <w:r w:rsidR="00E23E3E">
        <w:rPr>
          <w:lang w:val="en-GB"/>
        </w:rPr>
        <w:t>This is all the more the case where women, traditionally the housewife</w:t>
      </w:r>
      <w:r w:rsidR="00BB0C67">
        <w:rPr>
          <w:lang w:val="en-GB"/>
        </w:rPr>
        <w:t xml:space="preserve"> and cook of the family, obtain</w:t>
      </w:r>
      <w:r w:rsidR="00E23E3E">
        <w:rPr>
          <w:lang w:val="en-GB"/>
        </w:rPr>
        <w:t xml:space="preserve"> paid employ</w:t>
      </w:r>
      <w:r w:rsidR="00BB0C67">
        <w:rPr>
          <w:lang w:val="en-GB"/>
        </w:rPr>
        <w:t>ment</w:t>
      </w:r>
      <w:r w:rsidR="009756B2">
        <w:rPr>
          <w:lang w:val="en-GB"/>
        </w:rPr>
        <w:t>.  This is happening in Cyprus too but</w:t>
      </w:r>
      <w:r w:rsidR="00BB0C67">
        <w:rPr>
          <w:lang w:val="en-GB"/>
        </w:rPr>
        <w:t xml:space="preserve"> as </w:t>
      </w:r>
      <w:r w:rsidR="009756B2">
        <w:rPr>
          <w:lang w:val="en-GB"/>
        </w:rPr>
        <w:lastRenderedPageBreak/>
        <w:t xml:space="preserve">can be seen from </w:t>
      </w:r>
      <w:r w:rsidR="00BB0C67">
        <w:rPr>
          <w:lang w:val="en-GB"/>
        </w:rPr>
        <w:t xml:space="preserve">Table </w:t>
      </w:r>
      <w:r w:rsidR="009756B2">
        <w:rPr>
          <w:lang w:val="en-GB"/>
        </w:rPr>
        <w:t xml:space="preserve">3, the labour force participation rate for </w:t>
      </w:r>
      <w:r w:rsidR="00C90C0D">
        <w:rPr>
          <w:lang w:val="en-GB"/>
        </w:rPr>
        <w:t>women</w:t>
      </w:r>
      <w:r w:rsidR="009756B2">
        <w:rPr>
          <w:lang w:val="en-GB"/>
        </w:rPr>
        <w:t xml:space="preserve"> over 54 is still low.</w:t>
      </w:r>
      <w:r w:rsidR="00BB0C67">
        <w:rPr>
          <w:lang w:val="en-GB"/>
        </w:rPr>
        <w:t xml:space="preserve"> </w:t>
      </w:r>
      <w:r w:rsidR="009756B2">
        <w:rPr>
          <w:lang w:val="en-GB"/>
        </w:rPr>
        <w:t xml:space="preserve">So while it is likely that increasing labour force participation by </w:t>
      </w:r>
      <w:r w:rsidR="00C90C0D">
        <w:rPr>
          <w:lang w:val="en-GB"/>
        </w:rPr>
        <w:t xml:space="preserve">women </w:t>
      </w:r>
      <w:r w:rsidR="009A6FDE">
        <w:rPr>
          <w:lang w:val="en-GB"/>
        </w:rPr>
        <w:t xml:space="preserve">will </w:t>
      </w:r>
      <w:r w:rsidRPr="00595BDB">
        <w:rPr>
          <w:lang w:val="en-GB"/>
        </w:rPr>
        <w:t xml:space="preserve">make it less and less likely that the household will eat </w:t>
      </w:r>
      <w:r w:rsidR="009756B2">
        <w:rPr>
          <w:lang w:val="en-GB"/>
        </w:rPr>
        <w:t xml:space="preserve">home prepared meals </w:t>
      </w:r>
      <w:r w:rsidRPr="00595BDB">
        <w:rPr>
          <w:lang w:val="en-GB"/>
        </w:rPr>
        <w:t>together</w:t>
      </w:r>
      <w:r w:rsidR="00E90770">
        <w:rPr>
          <w:lang w:val="en-GB"/>
        </w:rPr>
        <w:t xml:space="preserve"> </w:t>
      </w:r>
      <w:r w:rsidR="009A6FDE">
        <w:rPr>
          <w:lang w:val="en-GB"/>
        </w:rPr>
        <w:t xml:space="preserve">in the future </w:t>
      </w:r>
      <w:r w:rsidR="00E90770">
        <w:rPr>
          <w:lang w:val="en-GB"/>
        </w:rPr>
        <w:t xml:space="preserve">(see </w:t>
      </w:r>
      <w:proofErr w:type="spellStart"/>
      <w:r w:rsidR="00E90770">
        <w:rPr>
          <w:lang w:val="en-GB"/>
        </w:rPr>
        <w:t>Warde</w:t>
      </w:r>
      <w:proofErr w:type="spellEnd"/>
      <w:r w:rsidR="009756B2">
        <w:rPr>
          <w:lang w:val="en-GB"/>
        </w:rPr>
        <w:t>,</w:t>
      </w:r>
      <w:r w:rsidRPr="00595BDB">
        <w:rPr>
          <w:lang w:val="en-GB"/>
        </w:rPr>
        <w:t xml:space="preserve"> </w:t>
      </w:r>
      <w:r w:rsidR="00E90770">
        <w:rPr>
          <w:lang w:val="en-GB"/>
        </w:rPr>
        <w:t xml:space="preserve">1999), </w:t>
      </w:r>
      <w:r w:rsidR="009756B2">
        <w:rPr>
          <w:lang w:val="en-GB"/>
        </w:rPr>
        <w:t xml:space="preserve">there is still wide availability of </w:t>
      </w:r>
      <w:r w:rsidR="00BE0570">
        <w:rPr>
          <w:lang w:val="en-GB"/>
        </w:rPr>
        <w:t xml:space="preserve">grandparents, especially </w:t>
      </w:r>
      <w:r w:rsidR="009756B2">
        <w:rPr>
          <w:lang w:val="en-GB"/>
        </w:rPr>
        <w:t xml:space="preserve">grandmothers </w:t>
      </w:r>
      <w:r w:rsidR="009A6FDE">
        <w:rPr>
          <w:lang w:val="en-GB"/>
        </w:rPr>
        <w:t>not in the labour force</w:t>
      </w:r>
      <w:r w:rsidR="00FD4F0C">
        <w:rPr>
          <w:lang w:val="en-GB"/>
        </w:rPr>
        <w:t>,</w:t>
      </w:r>
      <w:r w:rsidR="009A6FDE">
        <w:rPr>
          <w:lang w:val="en-GB"/>
        </w:rPr>
        <w:t xml:space="preserve"> </w:t>
      </w:r>
      <w:r w:rsidR="009756B2">
        <w:rPr>
          <w:lang w:val="en-GB"/>
        </w:rPr>
        <w:t xml:space="preserve">to prepare meals for extended families. </w:t>
      </w:r>
      <w:r w:rsidR="00FF5291">
        <w:rPr>
          <w:lang w:val="en-GB"/>
        </w:rPr>
        <w:t>Moreover, the over-54 female participation rate in Cyprus is consistently below the EU average, and the percentage of inactive females 55-64 who are inactive because of family responsibilities, at 55 per cent, is the highest in the EU and over four times the EU average of 13 per cent (Eurostat, 2012).</w:t>
      </w:r>
    </w:p>
    <w:p w:rsidR="00093A7E" w:rsidRDefault="00093A7E" w:rsidP="00727CD1">
      <w:pPr>
        <w:spacing w:after="0" w:line="360" w:lineRule="auto"/>
        <w:jc w:val="both"/>
        <w:rPr>
          <w:lang w:val="en-GB"/>
        </w:rPr>
      </w:pPr>
    </w:p>
    <w:p w:rsidR="00BB0C67" w:rsidRPr="00BB0C67" w:rsidRDefault="00BB0C67" w:rsidP="00D42EA2">
      <w:pPr>
        <w:keepNext/>
        <w:keepLines/>
        <w:spacing w:line="360" w:lineRule="auto"/>
        <w:jc w:val="both"/>
        <w:rPr>
          <w:rFonts w:eastAsia="Times New Roman" w:cs="Calibri"/>
          <w:lang w:val="en-GB"/>
        </w:rPr>
      </w:pPr>
      <w:r w:rsidRPr="00BB0C67">
        <w:rPr>
          <w:rFonts w:eastAsia="Times New Roman" w:cs="Calibri"/>
          <w:b/>
          <w:lang w:val="en-GB"/>
        </w:rPr>
        <w:t xml:space="preserve">Table </w:t>
      </w:r>
      <w:r w:rsidR="009756B2">
        <w:rPr>
          <w:rFonts w:eastAsia="Times New Roman" w:cs="Calibri"/>
          <w:b/>
          <w:lang w:val="en-GB"/>
        </w:rPr>
        <w:t>3</w:t>
      </w:r>
      <w:r w:rsidR="00D42EA2">
        <w:rPr>
          <w:rFonts w:eastAsia="Times New Roman" w:cs="Calibri"/>
          <w:b/>
          <w:lang w:val="en-GB"/>
        </w:rPr>
        <w:t xml:space="preserve"> about here</w:t>
      </w:r>
    </w:p>
    <w:p w:rsidR="00D05A23" w:rsidRPr="00F97BD0" w:rsidRDefault="00B162BA" w:rsidP="00B162BA">
      <w:pPr>
        <w:spacing w:after="0" w:line="360" w:lineRule="auto"/>
        <w:jc w:val="both"/>
      </w:pPr>
      <w:r>
        <w:rPr>
          <w:lang w:val="en-GB"/>
        </w:rPr>
        <w:t xml:space="preserve">Underlying this is that there is still </w:t>
      </w:r>
      <w:r w:rsidR="008E5216">
        <w:rPr>
          <w:lang w:val="en-GB"/>
        </w:rPr>
        <w:t>in Cyprus – and other similar societies</w:t>
      </w:r>
      <w:r w:rsidR="00EB1FCC">
        <w:rPr>
          <w:rStyle w:val="EndnoteReference"/>
          <w:lang w:val="en-GB"/>
        </w:rPr>
        <w:endnoteReference w:id="5"/>
      </w:r>
      <w:r w:rsidR="008E5216">
        <w:rPr>
          <w:lang w:val="en-GB"/>
        </w:rPr>
        <w:t xml:space="preserve"> –</w:t>
      </w:r>
      <w:r>
        <w:rPr>
          <w:lang w:val="en-GB"/>
        </w:rPr>
        <w:t xml:space="preserve"> </w:t>
      </w:r>
      <w:r w:rsidR="008E5216">
        <w:rPr>
          <w:lang w:val="en-GB"/>
        </w:rPr>
        <w:t xml:space="preserve">importance </w:t>
      </w:r>
      <w:r>
        <w:rPr>
          <w:lang w:val="en-GB"/>
        </w:rPr>
        <w:t xml:space="preserve">attached to </w:t>
      </w:r>
      <w:r w:rsidR="008E5216">
        <w:rPr>
          <w:lang w:val="en-GB"/>
        </w:rPr>
        <w:t>the extended family</w:t>
      </w:r>
      <w:r w:rsidR="00CC3491">
        <w:rPr>
          <w:lang w:val="en-GB"/>
        </w:rPr>
        <w:t xml:space="preserve">.  A number of writers (e.g. Allen, 2006; </w:t>
      </w:r>
      <w:proofErr w:type="spellStart"/>
      <w:r w:rsidR="00F97BD0" w:rsidRPr="00F97BD0">
        <w:t>Kemeny</w:t>
      </w:r>
      <w:proofErr w:type="spellEnd"/>
      <w:r w:rsidR="00F97BD0" w:rsidRPr="00F97BD0">
        <w:t xml:space="preserve"> (2006)</w:t>
      </w:r>
      <w:r w:rsidR="00CC3491">
        <w:t>; Hoekstra, 2010</w:t>
      </w:r>
      <w:r w:rsidR="00CC3491" w:rsidRPr="00CC3491">
        <w:t>)</w:t>
      </w:r>
      <w:r w:rsidR="00CC3491">
        <w:t xml:space="preserve"> </w:t>
      </w:r>
      <w:r w:rsidR="00CC3491">
        <w:rPr>
          <w:lang w:val="en-GB"/>
        </w:rPr>
        <w:t xml:space="preserve">have identified a “Mediterranean welfare regime” in which the extended family is the key welfare pillar (in contrast to other welfare regimes in which the state </w:t>
      </w:r>
      <w:r w:rsidR="002B6131">
        <w:rPr>
          <w:lang w:val="en-GB"/>
        </w:rPr>
        <w:t xml:space="preserve">– Scandinavia – </w:t>
      </w:r>
      <w:r w:rsidR="00CC3491">
        <w:rPr>
          <w:lang w:val="en-GB"/>
        </w:rPr>
        <w:t xml:space="preserve">or the market </w:t>
      </w:r>
      <w:r w:rsidR="002B6131">
        <w:rPr>
          <w:lang w:val="en-GB"/>
        </w:rPr>
        <w:t xml:space="preserve">– USA – </w:t>
      </w:r>
      <w:r w:rsidR="00F97BD0">
        <w:rPr>
          <w:lang w:val="en-GB"/>
        </w:rPr>
        <w:t>is the main pillar</w:t>
      </w:r>
      <w:r w:rsidR="00CC3491">
        <w:rPr>
          <w:lang w:val="en-GB"/>
        </w:rPr>
        <w:t>)</w:t>
      </w:r>
      <w:r w:rsidR="00CC3491">
        <w:t xml:space="preserve">.  Among others who explicitly include Cyprus in this type of welfare regime are </w:t>
      </w:r>
      <w:proofErr w:type="spellStart"/>
      <w:r w:rsidR="00CC3491" w:rsidRPr="00CC3491">
        <w:t>Kääriäinen</w:t>
      </w:r>
      <w:proofErr w:type="spellEnd"/>
      <w:r w:rsidR="00CC3491" w:rsidRPr="00CC3491">
        <w:t xml:space="preserve"> and </w:t>
      </w:r>
      <w:proofErr w:type="spellStart"/>
      <w:r w:rsidR="00CC3491" w:rsidRPr="00CC3491">
        <w:t>Lehtonen</w:t>
      </w:r>
      <w:proofErr w:type="spellEnd"/>
      <w:r w:rsidR="00CC3491" w:rsidRPr="00CC3491">
        <w:t xml:space="preserve"> (2006), </w:t>
      </w:r>
      <w:proofErr w:type="spellStart"/>
      <w:r w:rsidR="00F97BD0" w:rsidRPr="00F97BD0">
        <w:t>Böhnke</w:t>
      </w:r>
      <w:proofErr w:type="spellEnd"/>
      <w:r w:rsidR="00F97BD0" w:rsidRPr="00F97BD0">
        <w:t xml:space="preserve"> (2008)</w:t>
      </w:r>
      <w:r w:rsidR="00F97BD0">
        <w:t xml:space="preserve"> </w:t>
      </w:r>
      <w:r w:rsidR="00CC3491" w:rsidRPr="00CC3491">
        <w:t>and Gal (2010)</w:t>
      </w:r>
      <w:r w:rsidR="00CC3491">
        <w:t xml:space="preserve">.  With direct examples of how the importance of the extended family impinges on behaviour in relation to housing acquisition (Minas </w:t>
      </w:r>
      <w:r w:rsidR="00FD0918" w:rsidRPr="00FD0918">
        <w:rPr>
          <w:i/>
          <w:iCs/>
        </w:rPr>
        <w:t>et al</w:t>
      </w:r>
      <w:r w:rsidR="00CC3491">
        <w:t>., 2013b) and in relation to patterns of food consumption</w:t>
      </w:r>
      <w:r w:rsidR="00F97BD0">
        <w:t xml:space="preserve"> </w:t>
      </w:r>
      <w:r>
        <w:t>as shown here,</w:t>
      </w:r>
      <w:r w:rsidR="00F97BD0">
        <w:t xml:space="preserve"> it is clear that the </w:t>
      </w:r>
      <w:proofErr w:type="spellStart"/>
      <w:r w:rsidR="00F97BD0">
        <w:t>Simmellian</w:t>
      </w:r>
      <w:proofErr w:type="spellEnd"/>
      <w:r w:rsidR="00F97BD0">
        <w:t xml:space="preserve"> evolution is still at the shared meal stage in Cyprus.  The reversal evident from the work of </w:t>
      </w:r>
      <w:proofErr w:type="spellStart"/>
      <w:r w:rsidR="00F97BD0">
        <w:t>Warde</w:t>
      </w:r>
      <w:proofErr w:type="spellEnd"/>
      <w:r w:rsidR="00F97BD0">
        <w:t xml:space="preserve"> (1999)</w:t>
      </w:r>
      <w:r>
        <w:t xml:space="preserve"> has not (yet?) reached Cyprus.</w:t>
      </w:r>
    </w:p>
    <w:p w:rsidR="007418CF" w:rsidRDefault="007418CF" w:rsidP="00727CD1">
      <w:pPr>
        <w:spacing w:after="0" w:line="360" w:lineRule="auto"/>
        <w:jc w:val="both"/>
        <w:rPr>
          <w:lang w:val="en-GB"/>
        </w:rPr>
      </w:pPr>
    </w:p>
    <w:p w:rsidR="00727CD1" w:rsidRDefault="00B162BA" w:rsidP="00727CD1">
      <w:pPr>
        <w:spacing w:after="0" w:line="360" w:lineRule="auto"/>
        <w:jc w:val="both"/>
        <w:rPr>
          <w:b/>
          <w:bCs/>
          <w:lang w:val="en-GB"/>
        </w:rPr>
      </w:pPr>
      <w:r>
        <w:rPr>
          <w:b/>
          <w:bCs/>
          <w:lang w:val="en-GB"/>
        </w:rPr>
        <w:t>6</w:t>
      </w:r>
      <w:r w:rsidR="008168B6">
        <w:rPr>
          <w:b/>
          <w:bCs/>
          <w:lang w:val="en-GB"/>
        </w:rPr>
        <w:t xml:space="preserve"> Results, Discussion, Conclusion</w:t>
      </w:r>
    </w:p>
    <w:p w:rsidR="00727CD1" w:rsidRDefault="00122031" w:rsidP="00C90C0D">
      <w:pPr>
        <w:spacing w:after="0" w:line="360" w:lineRule="auto"/>
        <w:jc w:val="both"/>
        <w:rPr>
          <w:lang w:val="en-GB"/>
        </w:rPr>
      </w:pPr>
      <w:r>
        <w:rPr>
          <w:lang w:val="en-GB"/>
        </w:rPr>
        <w:t>Data from HBSs have been analysed in many ways</w:t>
      </w:r>
      <w:r w:rsidR="00325981">
        <w:rPr>
          <w:lang w:val="en-GB"/>
        </w:rPr>
        <w:t>, many of them emerging from the theories of Ernst Engel</w:t>
      </w:r>
      <w:r>
        <w:rPr>
          <w:lang w:val="en-GB"/>
        </w:rPr>
        <w:t xml:space="preserve">.  </w:t>
      </w:r>
      <w:r w:rsidR="00025F8F">
        <w:rPr>
          <w:lang w:val="en-GB"/>
        </w:rPr>
        <w:t>A r</w:t>
      </w:r>
      <w:r>
        <w:rPr>
          <w:lang w:val="en-GB"/>
        </w:rPr>
        <w:t>ecent</w:t>
      </w:r>
      <w:r w:rsidR="00025F8F">
        <w:rPr>
          <w:lang w:val="en-GB"/>
        </w:rPr>
        <w:t xml:space="preserve"> study </w:t>
      </w:r>
      <w:r w:rsidR="007F2E79">
        <w:rPr>
          <w:lang w:val="en-GB"/>
        </w:rPr>
        <w:t>on household size and food consumption</w:t>
      </w:r>
      <w:r w:rsidR="00025F8F" w:rsidRPr="00025F8F">
        <w:rPr>
          <w:lang w:val="en-GB"/>
        </w:rPr>
        <w:t xml:space="preserve"> </w:t>
      </w:r>
      <w:r w:rsidR="007D7350">
        <w:rPr>
          <w:lang w:val="en-GB"/>
        </w:rPr>
        <w:t xml:space="preserve">in Cyprus </w:t>
      </w:r>
      <w:r w:rsidR="00775679">
        <w:rPr>
          <w:lang w:val="en-GB"/>
        </w:rPr>
        <w:t>(</w:t>
      </w:r>
      <w:r w:rsidR="007D7350">
        <w:rPr>
          <w:lang w:val="en-GB"/>
        </w:rPr>
        <w:t>Jacobson</w:t>
      </w:r>
      <w:r w:rsidR="00775679">
        <w:rPr>
          <w:lang w:val="en-GB"/>
        </w:rPr>
        <w:t xml:space="preserve"> </w:t>
      </w:r>
      <w:r w:rsidR="00FD0918" w:rsidRPr="00FD0918">
        <w:rPr>
          <w:i/>
          <w:iCs/>
          <w:lang w:val="en-GB"/>
        </w:rPr>
        <w:t>et al</w:t>
      </w:r>
      <w:r w:rsidR="00775679">
        <w:rPr>
          <w:lang w:val="en-GB"/>
        </w:rPr>
        <w:t>., 2010</w:t>
      </w:r>
      <w:r w:rsidR="00325981">
        <w:rPr>
          <w:lang w:val="en-GB"/>
        </w:rPr>
        <w:t xml:space="preserve">) </w:t>
      </w:r>
      <w:r w:rsidR="007F2E79">
        <w:rPr>
          <w:lang w:val="en-GB"/>
        </w:rPr>
        <w:t xml:space="preserve">has shown that in terms of </w:t>
      </w:r>
      <w:r w:rsidR="00BF589B">
        <w:rPr>
          <w:lang w:val="en-GB"/>
        </w:rPr>
        <w:t xml:space="preserve">the economic concept of </w:t>
      </w:r>
      <w:r w:rsidR="002B6131">
        <w:rPr>
          <w:lang w:val="en-GB"/>
        </w:rPr>
        <w:t xml:space="preserve">how </w:t>
      </w:r>
      <w:r w:rsidR="00BF589B">
        <w:rPr>
          <w:lang w:val="en-GB"/>
        </w:rPr>
        <w:t>shared</w:t>
      </w:r>
      <w:r w:rsidR="002B6131">
        <w:rPr>
          <w:lang w:val="en-GB"/>
        </w:rPr>
        <w:t xml:space="preserve"> </w:t>
      </w:r>
      <w:r w:rsidR="00C90C0D">
        <w:rPr>
          <w:lang w:val="en-GB"/>
        </w:rPr>
        <w:t>(</w:t>
      </w:r>
      <w:r w:rsidR="002B6131">
        <w:rPr>
          <w:lang w:val="en-GB"/>
        </w:rPr>
        <w:t>or public-within-</w:t>
      </w:r>
      <w:r w:rsidR="00BF589B">
        <w:rPr>
          <w:lang w:val="en-GB"/>
        </w:rPr>
        <w:t>the</w:t>
      </w:r>
      <w:r w:rsidR="002B6131">
        <w:rPr>
          <w:lang w:val="en-GB"/>
        </w:rPr>
        <w:t>-</w:t>
      </w:r>
      <w:r w:rsidR="00BF589B">
        <w:rPr>
          <w:lang w:val="en-GB"/>
        </w:rPr>
        <w:t xml:space="preserve"> household</w:t>
      </w:r>
      <w:r w:rsidR="00C90C0D">
        <w:rPr>
          <w:lang w:val="en-GB"/>
        </w:rPr>
        <w:t>)</w:t>
      </w:r>
      <w:r w:rsidR="007F2E79">
        <w:rPr>
          <w:lang w:val="en-GB"/>
        </w:rPr>
        <w:t xml:space="preserve"> </w:t>
      </w:r>
      <w:r w:rsidR="00BF589B">
        <w:rPr>
          <w:lang w:val="en-GB"/>
        </w:rPr>
        <w:t>food is</w:t>
      </w:r>
      <w:r w:rsidR="002B6131">
        <w:rPr>
          <w:lang w:val="en-GB"/>
        </w:rPr>
        <w:t>, it is</w:t>
      </w:r>
      <w:r w:rsidR="00BF589B">
        <w:rPr>
          <w:lang w:val="en-GB"/>
        </w:rPr>
        <w:t xml:space="preserve"> not the best example as it is less</w:t>
      </w:r>
      <w:r w:rsidR="002B6131">
        <w:rPr>
          <w:lang w:val="en-GB"/>
        </w:rPr>
        <w:t xml:space="preserve"> shared</w:t>
      </w:r>
      <w:r w:rsidR="00BF589B">
        <w:rPr>
          <w:lang w:val="en-GB"/>
        </w:rPr>
        <w:t xml:space="preserve"> than clothing.  </w:t>
      </w:r>
      <w:r w:rsidR="007F2E79">
        <w:rPr>
          <w:lang w:val="en-GB"/>
        </w:rPr>
        <w:t>This emerges from the Deaton-</w:t>
      </w:r>
      <w:proofErr w:type="spellStart"/>
      <w:r w:rsidR="007F2E79">
        <w:rPr>
          <w:lang w:val="en-GB"/>
        </w:rPr>
        <w:t>Paxson</w:t>
      </w:r>
      <w:proofErr w:type="spellEnd"/>
      <w:r w:rsidR="007F2E79">
        <w:rPr>
          <w:lang w:val="en-GB"/>
        </w:rPr>
        <w:t xml:space="preserve"> literature, and in particular from a HBS implemented in Cyprus in order to address the Deaton-</w:t>
      </w:r>
      <w:proofErr w:type="spellStart"/>
      <w:r w:rsidR="007F2E79">
        <w:rPr>
          <w:lang w:val="en-GB"/>
        </w:rPr>
        <w:t>Paxson</w:t>
      </w:r>
      <w:proofErr w:type="spellEnd"/>
      <w:r w:rsidR="007F2E79">
        <w:rPr>
          <w:lang w:val="en-GB"/>
        </w:rPr>
        <w:t xml:space="preserve"> paradox.  </w:t>
      </w:r>
    </w:p>
    <w:p w:rsidR="00727CD1" w:rsidRDefault="00727CD1" w:rsidP="00727CD1">
      <w:pPr>
        <w:spacing w:after="0" w:line="360" w:lineRule="auto"/>
        <w:jc w:val="both"/>
        <w:rPr>
          <w:lang w:val="en-GB"/>
        </w:rPr>
      </w:pPr>
    </w:p>
    <w:p w:rsidR="009A1812" w:rsidRDefault="007F2E79" w:rsidP="00172723">
      <w:pPr>
        <w:spacing w:after="0" w:line="360" w:lineRule="auto"/>
        <w:jc w:val="both"/>
        <w:rPr>
          <w:lang w:val="en-GB"/>
        </w:rPr>
      </w:pPr>
      <w:r>
        <w:rPr>
          <w:lang w:val="en-GB"/>
        </w:rPr>
        <w:t>Also emerging from the Cyprus HBS is that expenditure on food at home in older households is substantially greater per person than in younger households.  Using the data from the Cyprus HBS, it has been possible to reject a number of possible explanations for this finding</w:t>
      </w:r>
      <w:r w:rsidR="00070A10">
        <w:rPr>
          <w:lang w:val="en-GB"/>
        </w:rPr>
        <w:t xml:space="preserve">.  </w:t>
      </w:r>
      <w:r w:rsidR="00172723">
        <w:rPr>
          <w:lang w:val="en-GB"/>
        </w:rPr>
        <w:t xml:space="preserve">Without a national Time-Use Survey like that in Germany, it is not possible to identify the extent to which retirement leads to a change in lifestyle and associated food consumption behaviour which might explain some </w:t>
      </w:r>
      <w:r w:rsidR="00172723">
        <w:rPr>
          <w:lang w:val="en-GB"/>
        </w:rPr>
        <w:lastRenderedPageBreak/>
        <w:t xml:space="preserve">of the extra 55 per cent of Table 1. The employment data and the interviews together suggest that it is not an important part of the explanation. </w:t>
      </w:r>
    </w:p>
    <w:p w:rsidR="009A1812" w:rsidRDefault="009A1812" w:rsidP="00172723">
      <w:pPr>
        <w:spacing w:after="0" w:line="360" w:lineRule="auto"/>
        <w:jc w:val="both"/>
        <w:rPr>
          <w:lang w:val="en-GB"/>
        </w:rPr>
      </w:pPr>
    </w:p>
    <w:p w:rsidR="00BF589B" w:rsidRPr="00F7720D" w:rsidRDefault="00070A10" w:rsidP="009A1812">
      <w:pPr>
        <w:spacing w:after="0" w:line="360" w:lineRule="auto"/>
        <w:jc w:val="both"/>
      </w:pPr>
      <w:r>
        <w:rPr>
          <w:lang w:val="en-GB"/>
        </w:rPr>
        <w:t>There was</w:t>
      </w:r>
      <w:r w:rsidR="009A1812">
        <w:rPr>
          <w:lang w:val="en-GB"/>
        </w:rPr>
        <w:t xml:space="preserve"> </w:t>
      </w:r>
      <w:r>
        <w:rPr>
          <w:lang w:val="en-GB"/>
        </w:rPr>
        <w:t xml:space="preserve">no way of using </w:t>
      </w:r>
      <w:r w:rsidR="009A1812">
        <w:rPr>
          <w:lang w:val="en-GB"/>
        </w:rPr>
        <w:t xml:space="preserve">the HBS </w:t>
      </w:r>
      <w:r>
        <w:rPr>
          <w:lang w:val="en-GB"/>
        </w:rPr>
        <w:t xml:space="preserve">data to confirm </w:t>
      </w:r>
      <w:r w:rsidR="00125AFD">
        <w:rPr>
          <w:lang w:val="en-GB"/>
        </w:rPr>
        <w:t xml:space="preserve">or reject </w:t>
      </w:r>
      <w:r>
        <w:rPr>
          <w:lang w:val="en-GB"/>
        </w:rPr>
        <w:t xml:space="preserve">the suggestion that </w:t>
      </w:r>
      <w:r w:rsidR="009A1812">
        <w:rPr>
          <w:lang w:val="en-GB"/>
        </w:rPr>
        <w:t xml:space="preserve">Table 1 </w:t>
      </w:r>
      <w:r>
        <w:rPr>
          <w:lang w:val="en-GB"/>
        </w:rPr>
        <w:t>could be explained by the fact that older households were providing food for younger households in the same multi-household family.</w:t>
      </w:r>
      <w:r w:rsidR="00325981">
        <w:rPr>
          <w:lang w:val="en-GB"/>
        </w:rPr>
        <w:t xml:space="preserve">  </w:t>
      </w:r>
      <w:r w:rsidR="009A6FDE">
        <w:rPr>
          <w:lang w:val="en-GB"/>
        </w:rPr>
        <w:t>To address thi</w:t>
      </w:r>
      <w:r w:rsidR="007C1ABC">
        <w:rPr>
          <w:lang w:val="en-GB"/>
        </w:rPr>
        <w:t>s, an approach more informed by the theories of Simmel was appropriate.</w:t>
      </w:r>
      <w:r w:rsidR="00EE1B2F">
        <w:rPr>
          <w:lang w:val="en-GB"/>
        </w:rPr>
        <w:t xml:space="preserve"> This approach involved in-depth interviews with individual households to obtain information on the extent to which their </w:t>
      </w:r>
      <w:r w:rsidR="00BF589B">
        <w:rPr>
          <w:lang w:val="en-GB"/>
        </w:rPr>
        <w:t xml:space="preserve">meals are shared – as a social process – </w:t>
      </w:r>
      <w:r w:rsidR="00EE1B2F">
        <w:rPr>
          <w:lang w:val="en-GB"/>
        </w:rPr>
        <w:t>within extended families, between households.</w:t>
      </w:r>
      <w:r w:rsidR="00BF589B">
        <w:rPr>
          <w:lang w:val="en-GB"/>
        </w:rPr>
        <w:t xml:space="preserve"> </w:t>
      </w:r>
      <w:r w:rsidR="00F7720D">
        <w:rPr>
          <w:lang w:val="en-GB"/>
        </w:rPr>
        <w:t xml:space="preserve">These interviews, and other research on Cyprus (Minas </w:t>
      </w:r>
      <w:r w:rsidR="00F7720D">
        <w:rPr>
          <w:i/>
          <w:iCs/>
          <w:lang w:val="en-GB"/>
        </w:rPr>
        <w:t>et al</w:t>
      </w:r>
      <w:r w:rsidR="00F7720D">
        <w:rPr>
          <w:lang w:val="en-GB"/>
        </w:rPr>
        <w:t>., 2013a)</w:t>
      </w:r>
      <w:proofErr w:type="gramStart"/>
      <w:r w:rsidR="00F7720D">
        <w:rPr>
          <w:lang w:val="en-GB"/>
        </w:rPr>
        <w:t>,</w:t>
      </w:r>
      <w:proofErr w:type="gramEnd"/>
      <w:r w:rsidR="00F7720D">
        <w:rPr>
          <w:lang w:val="en-GB"/>
        </w:rPr>
        <w:t xml:space="preserve"> suggest moreover that the direction of support in the inter-household families is much more from the older households to the younger ones than vice versa.  There is no evidence, for example, that the greater food at home expenditure of the older household is compensated for by other expenditure (for example on meals out) by the younger household.</w:t>
      </w:r>
    </w:p>
    <w:p w:rsidR="000D4B94" w:rsidRDefault="000D4B94" w:rsidP="004B761E">
      <w:pPr>
        <w:spacing w:after="0" w:line="360" w:lineRule="auto"/>
        <w:jc w:val="both"/>
      </w:pPr>
    </w:p>
    <w:p w:rsidR="000D4B94" w:rsidRDefault="00FA462B" w:rsidP="00F7720D">
      <w:pPr>
        <w:spacing w:after="0" w:line="360" w:lineRule="auto"/>
        <w:jc w:val="both"/>
      </w:pPr>
      <w:r>
        <w:t xml:space="preserve">In short, why is the expenditure per person in older, smaller households on food at home 55 per cent greater than in younger, larger households?  The answer </w:t>
      </w:r>
      <w:r w:rsidR="007D7350">
        <w:t xml:space="preserve">suggested </w:t>
      </w:r>
      <w:r w:rsidR="00F7720D">
        <w:t>in this paper</w:t>
      </w:r>
      <w:r w:rsidR="007D7350">
        <w:t xml:space="preserve"> </w:t>
      </w:r>
      <w:r>
        <w:t xml:space="preserve">is that </w:t>
      </w:r>
      <w:r w:rsidR="007D7350">
        <w:t xml:space="preserve">it is because </w:t>
      </w:r>
      <w:r>
        <w:t>so many of the older, smaller households are those of grandparents that buy and prepare food for the</w:t>
      </w:r>
      <w:r w:rsidR="00166C83">
        <w:t>ir</w:t>
      </w:r>
      <w:r>
        <w:t xml:space="preserve"> children and their grandchildren.</w:t>
      </w:r>
    </w:p>
    <w:p w:rsidR="000D4B94" w:rsidRDefault="000D4B94" w:rsidP="000D4B94">
      <w:pPr>
        <w:spacing w:after="0" w:line="360" w:lineRule="auto"/>
        <w:jc w:val="both"/>
      </w:pPr>
    </w:p>
    <w:p w:rsidR="00DA633A" w:rsidRDefault="00FA462B" w:rsidP="000D4B94">
      <w:pPr>
        <w:spacing w:after="0" w:line="360" w:lineRule="auto"/>
        <w:jc w:val="both"/>
        <w:rPr>
          <w:lang w:val="en-GB"/>
        </w:rPr>
      </w:pPr>
      <w:r>
        <w:rPr>
          <w:lang w:val="en-GB"/>
        </w:rPr>
        <w:t>If th</w:t>
      </w:r>
      <w:r w:rsidR="00BF589B">
        <w:rPr>
          <w:lang w:val="en-GB"/>
        </w:rPr>
        <w:t>is</w:t>
      </w:r>
      <w:r>
        <w:rPr>
          <w:lang w:val="en-GB"/>
        </w:rPr>
        <w:t xml:space="preserve"> conclusion is correct, then a great deal of the empirical analysis of HBSs used in the papers on the </w:t>
      </w:r>
      <w:r w:rsidR="000D4B94">
        <w:rPr>
          <w:lang w:val="en-GB"/>
        </w:rPr>
        <w:t>Deaton-</w:t>
      </w:r>
      <w:proofErr w:type="spellStart"/>
      <w:r w:rsidR="000D4B94">
        <w:rPr>
          <w:lang w:val="en-GB"/>
        </w:rPr>
        <w:t>Paxson</w:t>
      </w:r>
      <w:proofErr w:type="spellEnd"/>
      <w:r w:rsidR="000D4B94">
        <w:rPr>
          <w:lang w:val="en-GB"/>
        </w:rPr>
        <w:t xml:space="preserve"> p</w:t>
      </w:r>
      <w:r>
        <w:rPr>
          <w:lang w:val="en-GB"/>
        </w:rPr>
        <w:t xml:space="preserve">aradox may be called into question.  </w:t>
      </w:r>
      <w:r w:rsidR="00872A4C">
        <w:rPr>
          <w:lang w:val="en-GB"/>
        </w:rPr>
        <w:t xml:space="preserve">After all, </w:t>
      </w:r>
      <w:r w:rsidR="001040F4">
        <w:rPr>
          <w:lang w:val="en-GB"/>
        </w:rPr>
        <w:t xml:space="preserve">if </w:t>
      </w:r>
      <w:r w:rsidR="00872A4C">
        <w:rPr>
          <w:lang w:val="en-GB"/>
        </w:rPr>
        <w:t xml:space="preserve">the food at home </w:t>
      </w:r>
      <w:r w:rsidR="001040F4">
        <w:rPr>
          <w:lang w:val="en-GB"/>
        </w:rPr>
        <w:t xml:space="preserve">purchased apparently for consumption in the two-person households in Table 1 is actually consumed in many cases by families of </w:t>
      </w:r>
      <w:r w:rsidR="00BF589B">
        <w:rPr>
          <w:lang w:val="en-GB"/>
        </w:rPr>
        <w:t>more than one household</w:t>
      </w:r>
      <w:r w:rsidR="001040F4">
        <w:rPr>
          <w:lang w:val="en-GB"/>
        </w:rPr>
        <w:t xml:space="preserve">, then the extent of sharing </w:t>
      </w:r>
      <w:r w:rsidR="00BF589B">
        <w:rPr>
          <w:lang w:val="en-GB"/>
        </w:rPr>
        <w:t xml:space="preserve">(in both senses) </w:t>
      </w:r>
      <w:r w:rsidR="001040F4">
        <w:rPr>
          <w:lang w:val="en-GB"/>
        </w:rPr>
        <w:t>is much greater than the HBS data suggest.  Much of the Deaton-</w:t>
      </w:r>
      <w:proofErr w:type="spellStart"/>
      <w:r w:rsidR="001040F4">
        <w:rPr>
          <w:lang w:val="en-GB"/>
        </w:rPr>
        <w:t>Paxson</w:t>
      </w:r>
      <w:proofErr w:type="spellEnd"/>
      <w:r w:rsidR="001040F4">
        <w:rPr>
          <w:lang w:val="en-GB"/>
        </w:rPr>
        <w:t xml:space="preserve"> debate focuses on relatively poor countries, where extended families are much more common than in more industrialised countries.  If the extended – or multi-household – family in Cyprus explains a greater sharing of food in Cyprus than suggested by the HBS, then it is likely that this is true, too, for the countries subject to analysis in the debate on the Deaton-</w:t>
      </w:r>
      <w:proofErr w:type="spellStart"/>
      <w:r w:rsidR="001040F4">
        <w:rPr>
          <w:lang w:val="en-GB"/>
        </w:rPr>
        <w:t>Paxson</w:t>
      </w:r>
      <w:proofErr w:type="spellEnd"/>
      <w:r w:rsidR="001040F4">
        <w:rPr>
          <w:lang w:val="en-GB"/>
        </w:rPr>
        <w:t xml:space="preserve"> paradox.  </w:t>
      </w:r>
    </w:p>
    <w:p w:rsidR="00DA633A" w:rsidRDefault="00DA633A" w:rsidP="001040F4">
      <w:pPr>
        <w:keepNext/>
        <w:keepLines/>
        <w:widowControl w:val="0"/>
        <w:spacing w:after="0" w:line="360" w:lineRule="auto"/>
        <w:jc w:val="both"/>
        <w:rPr>
          <w:lang w:val="en-GB"/>
        </w:rPr>
      </w:pPr>
    </w:p>
    <w:p w:rsidR="00FA462B" w:rsidRPr="008168B6" w:rsidRDefault="001040F4" w:rsidP="000D4B94">
      <w:pPr>
        <w:keepNext/>
        <w:keepLines/>
        <w:widowControl w:val="0"/>
        <w:spacing w:after="0" w:line="360" w:lineRule="auto"/>
        <w:jc w:val="both"/>
        <w:rPr>
          <w:lang w:val="en-GB"/>
        </w:rPr>
      </w:pPr>
      <w:r>
        <w:rPr>
          <w:lang w:val="en-GB"/>
        </w:rPr>
        <w:t>At the very least, the present paper suggests the need for a reconsideration of what to include among the questions in standard household budget survey</w:t>
      </w:r>
      <w:r w:rsidR="00DA633A">
        <w:rPr>
          <w:lang w:val="en-GB"/>
        </w:rPr>
        <w:t>s.  It also suggests the need for caution</w:t>
      </w:r>
      <w:r w:rsidR="00BF589B">
        <w:rPr>
          <w:lang w:val="en-GB"/>
        </w:rPr>
        <w:t>,</w:t>
      </w:r>
      <w:r w:rsidR="00DA633A">
        <w:rPr>
          <w:lang w:val="en-GB"/>
        </w:rPr>
        <w:t xml:space="preserve"> where the </w:t>
      </w:r>
      <w:r w:rsidR="00166C83">
        <w:rPr>
          <w:lang w:val="en-GB"/>
        </w:rPr>
        <w:t xml:space="preserve">HBS </w:t>
      </w:r>
      <w:r w:rsidR="00DA633A">
        <w:rPr>
          <w:lang w:val="en-GB"/>
        </w:rPr>
        <w:t>data are from countries with strong f</w:t>
      </w:r>
      <w:r w:rsidR="000D4B94">
        <w:rPr>
          <w:lang w:val="en-GB"/>
        </w:rPr>
        <w:t>amily pillars, like those of southern Europe and the Mediterranean</w:t>
      </w:r>
      <w:r w:rsidR="00DA633A">
        <w:rPr>
          <w:lang w:val="en-GB"/>
        </w:rPr>
        <w:t>.</w:t>
      </w:r>
      <w:r w:rsidR="007C1ABC">
        <w:rPr>
          <w:lang w:val="en-GB"/>
        </w:rPr>
        <w:t xml:space="preserve"> Finally, it </w:t>
      </w:r>
      <w:r w:rsidR="00BF589B">
        <w:rPr>
          <w:lang w:val="en-GB"/>
        </w:rPr>
        <w:t>follows</w:t>
      </w:r>
      <w:r w:rsidR="007C1ABC">
        <w:rPr>
          <w:lang w:val="en-GB"/>
        </w:rPr>
        <w:t xml:space="preserve"> that some of the questions relating to household and/or family food consumption are better addressed </w:t>
      </w:r>
      <w:r w:rsidR="000D4B94">
        <w:rPr>
          <w:lang w:val="en-GB"/>
        </w:rPr>
        <w:t>from the theories of Simmel than</w:t>
      </w:r>
      <w:r w:rsidR="007C1ABC">
        <w:rPr>
          <w:lang w:val="en-GB"/>
        </w:rPr>
        <w:t xml:space="preserve"> of Engel.</w:t>
      </w:r>
    </w:p>
    <w:p w:rsidR="000A1BD4" w:rsidRDefault="000A1BD4">
      <w:pPr>
        <w:rPr>
          <w:lang w:val="en-GB"/>
        </w:rPr>
      </w:pPr>
      <w:r>
        <w:rPr>
          <w:lang w:val="en-GB"/>
        </w:rPr>
        <w:br w:type="page"/>
      </w:r>
    </w:p>
    <w:p w:rsidR="000A1BD4" w:rsidRPr="00BE3664" w:rsidRDefault="000A1BD4" w:rsidP="000A1BD4">
      <w:pPr>
        <w:keepNext/>
        <w:keepLines/>
        <w:spacing w:after="0" w:line="360" w:lineRule="auto"/>
        <w:jc w:val="both"/>
        <w:rPr>
          <w:b/>
          <w:lang w:val="en-GB"/>
        </w:rPr>
      </w:pPr>
      <w:r w:rsidRPr="00183943">
        <w:rPr>
          <w:b/>
          <w:lang w:val="en-GB"/>
        </w:rPr>
        <w:lastRenderedPageBreak/>
        <w:t xml:space="preserve">Table 1: Average Expenditure on Food </w:t>
      </w:r>
      <w:r>
        <w:rPr>
          <w:b/>
          <w:lang w:val="en-GB"/>
        </w:rPr>
        <w:t xml:space="preserve">at Home </w:t>
      </w:r>
      <w:r w:rsidRPr="00183943">
        <w:rPr>
          <w:b/>
          <w:lang w:val="en-GB"/>
        </w:rPr>
        <w:t>in Cyprus, Cyprus Pounds</w:t>
      </w:r>
      <w:r>
        <w:rPr>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651"/>
        <w:gridCol w:w="1499"/>
      </w:tblGrid>
      <w:tr w:rsidR="000A1BD4" w:rsidRPr="004B38EB" w:rsidTr="00696611">
        <w:trPr>
          <w:trHeight w:val="264"/>
        </w:trPr>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p>
        </w:tc>
        <w:tc>
          <w:tcPr>
            <w:tcW w:w="0" w:type="auto"/>
            <w:gridSpan w:val="2"/>
            <w:shd w:val="clear" w:color="auto" w:fill="auto"/>
            <w:noWrap/>
            <w:vAlign w:val="center"/>
            <w:hideMark/>
          </w:tcPr>
          <w:p w:rsidR="000A1BD4" w:rsidRPr="004B38EB" w:rsidRDefault="000A1BD4" w:rsidP="00696611">
            <w:pPr>
              <w:keepNext/>
              <w:keepLines/>
              <w:spacing w:after="0" w:line="360" w:lineRule="auto"/>
              <w:jc w:val="both"/>
              <w:rPr>
                <w:b/>
                <w:bCs/>
                <w:lang w:val="en-GB"/>
              </w:rPr>
            </w:pPr>
            <w:r w:rsidRPr="004B38EB">
              <w:rPr>
                <w:b/>
                <w:bCs/>
                <w:lang w:val="en-GB"/>
              </w:rPr>
              <w:t>Food at Home</w:t>
            </w:r>
          </w:p>
        </w:tc>
      </w:tr>
      <w:tr w:rsidR="000A1BD4" w:rsidRPr="004B38EB" w:rsidTr="00696611">
        <w:trPr>
          <w:trHeight w:val="264"/>
        </w:trPr>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p>
        </w:tc>
        <w:tc>
          <w:tcPr>
            <w:tcW w:w="0" w:type="auto"/>
            <w:shd w:val="clear" w:color="auto" w:fill="auto"/>
            <w:noWrap/>
            <w:vAlign w:val="center"/>
            <w:hideMark/>
          </w:tcPr>
          <w:p w:rsidR="000A1BD4" w:rsidRPr="004B38EB" w:rsidRDefault="000A1BD4" w:rsidP="00696611">
            <w:pPr>
              <w:keepNext/>
              <w:keepLines/>
              <w:spacing w:after="0" w:line="360" w:lineRule="auto"/>
              <w:jc w:val="both"/>
              <w:rPr>
                <w:b/>
                <w:bCs/>
                <w:vertAlign w:val="superscript"/>
                <w:lang w:val="en-GB"/>
              </w:rPr>
            </w:pPr>
            <w:r w:rsidRPr="004B38EB">
              <w:rPr>
                <w:b/>
                <w:bCs/>
                <w:lang w:val="en-GB"/>
              </w:rPr>
              <w:t>2+2 Household</w:t>
            </w:r>
            <w:r w:rsidRPr="004B38EB">
              <w:rPr>
                <w:b/>
                <w:bCs/>
                <w:vertAlign w:val="superscript"/>
                <w:lang w:val="en-GB"/>
              </w:rPr>
              <w:t>*</w:t>
            </w:r>
          </w:p>
        </w:tc>
        <w:tc>
          <w:tcPr>
            <w:tcW w:w="0" w:type="auto"/>
            <w:shd w:val="clear" w:color="auto" w:fill="auto"/>
            <w:noWrap/>
            <w:vAlign w:val="center"/>
            <w:hideMark/>
          </w:tcPr>
          <w:p w:rsidR="000A1BD4" w:rsidRPr="004B38EB" w:rsidRDefault="000A1BD4" w:rsidP="00696611">
            <w:pPr>
              <w:keepNext/>
              <w:keepLines/>
              <w:spacing w:after="0" w:line="360" w:lineRule="auto"/>
              <w:jc w:val="both"/>
              <w:rPr>
                <w:b/>
                <w:bCs/>
                <w:vertAlign w:val="superscript"/>
                <w:lang w:val="en-GB"/>
              </w:rPr>
            </w:pPr>
            <w:r w:rsidRPr="004B38EB">
              <w:rPr>
                <w:b/>
                <w:bCs/>
                <w:lang w:val="en-GB"/>
              </w:rPr>
              <w:t>2 Household</w:t>
            </w:r>
            <w:r w:rsidRPr="004B38EB">
              <w:rPr>
                <w:b/>
                <w:bCs/>
                <w:vertAlign w:val="superscript"/>
                <w:lang w:val="en-GB"/>
              </w:rPr>
              <w:t>**</w:t>
            </w:r>
          </w:p>
        </w:tc>
      </w:tr>
      <w:tr w:rsidR="000A1BD4" w:rsidRPr="004B38EB" w:rsidTr="00696611">
        <w:trPr>
          <w:trHeight w:val="624"/>
        </w:trPr>
        <w:tc>
          <w:tcPr>
            <w:tcW w:w="0" w:type="auto"/>
            <w:shd w:val="clear" w:color="auto" w:fill="auto"/>
            <w:noWrap/>
            <w:vAlign w:val="center"/>
          </w:tcPr>
          <w:p w:rsidR="000A1BD4" w:rsidRPr="004B38EB" w:rsidRDefault="000A1BD4" w:rsidP="00696611">
            <w:pPr>
              <w:keepNext/>
              <w:keepLines/>
              <w:spacing w:after="0" w:line="360" w:lineRule="auto"/>
              <w:jc w:val="both"/>
              <w:rPr>
                <w:b/>
                <w:bCs/>
                <w:lang w:val="en-GB"/>
              </w:rPr>
            </w:pPr>
            <w:r w:rsidRPr="004B38EB">
              <w:rPr>
                <w:b/>
                <w:bCs/>
                <w:lang w:val="en-GB"/>
              </w:rPr>
              <w:t xml:space="preserve">Age of Woman of Household </w:t>
            </w:r>
          </w:p>
        </w:tc>
        <w:tc>
          <w:tcPr>
            <w:tcW w:w="0" w:type="auto"/>
            <w:shd w:val="clear" w:color="auto" w:fill="auto"/>
            <w:noWrap/>
            <w:vAlign w:val="center"/>
          </w:tcPr>
          <w:p w:rsidR="000A1BD4" w:rsidRPr="004B38EB" w:rsidRDefault="000A1BD4" w:rsidP="00696611">
            <w:pPr>
              <w:keepNext/>
              <w:keepLines/>
              <w:spacing w:after="0" w:line="360" w:lineRule="auto"/>
              <w:jc w:val="both"/>
              <w:rPr>
                <w:lang w:val="en-GB"/>
              </w:rPr>
            </w:pPr>
            <w:r w:rsidRPr="004B38EB">
              <w:rPr>
                <w:lang w:val="en-GB"/>
              </w:rPr>
              <w:t>25-34</w:t>
            </w:r>
          </w:p>
        </w:tc>
        <w:tc>
          <w:tcPr>
            <w:tcW w:w="0" w:type="auto"/>
            <w:shd w:val="clear" w:color="auto" w:fill="auto"/>
            <w:noWrap/>
            <w:vAlign w:val="center"/>
          </w:tcPr>
          <w:p w:rsidR="000A1BD4" w:rsidRPr="004B38EB" w:rsidRDefault="000A1BD4" w:rsidP="00696611">
            <w:pPr>
              <w:keepNext/>
              <w:keepLines/>
              <w:spacing w:after="0" w:line="360" w:lineRule="auto"/>
              <w:jc w:val="both"/>
              <w:rPr>
                <w:lang w:val="en-GB"/>
              </w:rPr>
            </w:pPr>
            <w:r w:rsidRPr="004B38EB">
              <w:rPr>
                <w:lang w:val="en-GB"/>
              </w:rPr>
              <w:t>50+</w:t>
            </w:r>
          </w:p>
        </w:tc>
      </w:tr>
      <w:tr w:rsidR="000A1BD4" w:rsidRPr="004B38EB" w:rsidTr="00696611">
        <w:trPr>
          <w:trHeight w:val="624"/>
        </w:trPr>
        <w:tc>
          <w:tcPr>
            <w:tcW w:w="0" w:type="auto"/>
            <w:shd w:val="clear" w:color="auto" w:fill="auto"/>
            <w:noWrap/>
            <w:vAlign w:val="center"/>
            <w:hideMark/>
          </w:tcPr>
          <w:p w:rsidR="000A1BD4" w:rsidRPr="004B38EB" w:rsidRDefault="000A1BD4" w:rsidP="00696611">
            <w:pPr>
              <w:keepNext/>
              <w:keepLines/>
              <w:spacing w:after="0" w:line="360" w:lineRule="auto"/>
              <w:jc w:val="both"/>
              <w:rPr>
                <w:b/>
                <w:bCs/>
                <w:lang w:val="en-GB"/>
              </w:rPr>
            </w:pPr>
            <w:r w:rsidRPr="004B38EB">
              <w:rPr>
                <w:b/>
                <w:bCs/>
                <w:lang w:val="en-GB"/>
              </w:rPr>
              <w:t>Average Expenditure Per Person Per Month</w:t>
            </w:r>
          </w:p>
        </w:tc>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r w:rsidRPr="004B38EB">
              <w:rPr>
                <w:lang w:val="en-GB"/>
              </w:rPr>
              <w:t>94.47</w:t>
            </w:r>
          </w:p>
        </w:tc>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r w:rsidRPr="004B38EB">
              <w:rPr>
                <w:lang w:val="en-GB"/>
              </w:rPr>
              <w:t>146.3</w:t>
            </w:r>
            <w:r>
              <w:rPr>
                <w:lang w:val="en-GB"/>
              </w:rPr>
              <w:t>0</w:t>
            </w:r>
          </w:p>
        </w:tc>
      </w:tr>
      <w:tr w:rsidR="000A1BD4" w:rsidRPr="004B38EB" w:rsidTr="00696611">
        <w:trPr>
          <w:trHeight w:val="624"/>
        </w:trPr>
        <w:tc>
          <w:tcPr>
            <w:tcW w:w="0" w:type="auto"/>
            <w:shd w:val="clear" w:color="auto" w:fill="auto"/>
            <w:noWrap/>
            <w:vAlign w:val="center"/>
            <w:hideMark/>
          </w:tcPr>
          <w:p w:rsidR="000A1BD4" w:rsidRPr="004B38EB" w:rsidRDefault="000A1BD4" w:rsidP="00696611">
            <w:pPr>
              <w:keepNext/>
              <w:keepLines/>
              <w:spacing w:after="0" w:line="360" w:lineRule="auto"/>
              <w:jc w:val="both"/>
              <w:rPr>
                <w:b/>
                <w:bCs/>
                <w:lang w:val="en-GB"/>
              </w:rPr>
            </w:pPr>
            <w:r w:rsidRPr="004B38EB">
              <w:rPr>
                <w:b/>
                <w:bCs/>
                <w:lang w:val="en-GB"/>
              </w:rPr>
              <w:t xml:space="preserve">Ratio of Older, 2 HH to Younger, 2+2 HH </w:t>
            </w:r>
          </w:p>
        </w:tc>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p>
        </w:tc>
        <w:tc>
          <w:tcPr>
            <w:tcW w:w="0" w:type="auto"/>
            <w:shd w:val="clear" w:color="auto" w:fill="auto"/>
            <w:noWrap/>
            <w:vAlign w:val="center"/>
            <w:hideMark/>
          </w:tcPr>
          <w:p w:rsidR="000A1BD4" w:rsidRPr="004B38EB" w:rsidRDefault="000A1BD4" w:rsidP="00696611">
            <w:pPr>
              <w:keepNext/>
              <w:keepLines/>
              <w:spacing w:after="0" w:line="360" w:lineRule="auto"/>
              <w:jc w:val="both"/>
              <w:rPr>
                <w:lang w:val="en-GB"/>
              </w:rPr>
            </w:pPr>
            <w:r w:rsidRPr="004B38EB">
              <w:rPr>
                <w:lang w:val="en-GB"/>
              </w:rPr>
              <w:t>1.55</w:t>
            </w:r>
          </w:p>
        </w:tc>
      </w:tr>
    </w:tbl>
    <w:p w:rsidR="000A1BD4" w:rsidRPr="004B38EB" w:rsidRDefault="000A1BD4" w:rsidP="000A1BD4">
      <w:pPr>
        <w:keepNext/>
        <w:keepLines/>
        <w:spacing w:after="0" w:line="360" w:lineRule="auto"/>
        <w:jc w:val="both"/>
        <w:rPr>
          <w:lang w:val="en-GB"/>
        </w:rPr>
      </w:pPr>
      <w:r w:rsidRPr="004B38EB">
        <w:rPr>
          <w:lang w:val="en-GB"/>
        </w:rPr>
        <w:t>Notes: * 2+2 person household (n = 47)</w:t>
      </w:r>
      <w:proofErr w:type="gramStart"/>
      <w:r w:rsidRPr="004B38EB">
        <w:rPr>
          <w:lang w:val="en-GB"/>
        </w:rPr>
        <w:t>;  *</w:t>
      </w:r>
      <w:proofErr w:type="gramEnd"/>
      <w:r w:rsidRPr="004B38EB">
        <w:rPr>
          <w:lang w:val="en-GB"/>
        </w:rPr>
        <w:t>* 2 person household (n = 44)</w:t>
      </w:r>
    </w:p>
    <w:p w:rsidR="000A1BD4" w:rsidRDefault="000A1BD4" w:rsidP="000A1BD4">
      <w:pPr>
        <w:keepNext/>
        <w:keepLines/>
        <w:spacing w:after="0" w:line="360" w:lineRule="auto"/>
        <w:jc w:val="both"/>
        <w:rPr>
          <w:lang w:val="en-GB"/>
        </w:rPr>
      </w:pPr>
      <w:r>
        <w:rPr>
          <w:lang w:val="en-GB"/>
        </w:rPr>
        <w:t xml:space="preserve">Source: Jacobson </w:t>
      </w:r>
      <w:r w:rsidRPr="00FD0918">
        <w:rPr>
          <w:i/>
          <w:iCs/>
          <w:lang w:val="en-GB"/>
        </w:rPr>
        <w:t>et al</w:t>
      </w:r>
      <w:r>
        <w:rPr>
          <w:lang w:val="en-GB"/>
        </w:rPr>
        <w:t>. (2010), survey data.</w:t>
      </w:r>
      <w:r w:rsidDel="00727CD1">
        <w:rPr>
          <w:lang w:val="en-GB"/>
        </w:rPr>
        <w:t xml:space="preserve"> </w:t>
      </w:r>
    </w:p>
    <w:p w:rsidR="000A1BD4" w:rsidRDefault="000A1BD4" w:rsidP="000A1BD4">
      <w:pPr>
        <w:rPr>
          <w:lang w:val="en-GB"/>
        </w:rPr>
      </w:pPr>
      <w:r>
        <w:rPr>
          <w:lang w:val="en-GB"/>
        </w:rPr>
        <w:br w:type="page"/>
      </w:r>
    </w:p>
    <w:p w:rsidR="000A1BD4" w:rsidRPr="00716D6C" w:rsidRDefault="000A1BD4" w:rsidP="000A1BD4">
      <w:pPr>
        <w:keepNext/>
        <w:keepLines/>
        <w:spacing w:after="0" w:line="360" w:lineRule="auto"/>
        <w:jc w:val="both"/>
        <w:rPr>
          <w:lang w:val="en-GB"/>
        </w:rPr>
      </w:pPr>
      <w:r>
        <w:rPr>
          <w:b/>
          <w:lang w:val="en-GB"/>
        </w:rPr>
        <w:lastRenderedPageBreak/>
        <w:t>Table 2</w:t>
      </w:r>
      <w:r w:rsidRPr="00183943">
        <w:rPr>
          <w:b/>
          <w:lang w:val="en-GB"/>
        </w:rPr>
        <w:t xml:space="preserve">: </w:t>
      </w:r>
      <w:r>
        <w:rPr>
          <w:b/>
          <w:lang w:val="en-GB"/>
        </w:rPr>
        <w:t xml:space="preserve">Food Consumption – Location and Source </w:t>
      </w:r>
    </w:p>
    <w:tbl>
      <w:tblPr>
        <w:tblStyle w:val="TableGrid"/>
        <w:tblW w:w="8046" w:type="dxa"/>
        <w:tblBorders>
          <w:insideV w:val="none" w:sz="0" w:space="0" w:color="auto"/>
        </w:tblBorders>
        <w:tblLayout w:type="fixed"/>
        <w:tblLook w:val="0000" w:firstRow="0" w:lastRow="0" w:firstColumn="0" w:lastColumn="0" w:noHBand="0" w:noVBand="0"/>
      </w:tblPr>
      <w:tblGrid>
        <w:gridCol w:w="1087"/>
        <w:gridCol w:w="1219"/>
        <w:gridCol w:w="1162"/>
        <w:gridCol w:w="1176"/>
        <w:gridCol w:w="912"/>
        <w:gridCol w:w="1299"/>
        <w:gridCol w:w="1191"/>
      </w:tblGrid>
      <w:tr w:rsidR="000A1BD4" w:rsidRPr="00716D6C" w:rsidTr="00696611">
        <w:trPr>
          <w:trHeight w:val="510"/>
        </w:trPr>
        <w:tc>
          <w:tcPr>
            <w:tcW w:w="1087" w:type="dxa"/>
            <w:noWrap/>
          </w:tcPr>
          <w:p w:rsidR="000A1BD4" w:rsidRDefault="000A1BD4" w:rsidP="00696611">
            <w:pPr>
              <w:keepNext/>
              <w:keepLines/>
              <w:spacing w:line="360" w:lineRule="auto"/>
              <w:jc w:val="both"/>
              <w:rPr>
                <w:lang w:val="en-GB"/>
              </w:rPr>
            </w:pPr>
            <w:r>
              <w:rPr>
                <w:lang w:val="en-GB"/>
              </w:rPr>
              <w:t>House-hold</w:t>
            </w:r>
          </w:p>
          <w:p w:rsidR="000A1BD4" w:rsidRPr="00716D6C" w:rsidRDefault="000A1BD4" w:rsidP="00696611">
            <w:pPr>
              <w:keepNext/>
              <w:keepLines/>
              <w:spacing w:line="360" w:lineRule="auto"/>
              <w:jc w:val="both"/>
              <w:rPr>
                <w:lang w:val="en-GB"/>
              </w:rPr>
            </w:pPr>
            <w:r>
              <w:rPr>
                <w:lang w:val="en-GB"/>
              </w:rPr>
              <w:t>Number</w:t>
            </w:r>
          </w:p>
        </w:tc>
        <w:tc>
          <w:tcPr>
            <w:tcW w:w="1219" w:type="dxa"/>
          </w:tcPr>
          <w:p w:rsidR="000A1BD4" w:rsidRPr="00716D6C" w:rsidRDefault="000A1BD4" w:rsidP="00696611">
            <w:pPr>
              <w:keepNext/>
              <w:keepLines/>
              <w:spacing w:line="360" w:lineRule="auto"/>
              <w:jc w:val="both"/>
              <w:rPr>
                <w:lang w:val="en-GB"/>
              </w:rPr>
            </w:pPr>
            <w:r w:rsidRPr="00716D6C">
              <w:rPr>
                <w:lang w:val="en-GB"/>
              </w:rPr>
              <w:t>People</w:t>
            </w:r>
          </w:p>
          <w:p w:rsidR="000A1BD4" w:rsidRPr="00716D6C" w:rsidRDefault="000A1BD4" w:rsidP="00696611">
            <w:pPr>
              <w:keepNext/>
              <w:keepLines/>
              <w:spacing w:line="360" w:lineRule="auto"/>
              <w:jc w:val="both"/>
              <w:rPr>
                <w:lang w:val="en-GB"/>
              </w:rPr>
            </w:pPr>
            <w:r w:rsidRPr="00716D6C">
              <w:rPr>
                <w:lang w:val="en-GB"/>
              </w:rPr>
              <w:t>in</w:t>
            </w:r>
          </w:p>
          <w:p w:rsidR="000A1BD4" w:rsidRPr="00716D6C" w:rsidRDefault="000A1BD4" w:rsidP="00696611">
            <w:pPr>
              <w:keepNext/>
              <w:keepLines/>
              <w:spacing w:line="360" w:lineRule="auto"/>
              <w:jc w:val="both"/>
              <w:rPr>
                <w:lang w:val="en-GB"/>
              </w:rPr>
            </w:pPr>
            <w:r>
              <w:rPr>
                <w:lang w:val="en-GB"/>
              </w:rPr>
              <w:t>House</w:t>
            </w:r>
            <w:r w:rsidRPr="00716D6C">
              <w:rPr>
                <w:lang w:val="en-GB"/>
              </w:rPr>
              <w:t>hold</w:t>
            </w:r>
          </w:p>
        </w:tc>
        <w:tc>
          <w:tcPr>
            <w:tcW w:w="1162" w:type="dxa"/>
          </w:tcPr>
          <w:p w:rsidR="000A1BD4" w:rsidRPr="00716D6C" w:rsidRDefault="000A1BD4" w:rsidP="00696611">
            <w:pPr>
              <w:keepNext/>
              <w:keepLines/>
              <w:spacing w:line="360" w:lineRule="auto"/>
              <w:jc w:val="both"/>
              <w:rPr>
                <w:lang w:val="en-GB"/>
              </w:rPr>
            </w:pPr>
            <w:r w:rsidRPr="00716D6C">
              <w:rPr>
                <w:lang w:val="en-GB"/>
              </w:rPr>
              <w:t>Home</w:t>
            </w:r>
          </w:p>
        </w:tc>
        <w:tc>
          <w:tcPr>
            <w:tcW w:w="1176" w:type="dxa"/>
          </w:tcPr>
          <w:p w:rsidR="000A1BD4" w:rsidRPr="00716D6C" w:rsidRDefault="000A1BD4" w:rsidP="00696611">
            <w:pPr>
              <w:keepNext/>
              <w:keepLines/>
              <w:spacing w:line="360" w:lineRule="auto"/>
              <w:jc w:val="both"/>
              <w:rPr>
                <w:lang w:val="en-GB"/>
              </w:rPr>
            </w:pPr>
            <w:r w:rsidRPr="00716D6C">
              <w:rPr>
                <w:lang w:val="en-GB"/>
              </w:rPr>
              <w:t>Take-away</w:t>
            </w:r>
          </w:p>
        </w:tc>
        <w:tc>
          <w:tcPr>
            <w:tcW w:w="912" w:type="dxa"/>
          </w:tcPr>
          <w:p w:rsidR="000A1BD4" w:rsidRPr="00716D6C" w:rsidRDefault="000A1BD4" w:rsidP="00696611">
            <w:pPr>
              <w:keepNext/>
              <w:keepLines/>
              <w:spacing w:line="360" w:lineRule="auto"/>
              <w:jc w:val="both"/>
              <w:rPr>
                <w:lang w:val="en-GB"/>
              </w:rPr>
            </w:pPr>
            <w:r w:rsidRPr="00716D6C">
              <w:rPr>
                <w:lang w:val="en-GB"/>
              </w:rPr>
              <w:t>Pubs and Cafes</w:t>
            </w:r>
          </w:p>
        </w:tc>
        <w:tc>
          <w:tcPr>
            <w:tcW w:w="1299" w:type="dxa"/>
          </w:tcPr>
          <w:p w:rsidR="000A1BD4" w:rsidRPr="00716D6C" w:rsidRDefault="000A1BD4" w:rsidP="00696611">
            <w:pPr>
              <w:keepNext/>
              <w:keepLines/>
              <w:spacing w:line="360" w:lineRule="auto"/>
              <w:jc w:val="both"/>
              <w:rPr>
                <w:lang w:val="en-GB"/>
              </w:rPr>
            </w:pPr>
            <w:r>
              <w:rPr>
                <w:lang w:val="en-GB"/>
              </w:rPr>
              <w:t>Res</w:t>
            </w:r>
            <w:r w:rsidRPr="00716D6C">
              <w:rPr>
                <w:lang w:val="en-GB"/>
              </w:rPr>
              <w:t>taurants</w:t>
            </w:r>
          </w:p>
        </w:tc>
        <w:tc>
          <w:tcPr>
            <w:tcW w:w="1191" w:type="dxa"/>
          </w:tcPr>
          <w:p w:rsidR="000A1BD4" w:rsidRPr="00716D6C" w:rsidRDefault="000A1BD4" w:rsidP="00696611">
            <w:pPr>
              <w:keepNext/>
              <w:keepLines/>
              <w:spacing w:line="360" w:lineRule="auto"/>
              <w:jc w:val="both"/>
              <w:rPr>
                <w:lang w:val="en-GB"/>
              </w:rPr>
            </w:pPr>
            <w:r w:rsidRPr="00716D6C">
              <w:rPr>
                <w:lang w:val="en-GB"/>
              </w:rPr>
              <w:t>Parents/</w:t>
            </w:r>
          </w:p>
          <w:p w:rsidR="000A1BD4" w:rsidRPr="00716D6C" w:rsidRDefault="000A1BD4" w:rsidP="00696611">
            <w:pPr>
              <w:keepNext/>
              <w:keepLines/>
              <w:spacing w:line="360" w:lineRule="auto"/>
              <w:jc w:val="both"/>
              <w:rPr>
                <w:lang w:val="en-GB"/>
              </w:rPr>
            </w:pPr>
            <w:r w:rsidRPr="00716D6C">
              <w:rPr>
                <w:lang w:val="en-GB"/>
              </w:rPr>
              <w:t>In-laws</w:t>
            </w:r>
          </w:p>
        </w:tc>
      </w:tr>
      <w:tr w:rsidR="000A1BD4" w:rsidRPr="00716D6C" w:rsidTr="00696611">
        <w:trPr>
          <w:trHeight w:hRule="exact" w:val="284"/>
        </w:trPr>
        <w:tc>
          <w:tcPr>
            <w:tcW w:w="1087" w:type="dxa"/>
            <w:noWrap/>
          </w:tcPr>
          <w:p w:rsidR="000A1BD4" w:rsidRPr="00716D6C" w:rsidRDefault="000A1BD4" w:rsidP="00696611">
            <w:pPr>
              <w:keepNext/>
              <w:keepLines/>
              <w:spacing w:line="360" w:lineRule="auto"/>
              <w:jc w:val="both"/>
              <w:rPr>
                <w:lang w:val="en-GB"/>
              </w:rPr>
            </w:pPr>
          </w:p>
        </w:tc>
        <w:tc>
          <w:tcPr>
            <w:tcW w:w="1219" w:type="dxa"/>
            <w:noWrap/>
          </w:tcPr>
          <w:p w:rsidR="000A1BD4" w:rsidRPr="00716D6C" w:rsidRDefault="000A1BD4" w:rsidP="00696611">
            <w:pPr>
              <w:keepNext/>
              <w:keepLines/>
              <w:spacing w:line="360" w:lineRule="auto"/>
              <w:jc w:val="both"/>
              <w:rPr>
                <w:lang w:val="en-GB"/>
              </w:rPr>
            </w:pPr>
          </w:p>
        </w:tc>
        <w:tc>
          <w:tcPr>
            <w:tcW w:w="1162" w:type="dxa"/>
            <w:noWrap/>
          </w:tcPr>
          <w:p w:rsidR="000A1BD4" w:rsidRPr="00716D6C" w:rsidRDefault="000A1BD4" w:rsidP="00696611">
            <w:pPr>
              <w:keepNext/>
              <w:keepLines/>
              <w:spacing w:line="360" w:lineRule="auto"/>
              <w:jc w:val="both"/>
              <w:rPr>
                <w:lang w:val="en-GB"/>
              </w:rPr>
            </w:pPr>
          </w:p>
        </w:tc>
        <w:tc>
          <w:tcPr>
            <w:tcW w:w="1176" w:type="dxa"/>
            <w:noWrap/>
          </w:tcPr>
          <w:p w:rsidR="000A1BD4" w:rsidRPr="00716D6C" w:rsidRDefault="000A1BD4" w:rsidP="00696611">
            <w:pPr>
              <w:keepNext/>
              <w:keepLines/>
              <w:spacing w:line="360" w:lineRule="auto"/>
              <w:jc w:val="both"/>
              <w:rPr>
                <w:lang w:val="en-GB"/>
              </w:rPr>
            </w:pPr>
          </w:p>
        </w:tc>
        <w:tc>
          <w:tcPr>
            <w:tcW w:w="912" w:type="dxa"/>
            <w:noWrap/>
          </w:tcPr>
          <w:p w:rsidR="000A1BD4" w:rsidRPr="00716D6C" w:rsidRDefault="000A1BD4" w:rsidP="00696611">
            <w:pPr>
              <w:keepNext/>
              <w:keepLines/>
              <w:spacing w:line="360" w:lineRule="auto"/>
              <w:jc w:val="both"/>
              <w:rPr>
                <w:lang w:val="en-GB"/>
              </w:rPr>
            </w:pPr>
          </w:p>
        </w:tc>
        <w:tc>
          <w:tcPr>
            <w:tcW w:w="1299" w:type="dxa"/>
            <w:noWrap/>
          </w:tcPr>
          <w:p w:rsidR="000A1BD4" w:rsidRPr="00716D6C" w:rsidRDefault="000A1BD4" w:rsidP="00696611">
            <w:pPr>
              <w:keepNext/>
              <w:keepLines/>
              <w:spacing w:line="360" w:lineRule="auto"/>
              <w:jc w:val="both"/>
              <w:rPr>
                <w:lang w:val="en-GB"/>
              </w:rPr>
            </w:pPr>
          </w:p>
        </w:tc>
        <w:tc>
          <w:tcPr>
            <w:tcW w:w="1191" w:type="dxa"/>
            <w:noWrap/>
          </w:tcPr>
          <w:p w:rsidR="000A1BD4" w:rsidRPr="00716D6C" w:rsidRDefault="000A1BD4" w:rsidP="00696611">
            <w:pPr>
              <w:keepNext/>
              <w:keepLines/>
              <w:spacing w:line="360" w:lineRule="auto"/>
              <w:jc w:val="both"/>
              <w:rPr>
                <w:lang w:val="en-GB"/>
              </w:rPr>
            </w:pP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1</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1</w:t>
            </w:r>
          </w:p>
        </w:tc>
        <w:tc>
          <w:tcPr>
            <w:tcW w:w="116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176" w:type="dxa"/>
            <w:noWrap/>
          </w:tcPr>
          <w:p w:rsidR="000A1BD4" w:rsidRPr="00716D6C" w:rsidRDefault="000A1BD4" w:rsidP="00696611">
            <w:pPr>
              <w:keepNext/>
              <w:keepLines/>
              <w:spacing w:line="360" w:lineRule="auto"/>
              <w:jc w:val="both"/>
              <w:rPr>
                <w:lang w:val="en-GB"/>
              </w:rPr>
            </w:pPr>
            <w:r w:rsidRPr="00716D6C">
              <w:rPr>
                <w:lang w:val="en-GB"/>
              </w:rPr>
              <w:t>High</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High</w:t>
            </w:r>
          </w:p>
        </w:tc>
        <w:tc>
          <w:tcPr>
            <w:tcW w:w="1191" w:type="dxa"/>
            <w:noWrap/>
          </w:tcPr>
          <w:p w:rsidR="000A1BD4" w:rsidRPr="00716D6C" w:rsidRDefault="000A1BD4" w:rsidP="00696611">
            <w:pPr>
              <w:keepNext/>
              <w:keepLines/>
              <w:spacing w:line="360" w:lineRule="auto"/>
              <w:jc w:val="both"/>
              <w:rPr>
                <w:lang w:val="en-GB"/>
              </w:rPr>
            </w:pPr>
            <w:r w:rsidRPr="00716D6C">
              <w:rPr>
                <w:lang w:val="en-GB"/>
              </w:rPr>
              <w:t>None</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2</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2</w:t>
            </w:r>
          </w:p>
        </w:tc>
        <w:tc>
          <w:tcPr>
            <w:tcW w:w="1162" w:type="dxa"/>
            <w:noWrap/>
          </w:tcPr>
          <w:p w:rsidR="000A1BD4" w:rsidRPr="00716D6C" w:rsidRDefault="000A1BD4" w:rsidP="00696611">
            <w:pPr>
              <w:keepNext/>
              <w:keepLines/>
              <w:spacing w:line="360" w:lineRule="auto"/>
              <w:jc w:val="both"/>
              <w:rPr>
                <w:lang w:val="en-GB"/>
              </w:rPr>
            </w:pPr>
            <w:r w:rsidRPr="00716D6C">
              <w:rPr>
                <w:lang w:val="en-GB"/>
              </w:rPr>
              <w:t>Moderate</w:t>
            </w:r>
          </w:p>
        </w:tc>
        <w:tc>
          <w:tcPr>
            <w:tcW w:w="1176" w:type="dxa"/>
            <w:noWrap/>
          </w:tcPr>
          <w:p w:rsidR="000A1BD4" w:rsidRPr="00716D6C" w:rsidRDefault="000A1BD4" w:rsidP="00696611">
            <w:pPr>
              <w:keepNext/>
              <w:keepLines/>
              <w:spacing w:line="360" w:lineRule="auto"/>
              <w:jc w:val="both"/>
              <w:rPr>
                <w:lang w:val="en-GB"/>
              </w:rPr>
            </w:pPr>
            <w:r w:rsidRPr="00716D6C">
              <w:rPr>
                <w:lang w:val="en-GB"/>
              </w:rPr>
              <w:t>Low</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High</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3</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3</w:t>
            </w:r>
          </w:p>
        </w:tc>
        <w:tc>
          <w:tcPr>
            <w:tcW w:w="1162" w:type="dxa"/>
            <w:noWrap/>
          </w:tcPr>
          <w:p w:rsidR="000A1BD4" w:rsidRPr="00716D6C" w:rsidRDefault="000A1BD4" w:rsidP="00696611">
            <w:pPr>
              <w:keepNext/>
              <w:keepLines/>
              <w:spacing w:line="360" w:lineRule="auto"/>
              <w:jc w:val="both"/>
              <w:rPr>
                <w:lang w:val="en-GB"/>
              </w:rPr>
            </w:pPr>
            <w:r w:rsidRPr="00716D6C">
              <w:rPr>
                <w:lang w:val="en-GB"/>
              </w:rPr>
              <w:t>Low</w:t>
            </w:r>
          </w:p>
        </w:tc>
        <w:tc>
          <w:tcPr>
            <w:tcW w:w="1176" w:type="dxa"/>
            <w:noWrap/>
          </w:tcPr>
          <w:p w:rsidR="000A1BD4" w:rsidRPr="00716D6C" w:rsidRDefault="000A1BD4" w:rsidP="00696611">
            <w:pPr>
              <w:keepNext/>
              <w:keepLines/>
              <w:spacing w:line="360" w:lineRule="auto"/>
              <w:jc w:val="both"/>
              <w:rPr>
                <w:lang w:val="en-GB"/>
              </w:rPr>
            </w:pPr>
            <w:r w:rsidRPr="00716D6C">
              <w:rPr>
                <w:lang w:val="en-GB"/>
              </w:rPr>
              <w:t>Moderate</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High</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4</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4</w:t>
            </w:r>
          </w:p>
        </w:tc>
        <w:tc>
          <w:tcPr>
            <w:tcW w:w="1162" w:type="dxa"/>
            <w:noWrap/>
          </w:tcPr>
          <w:p w:rsidR="000A1BD4" w:rsidRPr="00716D6C" w:rsidRDefault="000A1BD4" w:rsidP="00696611">
            <w:pPr>
              <w:keepNext/>
              <w:keepLines/>
              <w:spacing w:line="360" w:lineRule="auto"/>
              <w:jc w:val="both"/>
              <w:rPr>
                <w:lang w:val="en-GB"/>
              </w:rPr>
            </w:pPr>
            <w:r>
              <w:rPr>
                <w:lang w:val="en-GB"/>
              </w:rPr>
              <w:t>Moderate</w:t>
            </w:r>
          </w:p>
        </w:tc>
        <w:tc>
          <w:tcPr>
            <w:tcW w:w="1176" w:type="dxa"/>
            <w:noWrap/>
          </w:tcPr>
          <w:p w:rsidR="000A1BD4" w:rsidRPr="00716D6C" w:rsidRDefault="000A1BD4" w:rsidP="00696611">
            <w:pPr>
              <w:keepNext/>
              <w:keepLines/>
              <w:spacing w:line="360" w:lineRule="auto"/>
              <w:jc w:val="both"/>
              <w:rPr>
                <w:lang w:val="en-GB"/>
              </w:rPr>
            </w:pPr>
            <w:r w:rsidRPr="00716D6C">
              <w:rPr>
                <w:lang w:val="en-GB"/>
              </w:rPr>
              <w:t>Low</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High</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5</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4</w:t>
            </w:r>
          </w:p>
        </w:tc>
        <w:tc>
          <w:tcPr>
            <w:tcW w:w="1162" w:type="dxa"/>
            <w:noWrap/>
          </w:tcPr>
          <w:p w:rsidR="000A1BD4" w:rsidRPr="00716D6C" w:rsidRDefault="000A1BD4" w:rsidP="00696611">
            <w:pPr>
              <w:keepNext/>
              <w:keepLines/>
              <w:spacing w:line="360" w:lineRule="auto"/>
              <w:jc w:val="both"/>
              <w:rPr>
                <w:lang w:val="en-GB"/>
              </w:rPr>
            </w:pPr>
            <w:r w:rsidRPr="00716D6C">
              <w:rPr>
                <w:lang w:val="en-GB"/>
              </w:rPr>
              <w:t>Low</w:t>
            </w:r>
          </w:p>
        </w:tc>
        <w:tc>
          <w:tcPr>
            <w:tcW w:w="1176" w:type="dxa"/>
            <w:noWrap/>
          </w:tcPr>
          <w:p w:rsidR="000A1BD4" w:rsidRPr="00716D6C" w:rsidRDefault="000A1BD4" w:rsidP="00696611">
            <w:pPr>
              <w:keepNext/>
              <w:keepLines/>
              <w:spacing w:line="360" w:lineRule="auto"/>
              <w:jc w:val="both"/>
              <w:rPr>
                <w:lang w:val="en-GB"/>
              </w:rPr>
            </w:pPr>
            <w:r w:rsidRPr="00716D6C">
              <w:rPr>
                <w:lang w:val="en-GB"/>
              </w:rPr>
              <w:t>Moderate</w:t>
            </w:r>
          </w:p>
        </w:tc>
        <w:tc>
          <w:tcPr>
            <w:tcW w:w="912" w:type="dxa"/>
            <w:noWrap/>
          </w:tcPr>
          <w:p w:rsidR="000A1BD4" w:rsidRPr="00716D6C" w:rsidRDefault="000A1BD4" w:rsidP="00696611">
            <w:pPr>
              <w:keepNext/>
              <w:keepLines/>
              <w:spacing w:line="360" w:lineRule="auto"/>
              <w:jc w:val="both"/>
              <w:rPr>
                <w:lang w:val="en-GB"/>
              </w:rPr>
            </w:pPr>
            <w:r w:rsidRPr="00716D6C">
              <w:rPr>
                <w:lang w:val="en-GB"/>
              </w:rPr>
              <w:t>Low</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High</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6</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5</w:t>
            </w:r>
          </w:p>
        </w:tc>
        <w:tc>
          <w:tcPr>
            <w:tcW w:w="1162" w:type="dxa"/>
            <w:noWrap/>
          </w:tcPr>
          <w:p w:rsidR="000A1BD4" w:rsidRPr="00716D6C" w:rsidRDefault="000A1BD4" w:rsidP="00696611">
            <w:pPr>
              <w:keepNext/>
              <w:keepLines/>
              <w:spacing w:line="360" w:lineRule="auto"/>
              <w:jc w:val="both"/>
              <w:rPr>
                <w:lang w:val="en-GB"/>
              </w:rPr>
            </w:pPr>
            <w:r w:rsidRPr="00716D6C">
              <w:rPr>
                <w:lang w:val="en-GB"/>
              </w:rPr>
              <w:t>High</w:t>
            </w:r>
          </w:p>
        </w:tc>
        <w:tc>
          <w:tcPr>
            <w:tcW w:w="1176" w:type="dxa"/>
            <w:noWrap/>
          </w:tcPr>
          <w:p w:rsidR="000A1BD4" w:rsidRPr="00716D6C" w:rsidRDefault="000A1BD4" w:rsidP="00696611">
            <w:pPr>
              <w:keepNext/>
              <w:keepLines/>
              <w:spacing w:line="360" w:lineRule="auto"/>
              <w:jc w:val="both"/>
              <w:rPr>
                <w:lang w:val="en-GB"/>
              </w:rPr>
            </w:pPr>
            <w:r w:rsidRPr="00716D6C">
              <w:rPr>
                <w:lang w:val="en-GB"/>
              </w:rPr>
              <w:t>Low</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Low</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7</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5</w:t>
            </w:r>
          </w:p>
        </w:tc>
        <w:tc>
          <w:tcPr>
            <w:tcW w:w="1162" w:type="dxa"/>
            <w:noWrap/>
          </w:tcPr>
          <w:p w:rsidR="000A1BD4" w:rsidRPr="00716D6C" w:rsidRDefault="000A1BD4" w:rsidP="00696611">
            <w:pPr>
              <w:keepNext/>
              <w:keepLines/>
              <w:spacing w:line="360" w:lineRule="auto"/>
              <w:jc w:val="both"/>
              <w:rPr>
                <w:lang w:val="en-GB"/>
              </w:rPr>
            </w:pPr>
            <w:r w:rsidRPr="00716D6C">
              <w:rPr>
                <w:lang w:val="en-GB"/>
              </w:rPr>
              <w:t>High</w:t>
            </w:r>
          </w:p>
        </w:tc>
        <w:tc>
          <w:tcPr>
            <w:tcW w:w="1176" w:type="dxa"/>
            <w:noWrap/>
          </w:tcPr>
          <w:p w:rsidR="000A1BD4" w:rsidRPr="00716D6C" w:rsidRDefault="000A1BD4" w:rsidP="00696611">
            <w:pPr>
              <w:keepNext/>
              <w:keepLines/>
              <w:spacing w:line="360" w:lineRule="auto"/>
              <w:jc w:val="both"/>
              <w:rPr>
                <w:lang w:val="en-GB"/>
              </w:rPr>
            </w:pPr>
            <w:r w:rsidRPr="00716D6C">
              <w:rPr>
                <w:lang w:val="en-GB"/>
              </w:rPr>
              <w:t>Low</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Moderate</w:t>
            </w:r>
          </w:p>
        </w:tc>
        <w:tc>
          <w:tcPr>
            <w:tcW w:w="1191" w:type="dxa"/>
            <w:noWrap/>
          </w:tcPr>
          <w:p w:rsidR="000A1BD4" w:rsidRPr="00716D6C" w:rsidRDefault="000A1BD4" w:rsidP="00696611">
            <w:pPr>
              <w:keepNext/>
              <w:keepLines/>
              <w:spacing w:line="360" w:lineRule="auto"/>
              <w:jc w:val="both"/>
              <w:rPr>
                <w:lang w:val="en-GB"/>
              </w:rPr>
            </w:pPr>
            <w:r w:rsidRPr="00716D6C">
              <w:rPr>
                <w:lang w:val="en-GB"/>
              </w:rPr>
              <w:t>Moderate</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8</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6</w:t>
            </w:r>
          </w:p>
        </w:tc>
        <w:tc>
          <w:tcPr>
            <w:tcW w:w="1162" w:type="dxa"/>
            <w:noWrap/>
          </w:tcPr>
          <w:p w:rsidR="000A1BD4" w:rsidRPr="00716D6C" w:rsidRDefault="000A1BD4" w:rsidP="00696611">
            <w:pPr>
              <w:keepNext/>
              <w:keepLines/>
              <w:spacing w:line="360" w:lineRule="auto"/>
              <w:jc w:val="both"/>
              <w:rPr>
                <w:lang w:val="en-GB"/>
              </w:rPr>
            </w:pPr>
            <w:r w:rsidRPr="00716D6C">
              <w:rPr>
                <w:lang w:val="en-GB"/>
              </w:rPr>
              <w:t>High</w:t>
            </w:r>
          </w:p>
        </w:tc>
        <w:tc>
          <w:tcPr>
            <w:tcW w:w="1176" w:type="dxa"/>
            <w:noWrap/>
          </w:tcPr>
          <w:p w:rsidR="000A1BD4" w:rsidRPr="00716D6C" w:rsidRDefault="000A1BD4" w:rsidP="00696611">
            <w:pPr>
              <w:keepNext/>
              <w:keepLines/>
              <w:spacing w:line="360" w:lineRule="auto"/>
              <w:jc w:val="both"/>
              <w:rPr>
                <w:lang w:val="en-GB"/>
              </w:rPr>
            </w:pPr>
            <w:r w:rsidRPr="00716D6C">
              <w:rPr>
                <w:lang w:val="en-GB"/>
              </w:rPr>
              <w:t>None</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None</w:t>
            </w:r>
          </w:p>
        </w:tc>
      </w:tr>
      <w:tr w:rsidR="000A1BD4" w:rsidRPr="00716D6C" w:rsidTr="00696611">
        <w:trPr>
          <w:trHeight w:val="454"/>
        </w:trPr>
        <w:tc>
          <w:tcPr>
            <w:tcW w:w="1087" w:type="dxa"/>
            <w:noWrap/>
          </w:tcPr>
          <w:p w:rsidR="000A1BD4" w:rsidRPr="00716D6C" w:rsidRDefault="000A1BD4" w:rsidP="00696611">
            <w:pPr>
              <w:keepNext/>
              <w:keepLines/>
              <w:spacing w:line="360" w:lineRule="auto"/>
              <w:jc w:val="center"/>
              <w:rPr>
                <w:lang w:val="en-GB"/>
              </w:rPr>
            </w:pPr>
            <w:r w:rsidRPr="00716D6C">
              <w:rPr>
                <w:lang w:val="en-GB"/>
              </w:rPr>
              <w:t>9</w:t>
            </w:r>
          </w:p>
        </w:tc>
        <w:tc>
          <w:tcPr>
            <w:tcW w:w="1219" w:type="dxa"/>
            <w:noWrap/>
          </w:tcPr>
          <w:p w:rsidR="000A1BD4" w:rsidRPr="00716D6C" w:rsidRDefault="000A1BD4" w:rsidP="00696611">
            <w:pPr>
              <w:keepNext/>
              <w:keepLines/>
              <w:spacing w:line="360" w:lineRule="auto"/>
              <w:jc w:val="center"/>
              <w:rPr>
                <w:lang w:val="en-GB"/>
              </w:rPr>
            </w:pPr>
            <w:r w:rsidRPr="00716D6C">
              <w:rPr>
                <w:lang w:val="en-GB"/>
              </w:rPr>
              <w:t>7</w:t>
            </w:r>
          </w:p>
        </w:tc>
        <w:tc>
          <w:tcPr>
            <w:tcW w:w="1162" w:type="dxa"/>
            <w:noWrap/>
          </w:tcPr>
          <w:p w:rsidR="000A1BD4" w:rsidRPr="00716D6C" w:rsidRDefault="000A1BD4" w:rsidP="00696611">
            <w:pPr>
              <w:keepNext/>
              <w:keepLines/>
              <w:spacing w:line="360" w:lineRule="auto"/>
              <w:jc w:val="both"/>
              <w:rPr>
                <w:lang w:val="en-GB"/>
              </w:rPr>
            </w:pPr>
            <w:r w:rsidRPr="00716D6C">
              <w:rPr>
                <w:lang w:val="en-GB"/>
              </w:rPr>
              <w:t>High</w:t>
            </w:r>
          </w:p>
        </w:tc>
        <w:tc>
          <w:tcPr>
            <w:tcW w:w="1176" w:type="dxa"/>
            <w:noWrap/>
          </w:tcPr>
          <w:p w:rsidR="000A1BD4" w:rsidRPr="00716D6C" w:rsidRDefault="000A1BD4" w:rsidP="00696611">
            <w:pPr>
              <w:keepNext/>
              <w:keepLines/>
              <w:spacing w:line="360" w:lineRule="auto"/>
              <w:jc w:val="both"/>
              <w:rPr>
                <w:lang w:val="en-GB"/>
              </w:rPr>
            </w:pPr>
            <w:r w:rsidRPr="00716D6C">
              <w:rPr>
                <w:lang w:val="en-GB"/>
              </w:rPr>
              <w:t>Low</w:t>
            </w:r>
          </w:p>
        </w:tc>
        <w:tc>
          <w:tcPr>
            <w:tcW w:w="912" w:type="dxa"/>
            <w:noWrap/>
          </w:tcPr>
          <w:p w:rsidR="000A1BD4" w:rsidRPr="00716D6C" w:rsidRDefault="000A1BD4" w:rsidP="00696611">
            <w:pPr>
              <w:keepNext/>
              <w:keepLines/>
              <w:spacing w:line="360" w:lineRule="auto"/>
              <w:jc w:val="both"/>
              <w:rPr>
                <w:lang w:val="en-GB"/>
              </w:rPr>
            </w:pPr>
            <w:r w:rsidRPr="00716D6C">
              <w:rPr>
                <w:lang w:val="en-GB"/>
              </w:rPr>
              <w:t>None</w:t>
            </w:r>
          </w:p>
        </w:tc>
        <w:tc>
          <w:tcPr>
            <w:tcW w:w="1299" w:type="dxa"/>
            <w:noWrap/>
          </w:tcPr>
          <w:p w:rsidR="000A1BD4" w:rsidRPr="00716D6C" w:rsidRDefault="000A1BD4" w:rsidP="00696611">
            <w:pPr>
              <w:keepNext/>
              <w:keepLines/>
              <w:spacing w:line="360" w:lineRule="auto"/>
              <w:jc w:val="both"/>
              <w:rPr>
                <w:lang w:val="en-GB"/>
              </w:rPr>
            </w:pPr>
            <w:r w:rsidRPr="00716D6C">
              <w:rPr>
                <w:lang w:val="en-GB"/>
              </w:rPr>
              <w:t>Low</w:t>
            </w:r>
          </w:p>
        </w:tc>
        <w:tc>
          <w:tcPr>
            <w:tcW w:w="1191" w:type="dxa"/>
            <w:noWrap/>
          </w:tcPr>
          <w:p w:rsidR="000A1BD4" w:rsidRPr="00716D6C" w:rsidRDefault="000A1BD4" w:rsidP="00696611">
            <w:pPr>
              <w:keepNext/>
              <w:keepLines/>
              <w:spacing w:line="360" w:lineRule="auto"/>
              <w:jc w:val="both"/>
              <w:rPr>
                <w:lang w:val="en-GB"/>
              </w:rPr>
            </w:pPr>
            <w:r w:rsidRPr="00716D6C">
              <w:rPr>
                <w:lang w:val="en-GB"/>
              </w:rPr>
              <w:t>None</w:t>
            </w:r>
          </w:p>
        </w:tc>
      </w:tr>
    </w:tbl>
    <w:p w:rsidR="000A1BD4" w:rsidRDefault="000A1BD4" w:rsidP="000A1BD4">
      <w:pPr>
        <w:keepNext/>
        <w:keepLines/>
        <w:spacing w:after="0" w:line="360" w:lineRule="auto"/>
        <w:jc w:val="both"/>
      </w:pPr>
      <w:r>
        <w:t xml:space="preserve">Source: Data from Interviews (see also Minas </w:t>
      </w:r>
      <w:r>
        <w:rPr>
          <w:i/>
          <w:iCs/>
        </w:rPr>
        <w:t>et al</w:t>
      </w:r>
      <w:r>
        <w:t>., 2013a)</w:t>
      </w:r>
    </w:p>
    <w:p w:rsidR="000A1BD4" w:rsidRDefault="000A1BD4" w:rsidP="000A1BD4">
      <w:r>
        <w:t xml:space="preserve">Note: Low = once a week or less; moderate = two or three times a week; high = more than three times a week </w:t>
      </w:r>
      <w:r>
        <w:br w:type="page"/>
      </w:r>
    </w:p>
    <w:p w:rsidR="000A1BD4" w:rsidRPr="00BB0C67" w:rsidRDefault="000A1BD4" w:rsidP="000A1BD4">
      <w:pPr>
        <w:keepNext/>
        <w:keepLines/>
        <w:spacing w:line="360" w:lineRule="auto"/>
        <w:jc w:val="both"/>
        <w:rPr>
          <w:rFonts w:eastAsia="Times New Roman" w:cs="Calibri"/>
          <w:lang w:val="en-GB"/>
        </w:rPr>
      </w:pPr>
      <w:r w:rsidRPr="00BB0C67">
        <w:rPr>
          <w:rFonts w:eastAsia="Times New Roman" w:cs="Calibri"/>
          <w:b/>
          <w:lang w:val="en-GB"/>
        </w:rPr>
        <w:lastRenderedPageBreak/>
        <w:t xml:space="preserve">Table </w:t>
      </w:r>
      <w:r>
        <w:rPr>
          <w:rFonts w:eastAsia="Times New Roman" w:cs="Calibri"/>
          <w:b/>
          <w:lang w:val="en-GB"/>
        </w:rPr>
        <w:t>3</w:t>
      </w:r>
      <w:r w:rsidRPr="00BB0C67">
        <w:rPr>
          <w:rFonts w:eastAsia="Times New Roman" w:cs="Calibri"/>
          <w:b/>
          <w:lang w:val="en-GB"/>
        </w:rPr>
        <w:t>: Male and Female Labour Force Participation Rates, 1999</w:t>
      </w:r>
      <w:r>
        <w:rPr>
          <w:rFonts w:eastAsia="Times New Roman" w:cs="Calibri"/>
          <w:b/>
          <w:lang w:val="en-GB"/>
        </w:rPr>
        <w:t>,</w:t>
      </w:r>
      <w:r w:rsidRPr="00BB0C67">
        <w:rPr>
          <w:rFonts w:eastAsia="Times New Roman" w:cs="Calibri"/>
          <w:b/>
          <w:lang w:val="en-GB"/>
        </w:rPr>
        <w:t xml:space="preserve"> 2006</w:t>
      </w:r>
      <w:r>
        <w:rPr>
          <w:rFonts w:eastAsia="Times New Roman" w:cs="Calibri"/>
          <w:b/>
          <w:lang w:val="en-GB"/>
        </w:rPr>
        <w:t xml:space="preserve"> and 2012</w:t>
      </w:r>
      <w:r w:rsidRPr="00BB0C67">
        <w:rPr>
          <w:rFonts w:eastAsia="Times New Roman" w:cs="Calibri"/>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96"/>
        <w:gridCol w:w="730"/>
        <w:gridCol w:w="1016"/>
        <w:gridCol w:w="1060"/>
        <w:gridCol w:w="1016"/>
        <w:gridCol w:w="1016"/>
        <w:gridCol w:w="1016"/>
      </w:tblGrid>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p>
        </w:tc>
        <w:tc>
          <w:tcPr>
            <w:tcW w:w="1746" w:type="dxa"/>
            <w:gridSpan w:val="2"/>
            <w:shd w:val="clear" w:color="auto" w:fill="auto"/>
            <w:noWrap/>
            <w:hideMark/>
          </w:tcPr>
          <w:p w:rsidR="000A1BD4" w:rsidRPr="00BB0C67" w:rsidRDefault="000A1BD4" w:rsidP="00696611">
            <w:pPr>
              <w:keepNext/>
              <w:keepLines/>
              <w:spacing w:after="0" w:line="480" w:lineRule="auto"/>
              <w:jc w:val="center"/>
              <w:rPr>
                <w:rFonts w:eastAsia="Times New Roman" w:cs="Calibri"/>
                <w:b/>
                <w:lang w:val="en-GB"/>
              </w:rPr>
            </w:pPr>
            <w:r w:rsidRPr="00BB0C67">
              <w:rPr>
                <w:rFonts w:eastAsia="Times New Roman" w:cs="Calibri"/>
                <w:b/>
                <w:lang w:val="en-GB"/>
              </w:rPr>
              <w:t>1999</w:t>
            </w:r>
          </w:p>
        </w:tc>
        <w:tc>
          <w:tcPr>
            <w:tcW w:w="2076" w:type="dxa"/>
            <w:gridSpan w:val="2"/>
            <w:shd w:val="clear" w:color="auto" w:fill="auto"/>
            <w:noWrap/>
            <w:hideMark/>
          </w:tcPr>
          <w:p w:rsidR="000A1BD4" w:rsidRPr="00BB0C67" w:rsidRDefault="000A1BD4" w:rsidP="00696611">
            <w:pPr>
              <w:keepNext/>
              <w:keepLines/>
              <w:spacing w:after="0" w:line="480" w:lineRule="auto"/>
              <w:jc w:val="center"/>
              <w:rPr>
                <w:rFonts w:eastAsia="Times New Roman" w:cs="Calibri"/>
                <w:b/>
                <w:lang w:val="en-GB"/>
              </w:rPr>
            </w:pPr>
            <w:r w:rsidRPr="00BB0C67">
              <w:rPr>
                <w:rFonts w:eastAsia="Times New Roman" w:cs="Calibri"/>
                <w:b/>
                <w:lang w:val="en-GB"/>
              </w:rPr>
              <w:t>2006</w:t>
            </w:r>
          </w:p>
        </w:tc>
        <w:tc>
          <w:tcPr>
            <w:tcW w:w="2032" w:type="dxa"/>
            <w:gridSpan w:val="2"/>
          </w:tcPr>
          <w:p w:rsidR="000A1BD4" w:rsidRPr="00BB0C67" w:rsidRDefault="000A1BD4" w:rsidP="00696611">
            <w:pPr>
              <w:keepNext/>
              <w:keepLines/>
              <w:spacing w:after="0" w:line="480" w:lineRule="auto"/>
              <w:jc w:val="center"/>
              <w:rPr>
                <w:rFonts w:eastAsia="Times New Roman" w:cs="Calibri"/>
                <w:b/>
                <w:lang w:val="en-GB"/>
              </w:rPr>
            </w:pPr>
            <w:r>
              <w:rPr>
                <w:rFonts w:eastAsia="Times New Roman" w:cs="Calibri"/>
                <w:b/>
                <w:lang w:val="en-GB"/>
              </w:rPr>
              <w:t>2012</w:t>
            </w:r>
          </w:p>
        </w:tc>
      </w:tr>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Age</w:t>
            </w:r>
          </w:p>
        </w:tc>
        <w:tc>
          <w:tcPr>
            <w:tcW w:w="730"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Men</w:t>
            </w:r>
          </w:p>
        </w:tc>
        <w:tc>
          <w:tcPr>
            <w:tcW w:w="101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Women</w:t>
            </w:r>
          </w:p>
        </w:tc>
        <w:tc>
          <w:tcPr>
            <w:tcW w:w="1060"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Men</w:t>
            </w:r>
          </w:p>
        </w:tc>
        <w:tc>
          <w:tcPr>
            <w:tcW w:w="101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Women</w:t>
            </w:r>
          </w:p>
        </w:tc>
        <w:tc>
          <w:tcPr>
            <w:tcW w:w="1016" w:type="dxa"/>
          </w:tcPr>
          <w:p w:rsidR="000A1BD4" w:rsidRPr="00BB0C67" w:rsidRDefault="000A1BD4" w:rsidP="00696611">
            <w:pPr>
              <w:keepNext/>
              <w:keepLines/>
              <w:spacing w:after="0" w:line="480" w:lineRule="auto"/>
              <w:rPr>
                <w:rFonts w:eastAsia="Times New Roman" w:cs="Calibri"/>
                <w:b/>
                <w:lang w:val="en-GB"/>
              </w:rPr>
            </w:pPr>
            <w:r>
              <w:rPr>
                <w:rFonts w:eastAsia="Times New Roman" w:cs="Calibri"/>
                <w:b/>
                <w:lang w:val="en-GB"/>
              </w:rPr>
              <w:t>Men</w:t>
            </w:r>
          </w:p>
        </w:tc>
        <w:tc>
          <w:tcPr>
            <w:tcW w:w="1016" w:type="dxa"/>
          </w:tcPr>
          <w:p w:rsidR="000A1BD4" w:rsidRPr="00BB0C67" w:rsidRDefault="000A1BD4" w:rsidP="00696611">
            <w:pPr>
              <w:keepNext/>
              <w:keepLines/>
              <w:spacing w:after="0" w:line="480" w:lineRule="auto"/>
              <w:rPr>
                <w:rFonts w:eastAsia="Times New Roman" w:cs="Calibri"/>
                <w:b/>
                <w:lang w:val="en-GB"/>
              </w:rPr>
            </w:pPr>
            <w:r>
              <w:rPr>
                <w:rFonts w:eastAsia="Times New Roman" w:cs="Calibri"/>
                <w:b/>
                <w:lang w:val="en-GB"/>
              </w:rPr>
              <w:t>Women</w:t>
            </w:r>
          </w:p>
        </w:tc>
      </w:tr>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15-24</w:t>
            </w:r>
          </w:p>
        </w:tc>
        <w:tc>
          <w:tcPr>
            <w:tcW w:w="73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40.9</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39.5</w:t>
            </w:r>
          </w:p>
        </w:tc>
        <w:tc>
          <w:tcPr>
            <w:tcW w:w="106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45.0</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38.3</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42.8</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35.5</w:t>
            </w:r>
          </w:p>
        </w:tc>
      </w:tr>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25-54</w:t>
            </w:r>
          </w:p>
        </w:tc>
        <w:tc>
          <w:tcPr>
            <w:tcW w:w="73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95.2</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65.3</w:t>
            </w:r>
          </w:p>
        </w:tc>
        <w:tc>
          <w:tcPr>
            <w:tcW w:w="106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95.3</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77.4</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93.8</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82.0</w:t>
            </w:r>
          </w:p>
        </w:tc>
      </w:tr>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55-64</w:t>
            </w:r>
          </w:p>
        </w:tc>
        <w:tc>
          <w:tcPr>
            <w:tcW w:w="73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69.8</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30.1</w:t>
            </w:r>
          </w:p>
        </w:tc>
        <w:tc>
          <w:tcPr>
            <w:tcW w:w="106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74.1</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37.8</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71.2</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41.3</w:t>
            </w:r>
          </w:p>
        </w:tc>
      </w:tr>
      <w:tr w:rsidR="000A1BD4" w:rsidRPr="00BB0C67" w:rsidTr="00696611">
        <w:trPr>
          <w:trHeight w:val="288"/>
        </w:trPr>
        <w:tc>
          <w:tcPr>
            <w:tcW w:w="896" w:type="dxa"/>
            <w:shd w:val="clear" w:color="auto" w:fill="auto"/>
            <w:noWrap/>
            <w:hideMark/>
          </w:tcPr>
          <w:p w:rsidR="000A1BD4" w:rsidRPr="00BB0C67" w:rsidRDefault="000A1BD4" w:rsidP="00696611">
            <w:pPr>
              <w:keepNext/>
              <w:keepLines/>
              <w:spacing w:after="0" w:line="480" w:lineRule="auto"/>
              <w:rPr>
                <w:rFonts w:eastAsia="Times New Roman" w:cs="Calibri"/>
                <w:b/>
                <w:lang w:val="en-GB"/>
              </w:rPr>
            </w:pPr>
            <w:r w:rsidRPr="00BB0C67">
              <w:rPr>
                <w:rFonts w:eastAsia="Times New Roman" w:cs="Calibri"/>
                <w:b/>
                <w:lang w:val="en-GB"/>
              </w:rPr>
              <w:t>65+</w:t>
            </w:r>
          </w:p>
        </w:tc>
        <w:tc>
          <w:tcPr>
            <w:tcW w:w="73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14.1</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2.5</w:t>
            </w:r>
          </w:p>
        </w:tc>
        <w:tc>
          <w:tcPr>
            <w:tcW w:w="1060"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17.0</w:t>
            </w:r>
          </w:p>
        </w:tc>
        <w:tc>
          <w:tcPr>
            <w:tcW w:w="1016" w:type="dxa"/>
            <w:shd w:val="clear" w:color="auto" w:fill="auto"/>
            <w:noWrap/>
            <w:hideMark/>
          </w:tcPr>
          <w:p w:rsidR="000A1BD4" w:rsidRPr="00BB0C67" w:rsidRDefault="000A1BD4" w:rsidP="00696611">
            <w:pPr>
              <w:keepNext/>
              <w:keepLines/>
              <w:spacing w:after="0" w:line="480" w:lineRule="auto"/>
              <w:jc w:val="right"/>
              <w:rPr>
                <w:rFonts w:eastAsia="Times New Roman" w:cs="Calibri"/>
                <w:bCs/>
                <w:lang w:val="en-GB"/>
              </w:rPr>
            </w:pPr>
            <w:r w:rsidRPr="00BB0C67">
              <w:rPr>
                <w:rFonts w:eastAsia="Times New Roman" w:cs="Calibri"/>
                <w:bCs/>
                <w:lang w:val="en-GB"/>
              </w:rPr>
              <w:t>4.4</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15.0</w:t>
            </w:r>
          </w:p>
        </w:tc>
        <w:tc>
          <w:tcPr>
            <w:tcW w:w="1016" w:type="dxa"/>
          </w:tcPr>
          <w:p w:rsidR="000A1BD4" w:rsidRPr="00BB0C67" w:rsidRDefault="000A1BD4" w:rsidP="00696611">
            <w:pPr>
              <w:keepNext/>
              <w:keepLines/>
              <w:spacing w:after="0" w:line="480" w:lineRule="auto"/>
              <w:jc w:val="right"/>
              <w:rPr>
                <w:rFonts w:eastAsia="Times New Roman" w:cs="Calibri"/>
                <w:bCs/>
                <w:lang w:val="en-GB"/>
              </w:rPr>
            </w:pPr>
            <w:r>
              <w:rPr>
                <w:rFonts w:eastAsia="Times New Roman" w:cs="Calibri"/>
                <w:bCs/>
                <w:lang w:val="en-GB"/>
              </w:rPr>
              <w:t>4.9</w:t>
            </w:r>
          </w:p>
        </w:tc>
      </w:tr>
    </w:tbl>
    <w:p w:rsidR="000A1BD4" w:rsidRPr="00BB0C67" w:rsidRDefault="000A1BD4" w:rsidP="000A1BD4">
      <w:pPr>
        <w:keepNext/>
        <w:keepLines/>
        <w:spacing w:line="240" w:lineRule="auto"/>
        <w:rPr>
          <w:rFonts w:eastAsia="Times New Roman" w:cs="Calibri"/>
          <w:lang w:val="en-GB"/>
        </w:rPr>
      </w:pPr>
      <w:r w:rsidRPr="00BB0C67">
        <w:rPr>
          <w:rFonts w:eastAsia="Times New Roman" w:cs="Calibri"/>
          <w:lang w:val="en-GB"/>
        </w:rPr>
        <w:t xml:space="preserve">Source: Republic of Cyprus, Statistical Service, </w:t>
      </w:r>
      <w:r w:rsidRPr="00BE0570">
        <w:rPr>
          <w:rFonts w:eastAsia="Times New Roman" w:cs="Calibri"/>
          <w:i/>
          <w:iCs/>
          <w:lang w:val="en-GB"/>
        </w:rPr>
        <w:t>Statistical Portrait of Women in Cyprus 2008</w:t>
      </w:r>
      <w:r>
        <w:rPr>
          <w:rFonts w:eastAsia="Times New Roman" w:cs="Calibri"/>
          <w:lang w:val="en-GB"/>
        </w:rPr>
        <w:t xml:space="preserve">; Republic of Cyprus, Statistical Service, </w:t>
      </w:r>
      <w:r>
        <w:rPr>
          <w:rFonts w:eastAsia="Times New Roman" w:cs="Calibri"/>
          <w:i/>
          <w:iCs/>
          <w:lang w:val="en-GB"/>
        </w:rPr>
        <w:t>Labour Force Survey 2012</w:t>
      </w:r>
      <w:r>
        <w:rPr>
          <w:rFonts w:eastAsia="Times New Roman" w:cs="Calibri"/>
          <w:lang w:val="en-GB"/>
        </w:rPr>
        <w:t>.</w:t>
      </w:r>
    </w:p>
    <w:p w:rsidR="000A1BD4" w:rsidRPr="007753CE" w:rsidRDefault="000A1BD4" w:rsidP="000A1BD4">
      <w:pPr>
        <w:keepNext/>
        <w:keepLines/>
        <w:spacing w:after="0" w:line="360" w:lineRule="auto"/>
        <w:jc w:val="both"/>
        <w:rPr>
          <w:lang w:val="en-GB"/>
        </w:rPr>
      </w:pPr>
    </w:p>
    <w:p w:rsidR="002867BF" w:rsidRDefault="002867BF" w:rsidP="00677920">
      <w:pPr>
        <w:keepNext/>
        <w:keepLines/>
        <w:widowControl w:val="0"/>
        <w:spacing w:after="0" w:line="360" w:lineRule="auto"/>
        <w:jc w:val="both"/>
        <w:rPr>
          <w:lang w:val="en-GB"/>
        </w:rPr>
      </w:pPr>
    </w:p>
    <w:p w:rsidR="00125AFD" w:rsidRDefault="00125AFD">
      <w:pPr>
        <w:rPr>
          <w:b/>
          <w:bCs/>
        </w:rPr>
      </w:pPr>
      <w:r>
        <w:rPr>
          <w:b/>
          <w:bCs/>
        </w:rPr>
        <w:br w:type="page"/>
      </w:r>
    </w:p>
    <w:p w:rsidR="00125AFD" w:rsidRPr="00125AFD" w:rsidRDefault="00125AFD" w:rsidP="002867BF">
      <w:pPr>
        <w:keepNext/>
        <w:keepLines/>
        <w:widowControl w:val="0"/>
        <w:spacing w:after="0" w:line="360" w:lineRule="auto"/>
        <w:jc w:val="both"/>
        <w:rPr>
          <w:b/>
          <w:bCs/>
        </w:rPr>
      </w:pPr>
      <w:r>
        <w:rPr>
          <w:b/>
          <w:bCs/>
        </w:rPr>
        <w:lastRenderedPageBreak/>
        <w:t>References</w:t>
      </w:r>
    </w:p>
    <w:p w:rsidR="0007660A" w:rsidRDefault="0007660A" w:rsidP="0007660A">
      <w:pPr>
        <w:keepNext/>
        <w:keepLines/>
        <w:widowControl w:val="0"/>
        <w:spacing w:after="0" w:line="360" w:lineRule="auto"/>
        <w:jc w:val="both"/>
      </w:pPr>
    </w:p>
    <w:p w:rsidR="00AA08B4" w:rsidRDefault="00AA08B4" w:rsidP="00AA08B4">
      <w:pPr>
        <w:keepNext/>
        <w:keepLines/>
        <w:widowControl w:val="0"/>
        <w:spacing w:after="0" w:line="360" w:lineRule="auto"/>
        <w:jc w:val="both"/>
      </w:pPr>
      <w:proofErr w:type="spellStart"/>
      <w:proofErr w:type="gramStart"/>
      <w:r>
        <w:t>Aguiar</w:t>
      </w:r>
      <w:proofErr w:type="spellEnd"/>
      <w:r>
        <w:t xml:space="preserve">, M. and Hurst, E. (2005), “Consumption versus expenditures”, </w:t>
      </w:r>
      <w:r w:rsidRPr="00B87921">
        <w:rPr>
          <w:i/>
          <w:iCs/>
        </w:rPr>
        <w:t>The Journal of Political</w:t>
      </w:r>
      <w:r>
        <w:rPr>
          <w:i/>
          <w:iCs/>
        </w:rPr>
        <w:t xml:space="preserve"> </w:t>
      </w:r>
      <w:r w:rsidRPr="00B87921">
        <w:rPr>
          <w:i/>
          <w:iCs/>
        </w:rPr>
        <w:t>Economy</w:t>
      </w:r>
      <w:r>
        <w:t>, 113(5), 919-948.</w:t>
      </w:r>
      <w:proofErr w:type="gramEnd"/>
    </w:p>
    <w:p w:rsidR="00AA08B4" w:rsidRDefault="00AA08B4" w:rsidP="00AA08B4">
      <w:pPr>
        <w:keepNext/>
        <w:keepLines/>
        <w:widowControl w:val="0"/>
        <w:spacing w:after="0" w:line="360" w:lineRule="auto"/>
        <w:jc w:val="both"/>
      </w:pPr>
    </w:p>
    <w:p w:rsidR="00A4640B" w:rsidRDefault="00A4640B" w:rsidP="00A4640B">
      <w:pPr>
        <w:keepNext/>
        <w:keepLines/>
        <w:widowControl w:val="0"/>
        <w:spacing w:after="0" w:line="360" w:lineRule="auto"/>
        <w:jc w:val="both"/>
      </w:pPr>
      <w:proofErr w:type="spellStart"/>
      <w:r>
        <w:t>Battistin</w:t>
      </w:r>
      <w:proofErr w:type="spellEnd"/>
      <w:r>
        <w:t xml:space="preserve">, E., </w:t>
      </w:r>
      <w:proofErr w:type="spellStart"/>
      <w:r>
        <w:t>Brugiavini</w:t>
      </w:r>
      <w:proofErr w:type="spellEnd"/>
      <w:r>
        <w:t xml:space="preserve">, A., </w:t>
      </w:r>
      <w:proofErr w:type="spellStart"/>
      <w:r>
        <w:t>Rettore</w:t>
      </w:r>
      <w:proofErr w:type="spellEnd"/>
      <w:r>
        <w:t xml:space="preserve">, E. and Weber, G. (2009), “The retirement consumption puzzle: evidence from a regression discontinuity approach”, </w:t>
      </w:r>
      <w:r w:rsidRPr="00B87921">
        <w:rPr>
          <w:i/>
          <w:iCs/>
        </w:rPr>
        <w:t>The American Economic Review</w:t>
      </w:r>
      <w:r>
        <w:t>, 99(5), 2209-26.</w:t>
      </w:r>
    </w:p>
    <w:p w:rsidR="00A4640B" w:rsidRDefault="00A4640B" w:rsidP="00A4640B">
      <w:pPr>
        <w:keepNext/>
        <w:keepLines/>
        <w:widowControl w:val="0"/>
        <w:spacing w:after="0" w:line="360" w:lineRule="auto"/>
        <w:jc w:val="both"/>
      </w:pPr>
    </w:p>
    <w:p w:rsidR="00FB2BED" w:rsidRPr="00FB2BED" w:rsidRDefault="00FB2BED" w:rsidP="009320F3">
      <w:pPr>
        <w:keepNext/>
        <w:keepLines/>
        <w:widowControl w:val="0"/>
        <w:spacing w:after="0" w:line="360" w:lineRule="auto"/>
        <w:jc w:val="both"/>
      </w:pPr>
      <w:proofErr w:type="spellStart"/>
      <w:r w:rsidRPr="00FB2BED">
        <w:t>Böhnke</w:t>
      </w:r>
      <w:proofErr w:type="spellEnd"/>
      <w:r w:rsidRPr="00FB2BED">
        <w:t xml:space="preserve">, P. (2008) “Are the Poor Socially Integrated? The Link </w:t>
      </w:r>
      <w:proofErr w:type="gramStart"/>
      <w:r w:rsidRPr="00FB2BED">
        <w:t>Between</w:t>
      </w:r>
      <w:proofErr w:type="gramEnd"/>
      <w:r w:rsidRPr="00FB2BED">
        <w:t xml:space="preserve"> Poverty and Social Support in Different Welfare Regimes”, </w:t>
      </w:r>
      <w:r w:rsidRPr="00FB2BED">
        <w:rPr>
          <w:i/>
        </w:rPr>
        <w:t>Journal of European Social Policy</w:t>
      </w:r>
      <w:r w:rsidR="009320F3">
        <w:rPr>
          <w:iCs/>
        </w:rPr>
        <w:t>,</w:t>
      </w:r>
      <w:r w:rsidRPr="00FB2BED">
        <w:t xml:space="preserve"> 18</w:t>
      </w:r>
      <w:r w:rsidR="009320F3">
        <w:t>(2),</w:t>
      </w:r>
      <w:r w:rsidRPr="00FB2BED">
        <w:t xml:space="preserve"> 133-150. </w:t>
      </w:r>
    </w:p>
    <w:p w:rsidR="009320F3" w:rsidRDefault="009320F3" w:rsidP="00FB2BED">
      <w:pPr>
        <w:keepNext/>
        <w:keepLines/>
        <w:widowControl w:val="0"/>
        <w:spacing w:after="0" w:line="360" w:lineRule="auto"/>
        <w:jc w:val="both"/>
        <w:rPr>
          <w:lang w:val="en-GB"/>
        </w:rPr>
      </w:pPr>
    </w:p>
    <w:p w:rsidR="009320F3" w:rsidRPr="009320F3" w:rsidRDefault="009320F3" w:rsidP="009320F3">
      <w:pPr>
        <w:keepNext/>
        <w:keepLines/>
        <w:widowControl w:val="0"/>
        <w:spacing w:after="0" w:line="360" w:lineRule="auto"/>
        <w:jc w:val="both"/>
      </w:pPr>
      <w:r>
        <w:rPr>
          <w:lang w:val="en-GB"/>
        </w:rPr>
        <w:t>Brown, L., Edwards, J. and Hartwell, H. (2013) “</w:t>
      </w:r>
      <w:r w:rsidRPr="009320F3">
        <w:t>Eating and emotion: focusing on</w:t>
      </w:r>
      <w:r>
        <w:t xml:space="preserve"> </w:t>
      </w:r>
      <w:r w:rsidRPr="009320F3">
        <w:t>the lunchtime meal</w:t>
      </w:r>
      <w:r>
        <w:t>”,</w:t>
      </w:r>
    </w:p>
    <w:p w:rsidR="009320F3" w:rsidRPr="009320F3" w:rsidRDefault="009320F3" w:rsidP="009320F3">
      <w:pPr>
        <w:keepNext/>
        <w:keepLines/>
        <w:widowControl w:val="0"/>
        <w:spacing w:after="0" w:line="360" w:lineRule="auto"/>
        <w:jc w:val="both"/>
        <w:rPr>
          <w:lang w:val="en-GB"/>
        </w:rPr>
      </w:pPr>
      <w:r>
        <w:rPr>
          <w:i/>
          <w:iCs/>
        </w:rPr>
        <w:t>British Food Journal</w:t>
      </w:r>
      <w:r>
        <w:t xml:space="preserve">, </w:t>
      </w:r>
      <w:r w:rsidRPr="009320F3">
        <w:t>115</w:t>
      </w:r>
      <w:r>
        <w:t>(</w:t>
      </w:r>
      <w:r w:rsidRPr="009320F3">
        <w:t>2</w:t>
      </w:r>
      <w:r>
        <w:t>),</w:t>
      </w:r>
      <w:r w:rsidRPr="009320F3">
        <w:t xml:space="preserve"> 196-208</w:t>
      </w:r>
      <w:r>
        <w:t>.</w:t>
      </w:r>
    </w:p>
    <w:p w:rsidR="00FB2BED" w:rsidRPr="00FB2BED" w:rsidRDefault="00FB2BED" w:rsidP="0007660A">
      <w:pPr>
        <w:keepNext/>
        <w:keepLines/>
        <w:widowControl w:val="0"/>
        <w:spacing w:after="0" w:line="360" w:lineRule="auto"/>
        <w:jc w:val="both"/>
        <w:rPr>
          <w:lang w:val="en-GB"/>
        </w:rPr>
      </w:pPr>
    </w:p>
    <w:p w:rsidR="009320F3" w:rsidRPr="00BF3872" w:rsidRDefault="009320F3" w:rsidP="00BF3872">
      <w:pPr>
        <w:keepNext/>
        <w:keepLines/>
        <w:widowControl w:val="0"/>
        <w:spacing w:after="0" w:line="360" w:lineRule="auto"/>
        <w:jc w:val="both"/>
        <w:rPr>
          <w:b/>
          <w:bCs/>
          <w:lang w:val="en-GB"/>
        </w:rPr>
      </w:pPr>
      <w:proofErr w:type="spellStart"/>
      <w:r>
        <w:rPr>
          <w:lang w:val="en-GB"/>
        </w:rPr>
        <w:t>Burzig</w:t>
      </w:r>
      <w:proofErr w:type="spellEnd"/>
      <w:r>
        <w:rPr>
          <w:lang w:val="en-GB"/>
        </w:rPr>
        <w:t>, J. and Herrman</w:t>
      </w:r>
      <w:r w:rsidR="00DF4041">
        <w:rPr>
          <w:lang w:val="en-GB"/>
        </w:rPr>
        <w:t>n</w:t>
      </w:r>
      <w:r>
        <w:rPr>
          <w:lang w:val="en-GB"/>
        </w:rPr>
        <w:t xml:space="preserve">, R. (2012) </w:t>
      </w:r>
      <w:r w:rsidR="00BF3872">
        <w:rPr>
          <w:lang w:val="en-GB"/>
        </w:rPr>
        <w:t>“</w:t>
      </w:r>
      <w:r w:rsidRPr="009320F3">
        <w:t>Food expenditure patterns of the generation 50+: an Engel-curve analysis for Germany</w:t>
      </w:r>
      <w:r w:rsidR="00BF3872">
        <w:t xml:space="preserve">”, </w:t>
      </w:r>
      <w:r w:rsidR="00BF3872">
        <w:rPr>
          <w:i/>
          <w:iCs/>
        </w:rPr>
        <w:t>British Food Journal</w:t>
      </w:r>
      <w:r w:rsidR="00BF3872">
        <w:t xml:space="preserve">, 114(10), </w:t>
      </w:r>
      <w:r w:rsidR="00BF3872" w:rsidRPr="00BF3872">
        <w:t>1380-1393</w:t>
      </w:r>
      <w:r w:rsidR="00BF3872">
        <w:t>.</w:t>
      </w:r>
    </w:p>
    <w:p w:rsidR="009320F3" w:rsidRPr="009320F3" w:rsidRDefault="009320F3" w:rsidP="001C20DD">
      <w:pPr>
        <w:keepNext/>
        <w:keepLines/>
        <w:widowControl w:val="0"/>
        <w:spacing w:after="0" w:line="360" w:lineRule="auto"/>
        <w:jc w:val="both"/>
      </w:pPr>
    </w:p>
    <w:p w:rsidR="001C20DD" w:rsidRPr="001C20DD" w:rsidRDefault="001C20DD" w:rsidP="001C20DD">
      <w:pPr>
        <w:keepNext/>
        <w:keepLines/>
        <w:widowControl w:val="0"/>
        <w:spacing w:after="0" w:line="360" w:lineRule="auto"/>
        <w:jc w:val="both"/>
        <w:rPr>
          <w:lang w:val="en-GB"/>
        </w:rPr>
      </w:pPr>
      <w:r w:rsidRPr="001C20DD">
        <w:rPr>
          <w:lang w:val="en-GB"/>
        </w:rPr>
        <w:t xml:space="preserve">Deaton, Angus S., and </w:t>
      </w:r>
      <w:proofErr w:type="spellStart"/>
      <w:r w:rsidRPr="001C20DD">
        <w:rPr>
          <w:lang w:val="en-GB"/>
        </w:rPr>
        <w:t>Paxson</w:t>
      </w:r>
      <w:proofErr w:type="spellEnd"/>
      <w:r w:rsidRPr="001C20DD">
        <w:rPr>
          <w:lang w:val="en-GB"/>
        </w:rPr>
        <w:t xml:space="preserve">, Christina (1998) “Economies of Scale, Household Size, and the Demand for Food.” </w:t>
      </w:r>
      <w:r w:rsidRPr="001C20DD">
        <w:rPr>
          <w:i/>
          <w:iCs/>
          <w:lang w:val="en-GB"/>
        </w:rPr>
        <w:t>JPE,</w:t>
      </w:r>
      <w:r w:rsidRPr="001C20DD">
        <w:rPr>
          <w:lang w:val="en-GB"/>
        </w:rPr>
        <w:t xml:space="preserve"> Vol. 106, pp. 897-930.</w:t>
      </w:r>
    </w:p>
    <w:p w:rsidR="001C20DD" w:rsidRPr="001C20DD" w:rsidRDefault="001C20DD" w:rsidP="0007660A">
      <w:pPr>
        <w:keepNext/>
        <w:keepLines/>
        <w:widowControl w:val="0"/>
        <w:spacing w:after="0" w:line="360" w:lineRule="auto"/>
        <w:jc w:val="both"/>
        <w:rPr>
          <w:lang w:val="en-GB"/>
        </w:rPr>
      </w:pPr>
    </w:p>
    <w:p w:rsidR="00F22C60" w:rsidRPr="00F22C60" w:rsidRDefault="00F22C60" w:rsidP="00F22C60">
      <w:pPr>
        <w:keepNext/>
        <w:keepLines/>
        <w:widowControl w:val="0"/>
        <w:spacing w:after="0" w:line="360" w:lineRule="auto"/>
        <w:jc w:val="both"/>
        <w:rPr>
          <w:lang w:val="en-GB"/>
        </w:rPr>
      </w:pPr>
      <w:r w:rsidRPr="00F22C60">
        <w:rPr>
          <w:lang w:val="en-GB"/>
        </w:rPr>
        <w:t xml:space="preserve">Department of Statistics and Research (DSR) (1999). </w:t>
      </w:r>
      <w:proofErr w:type="gramStart"/>
      <w:r w:rsidRPr="00F22C60">
        <w:rPr>
          <w:lang w:val="en-GB"/>
        </w:rPr>
        <w:t>Family Budget Survey, 1996/1997, Ministry of Finance, Republic of Cyprus (in English).</w:t>
      </w:r>
      <w:proofErr w:type="gramEnd"/>
    </w:p>
    <w:p w:rsidR="00F22C60" w:rsidRDefault="00F22C60" w:rsidP="001C20DD">
      <w:pPr>
        <w:keepNext/>
        <w:keepLines/>
        <w:widowControl w:val="0"/>
        <w:spacing w:after="0" w:line="360" w:lineRule="auto"/>
        <w:jc w:val="both"/>
        <w:rPr>
          <w:lang w:val="en-GB"/>
        </w:rPr>
      </w:pPr>
    </w:p>
    <w:p w:rsidR="001C20DD" w:rsidRPr="001C20DD" w:rsidRDefault="001C20DD" w:rsidP="00DF4041">
      <w:pPr>
        <w:keepNext/>
        <w:keepLines/>
        <w:widowControl w:val="0"/>
        <w:spacing w:after="0" w:line="360" w:lineRule="auto"/>
        <w:jc w:val="both"/>
        <w:rPr>
          <w:lang w:val="en-GB"/>
        </w:rPr>
      </w:pPr>
      <w:r w:rsidRPr="001C20DD">
        <w:rPr>
          <w:lang w:val="en-GB"/>
        </w:rPr>
        <w:t xml:space="preserve">Engel, E. (1895) “Die </w:t>
      </w:r>
      <w:proofErr w:type="spellStart"/>
      <w:r w:rsidRPr="001C20DD">
        <w:rPr>
          <w:lang w:val="en-GB"/>
        </w:rPr>
        <w:t>Lebenskoten</w:t>
      </w:r>
      <w:proofErr w:type="spellEnd"/>
      <w:r w:rsidRPr="001C20DD">
        <w:rPr>
          <w:lang w:val="en-GB"/>
        </w:rPr>
        <w:t xml:space="preserve"> </w:t>
      </w:r>
      <w:proofErr w:type="spellStart"/>
      <w:r w:rsidR="00DF4041">
        <w:rPr>
          <w:lang w:val="en-GB"/>
        </w:rPr>
        <w:t>b</w:t>
      </w:r>
      <w:r w:rsidRPr="001C20DD">
        <w:rPr>
          <w:lang w:val="en-GB"/>
        </w:rPr>
        <w:t>elgischer</w:t>
      </w:r>
      <w:proofErr w:type="spellEnd"/>
      <w:r w:rsidRPr="001C20DD">
        <w:rPr>
          <w:lang w:val="en-GB"/>
        </w:rPr>
        <w:t xml:space="preserve"> </w:t>
      </w:r>
      <w:proofErr w:type="spellStart"/>
      <w:r w:rsidRPr="001C20DD">
        <w:rPr>
          <w:lang w:val="en-GB"/>
        </w:rPr>
        <w:t>Arbeiter-Familien</w:t>
      </w:r>
      <w:proofErr w:type="spellEnd"/>
      <w:r w:rsidRPr="001C20DD">
        <w:rPr>
          <w:lang w:val="en-GB"/>
        </w:rPr>
        <w:t xml:space="preserve"> </w:t>
      </w:r>
      <w:proofErr w:type="spellStart"/>
      <w:r w:rsidR="00DF4041">
        <w:rPr>
          <w:lang w:val="en-GB"/>
        </w:rPr>
        <w:t>f</w:t>
      </w:r>
      <w:r w:rsidRPr="001C20DD">
        <w:rPr>
          <w:lang w:val="en-GB"/>
        </w:rPr>
        <w:t>r</w:t>
      </w:r>
      <w:r w:rsidR="00DF4041">
        <w:rPr>
          <w:lang w:val="en-GB"/>
        </w:rPr>
        <w:t>ü</w:t>
      </w:r>
      <w:r w:rsidRPr="001C20DD">
        <w:rPr>
          <w:lang w:val="en-GB"/>
        </w:rPr>
        <w:t>her</w:t>
      </w:r>
      <w:proofErr w:type="spellEnd"/>
      <w:r w:rsidRPr="001C20DD">
        <w:rPr>
          <w:lang w:val="en-GB"/>
        </w:rPr>
        <w:t xml:space="preserve"> and </w:t>
      </w:r>
      <w:proofErr w:type="spellStart"/>
      <w:r w:rsidRPr="001C20DD">
        <w:rPr>
          <w:lang w:val="en-GB"/>
        </w:rPr>
        <w:t>jetzt</w:t>
      </w:r>
      <w:proofErr w:type="spellEnd"/>
      <w:r w:rsidRPr="001C20DD">
        <w:rPr>
          <w:lang w:val="en-GB"/>
        </w:rPr>
        <w:t xml:space="preserve">”, </w:t>
      </w:r>
      <w:r w:rsidRPr="001C20DD">
        <w:rPr>
          <w:i/>
          <w:iCs/>
          <w:lang w:val="en-GB"/>
        </w:rPr>
        <w:t>International Statistical Institute Bulletin</w:t>
      </w:r>
      <w:r w:rsidRPr="001C20DD">
        <w:rPr>
          <w:lang w:val="en-GB"/>
        </w:rPr>
        <w:t xml:space="preserve"> 9, 1–74 (first published, 1857).</w:t>
      </w:r>
    </w:p>
    <w:p w:rsidR="001C20DD" w:rsidRPr="001C20DD" w:rsidRDefault="001C20DD" w:rsidP="0007660A">
      <w:pPr>
        <w:keepNext/>
        <w:keepLines/>
        <w:widowControl w:val="0"/>
        <w:spacing w:after="0" w:line="360" w:lineRule="auto"/>
        <w:jc w:val="both"/>
        <w:rPr>
          <w:lang w:val="en-GB"/>
        </w:rPr>
      </w:pPr>
    </w:p>
    <w:p w:rsidR="001C6C80" w:rsidRPr="001C6C80" w:rsidRDefault="001C6C80" w:rsidP="001C6C80">
      <w:pPr>
        <w:keepNext/>
        <w:keepLines/>
        <w:widowControl w:val="0"/>
        <w:spacing w:after="0" w:line="360" w:lineRule="auto"/>
        <w:jc w:val="both"/>
        <w:rPr>
          <w:lang w:val="en-GB"/>
        </w:rPr>
      </w:pPr>
      <w:r w:rsidRPr="001C6C80">
        <w:rPr>
          <w:lang w:val="en-GB"/>
        </w:rPr>
        <w:t>Enterprise Ireland (2007)</w:t>
      </w:r>
      <w:r w:rsidR="000D4B94">
        <w:rPr>
          <w:lang w:val="en-GB"/>
        </w:rPr>
        <w:t xml:space="preserve"> “Areas of Opportunity in Cyprus”:</w:t>
      </w:r>
    </w:p>
    <w:p w:rsidR="001C6C80" w:rsidRDefault="00E0151C" w:rsidP="001C6C80">
      <w:pPr>
        <w:keepNext/>
        <w:keepLines/>
        <w:widowControl w:val="0"/>
        <w:spacing w:after="0" w:line="360" w:lineRule="auto"/>
        <w:jc w:val="both"/>
        <w:rPr>
          <w:lang w:val="en-GB"/>
        </w:rPr>
      </w:pPr>
      <w:hyperlink r:id="rId7" w:history="1">
        <w:r w:rsidR="001C6C80" w:rsidRPr="000D4B94">
          <w:rPr>
            <w:rStyle w:val="Hyperlink"/>
            <w:bCs/>
            <w:sz w:val="20"/>
            <w:szCs w:val="20"/>
            <w:lang w:val="en-GB"/>
          </w:rPr>
          <w:t>http://www.enterprise-Ireland.com/Contact/Overseas+Offices/Areas+of+Opportunity+in+Cyprus.htm</w:t>
        </w:r>
      </w:hyperlink>
      <w:r w:rsidR="001C6C80">
        <w:rPr>
          <w:lang w:val="en-GB"/>
        </w:rPr>
        <w:t xml:space="preserve"> (accessed January 2009).</w:t>
      </w:r>
    </w:p>
    <w:p w:rsidR="001C20DD" w:rsidRDefault="001C20DD" w:rsidP="0007660A">
      <w:pPr>
        <w:keepNext/>
        <w:keepLines/>
        <w:widowControl w:val="0"/>
        <w:spacing w:after="0" w:line="360" w:lineRule="auto"/>
        <w:jc w:val="both"/>
        <w:rPr>
          <w:lang w:val="en-GB"/>
        </w:rPr>
      </w:pPr>
    </w:p>
    <w:p w:rsidR="00FF5291" w:rsidRDefault="00FF5291" w:rsidP="006B3D85">
      <w:pPr>
        <w:keepNext/>
        <w:keepLines/>
        <w:widowControl w:val="0"/>
        <w:spacing w:after="0" w:line="360" w:lineRule="auto"/>
        <w:jc w:val="both"/>
      </w:pPr>
      <w:r>
        <w:t>Eurostat (2012) “Female Labour Market Participation”, Fig.11b</w:t>
      </w:r>
      <w:r w:rsidR="006B3D85">
        <w:t>, from Labour Force Survey 2012:</w:t>
      </w:r>
      <w:r>
        <w:t xml:space="preserve"> </w:t>
      </w:r>
      <w:hyperlink r:id="rId8" w:history="1">
        <w:r w:rsidR="006B3D85" w:rsidRPr="00B341DB">
          <w:rPr>
            <w:rStyle w:val="Hyperlink"/>
          </w:rPr>
          <w:t>http://ec.europa.eu/europe2020/pdf/themes/31_labour_market_participation_of_women.pdf</w:t>
        </w:r>
      </w:hyperlink>
      <w:r w:rsidR="006B3D85">
        <w:t>, accessed 3</w:t>
      </w:r>
      <w:r w:rsidR="006B3D85" w:rsidRPr="004B761E">
        <w:rPr>
          <w:vertAlign w:val="superscript"/>
        </w:rPr>
        <w:t>rd</w:t>
      </w:r>
      <w:r w:rsidR="006B3D85">
        <w:t xml:space="preserve"> March 2014.</w:t>
      </w:r>
    </w:p>
    <w:p w:rsidR="00FB2BED" w:rsidRDefault="00FB2BED" w:rsidP="00FB2BED">
      <w:pPr>
        <w:keepNext/>
        <w:keepLines/>
        <w:widowControl w:val="0"/>
        <w:spacing w:after="0" w:line="360" w:lineRule="auto"/>
        <w:jc w:val="both"/>
        <w:rPr>
          <w:lang w:val="en-GB"/>
        </w:rPr>
      </w:pPr>
    </w:p>
    <w:p w:rsidR="00FB2BED" w:rsidRPr="00FB2BED" w:rsidRDefault="00FB2BED" w:rsidP="00FB2BED">
      <w:pPr>
        <w:keepNext/>
        <w:keepLines/>
        <w:widowControl w:val="0"/>
        <w:spacing w:after="0" w:line="360" w:lineRule="auto"/>
        <w:jc w:val="both"/>
      </w:pPr>
      <w:r w:rsidRPr="00FB2BED">
        <w:lastRenderedPageBreak/>
        <w:t xml:space="preserve">Gal, J. (2010) “Is There an Extended Family of Mediterranean Welfare States?” </w:t>
      </w:r>
      <w:r w:rsidRPr="00FB2BED">
        <w:rPr>
          <w:i/>
        </w:rPr>
        <w:t>Journal of European Social Policy</w:t>
      </w:r>
      <w:r w:rsidRPr="00FB2BED">
        <w:t xml:space="preserve"> 20(4), 283-300.</w:t>
      </w:r>
    </w:p>
    <w:p w:rsidR="00FB2BED" w:rsidRDefault="00FB2BED" w:rsidP="001C20DD">
      <w:pPr>
        <w:keepNext/>
        <w:keepLines/>
        <w:widowControl w:val="0"/>
        <w:spacing w:after="0" w:line="360" w:lineRule="auto"/>
        <w:jc w:val="both"/>
        <w:rPr>
          <w:lang w:val="en-GB"/>
        </w:rPr>
      </w:pPr>
    </w:p>
    <w:p w:rsidR="001C20DD" w:rsidRPr="001C20DD" w:rsidRDefault="001C20DD" w:rsidP="001C20DD">
      <w:pPr>
        <w:keepNext/>
        <w:keepLines/>
        <w:widowControl w:val="0"/>
        <w:spacing w:after="0" w:line="360" w:lineRule="auto"/>
        <w:jc w:val="both"/>
        <w:rPr>
          <w:lang w:val="en-GB"/>
        </w:rPr>
      </w:pPr>
      <w:proofErr w:type="spellStart"/>
      <w:r w:rsidRPr="001C20DD">
        <w:rPr>
          <w:lang w:val="en-GB"/>
        </w:rPr>
        <w:t>Gan</w:t>
      </w:r>
      <w:proofErr w:type="spellEnd"/>
      <w:r w:rsidRPr="001C20DD">
        <w:rPr>
          <w:lang w:val="en-GB"/>
        </w:rPr>
        <w:t xml:space="preserve">, Li, and Vernon, Victoria (2003) “Testing the </w:t>
      </w:r>
      <w:proofErr w:type="spellStart"/>
      <w:r w:rsidRPr="001C20DD">
        <w:rPr>
          <w:lang w:val="en-GB"/>
        </w:rPr>
        <w:t>Barten</w:t>
      </w:r>
      <w:proofErr w:type="spellEnd"/>
      <w:r w:rsidRPr="001C20DD">
        <w:rPr>
          <w:lang w:val="en-GB"/>
        </w:rPr>
        <w:t xml:space="preserve"> Model of Economies of Scale in Household Consumption: Toward Resolving a Paradox of Deaton </w:t>
      </w:r>
      <w:proofErr w:type="spellStart"/>
      <w:r w:rsidRPr="001C20DD">
        <w:rPr>
          <w:lang w:val="en-GB"/>
        </w:rPr>
        <w:t>Paxson</w:t>
      </w:r>
      <w:proofErr w:type="spellEnd"/>
      <w:r w:rsidRPr="001C20DD">
        <w:rPr>
          <w:lang w:val="en-GB"/>
        </w:rPr>
        <w:t xml:space="preserve">.” </w:t>
      </w:r>
      <w:r w:rsidRPr="001C20DD">
        <w:rPr>
          <w:i/>
          <w:iCs/>
          <w:lang w:val="en-GB"/>
        </w:rPr>
        <w:t>JPE</w:t>
      </w:r>
      <w:r w:rsidRPr="001C20DD">
        <w:rPr>
          <w:lang w:val="en-GB"/>
        </w:rPr>
        <w:t>, Vol. 111, pp. 1361-1377.</w:t>
      </w:r>
    </w:p>
    <w:p w:rsidR="001C20DD" w:rsidRDefault="001C20DD" w:rsidP="0007660A">
      <w:pPr>
        <w:keepNext/>
        <w:keepLines/>
        <w:widowControl w:val="0"/>
        <w:spacing w:after="0" w:line="360" w:lineRule="auto"/>
        <w:jc w:val="both"/>
        <w:rPr>
          <w:lang w:val="en-GB"/>
        </w:rPr>
      </w:pPr>
    </w:p>
    <w:p w:rsidR="001C20DD" w:rsidRPr="001C20DD" w:rsidRDefault="001C20DD" w:rsidP="001C20DD">
      <w:pPr>
        <w:keepNext/>
        <w:keepLines/>
        <w:widowControl w:val="0"/>
        <w:spacing w:after="0" w:line="360" w:lineRule="auto"/>
        <w:jc w:val="both"/>
      </w:pPr>
      <w:r w:rsidRPr="001C20DD">
        <w:t>Horowitz, A.W. (2002) “Household size and the demand for food: A Puzzle to be Resolved?</w:t>
      </w:r>
      <w:proofErr w:type="gramStart"/>
      <w:r w:rsidRPr="001C20DD">
        <w:t>”,</w:t>
      </w:r>
      <w:proofErr w:type="gramEnd"/>
      <w:r w:rsidRPr="001C20DD">
        <w:t xml:space="preserve"> Sam M. Walton College of Business, University of Arkansas, Working Paper.</w:t>
      </w:r>
    </w:p>
    <w:p w:rsidR="001C20DD" w:rsidRPr="001C20DD" w:rsidRDefault="001C20DD" w:rsidP="0007660A">
      <w:pPr>
        <w:keepNext/>
        <w:keepLines/>
        <w:widowControl w:val="0"/>
        <w:spacing w:after="0" w:line="360" w:lineRule="auto"/>
        <w:jc w:val="both"/>
      </w:pPr>
    </w:p>
    <w:p w:rsidR="0007660A" w:rsidRPr="0007660A" w:rsidRDefault="0007660A" w:rsidP="00B162BA">
      <w:pPr>
        <w:keepNext/>
        <w:keepLines/>
        <w:widowControl w:val="0"/>
        <w:spacing w:after="0" w:line="360" w:lineRule="auto"/>
        <w:jc w:val="both"/>
      </w:pPr>
      <w:r w:rsidRPr="0007660A">
        <w:t xml:space="preserve">Jacobson, D., </w:t>
      </w:r>
      <w:proofErr w:type="spellStart"/>
      <w:r w:rsidRPr="0007660A">
        <w:t>Mavrikiou</w:t>
      </w:r>
      <w:proofErr w:type="spellEnd"/>
      <w:r w:rsidR="00FD0918">
        <w:t>,</w:t>
      </w:r>
      <w:r w:rsidRPr="0007660A">
        <w:t xml:space="preserve"> P.M., and Minas C., (2010) </w:t>
      </w:r>
      <w:r w:rsidR="00B162BA">
        <w:t>“</w:t>
      </w:r>
      <w:r w:rsidRPr="0007660A">
        <w:t>Household size, income and expendit</w:t>
      </w:r>
      <w:r w:rsidR="00B162BA">
        <w:t>ure on food: The case of Cyprus”,</w:t>
      </w:r>
      <w:r w:rsidRPr="0007660A">
        <w:t xml:space="preserve"> </w:t>
      </w:r>
      <w:r w:rsidRPr="0007660A">
        <w:rPr>
          <w:i/>
        </w:rPr>
        <w:t>Journal of Socio-Economics</w:t>
      </w:r>
      <w:r w:rsidRPr="0007660A">
        <w:t xml:space="preserve">, </w:t>
      </w:r>
      <w:r w:rsidRPr="0007660A">
        <w:rPr>
          <w:i/>
        </w:rPr>
        <w:t>39</w:t>
      </w:r>
      <w:r w:rsidRPr="0007660A">
        <w:t>(2), 319-328.</w:t>
      </w:r>
    </w:p>
    <w:p w:rsidR="0007660A" w:rsidRDefault="0007660A" w:rsidP="002867BF">
      <w:pPr>
        <w:keepNext/>
        <w:keepLines/>
        <w:widowControl w:val="0"/>
        <w:spacing w:after="0" w:line="360" w:lineRule="auto"/>
        <w:jc w:val="both"/>
      </w:pPr>
    </w:p>
    <w:p w:rsidR="001C20DD" w:rsidRPr="001C20DD" w:rsidRDefault="001C20DD" w:rsidP="001C20DD">
      <w:pPr>
        <w:keepNext/>
        <w:keepLines/>
        <w:widowControl w:val="0"/>
        <w:spacing w:after="0" w:line="360" w:lineRule="auto"/>
        <w:jc w:val="both"/>
      </w:pPr>
      <w:proofErr w:type="spellStart"/>
      <w:proofErr w:type="gramStart"/>
      <w:r w:rsidRPr="001C20DD">
        <w:t>Lanjouw</w:t>
      </w:r>
      <w:proofErr w:type="spellEnd"/>
      <w:r w:rsidRPr="001C20DD">
        <w:t xml:space="preserve">, P. and </w:t>
      </w:r>
      <w:proofErr w:type="spellStart"/>
      <w:r w:rsidRPr="001C20DD">
        <w:t>Ravallion</w:t>
      </w:r>
      <w:proofErr w:type="spellEnd"/>
      <w:r w:rsidRPr="001C20DD">
        <w:t xml:space="preserve">, M. (1995) “Poverty and household size,” </w:t>
      </w:r>
      <w:r w:rsidRPr="001C20DD">
        <w:rPr>
          <w:i/>
          <w:iCs/>
        </w:rPr>
        <w:t>Economic Journal</w:t>
      </w:r>
      <w:r w:rsidRPr="001C20DD">
        <w:t>,</w:t>
      </w:r>
      <w:r w:rsidRPr="001C20DD">
        <w:rPr>
          <w:i/>
          <w:iCs/>
        </w:rPr>
        <w:t xml:space="preserve"> </w:t>
      </w:r>
      <w:r w:rsidRPr="001C20DD">
        <w:t>105(433), 1415-1434.</w:t>
      </w:r>
      <w:proofErr w:type="gramEnd"/>
    </w:p>
    <w:p w:rsidR="001C20DD" w:rsidRDefault="001C20DD" w:rsidP="002867BF">
      <w:pPr>
        <w:keepNext/>
        <w:keepLines/>
        <w:widowControl w:val="0"/>
        <w:spacing w:after="0" w:line="360" w:lineRule="auto"/>
        <w:jc w:val="both"/>
      </w:pPr>
    </w:p>
    <w:p w:rsidR="002867BF" w:rsidRPr="002867BF" w:rsidRDefault="002867BF" w:rsidP="002867BF">
      <w:pPr>
        <w:keepNext/>
        <w:keepLines/>
        <w:widowControl w:val="0"/>
        <w:spacing w:after="0" w:line="360" w:lineRule="auto"/>
        <w:jc w:val="both"/>
      </w:pPr>
      <w:proofErr w:type="spellStart"/>
      <w:r w:rsidRPr="002867BF">
        <w:t>Lazarou</w:t>
      </w:r>
      <w:proofErr w:type="spellEnd"/>
      <w:r w:rsidRPr="002867BF">
        <w:t xml:space="preserve">, C. and </w:t>
      </w:r>
      <w:proofErr w:type="spellStart"/>
      <w:r w:rsidRPr="002867BF">
        <w:t>Soteriades</w:t>
      </w:r>
      <w:proofErr w:type="spellEnd"/>
      <w:r w:rsidRPr="002867BF">
        <w:t xml:space="preserve">, E.S. (2010) “Children's physical activity, TV watching and obesity in Cyprus: the CYKIDS study”, </w:t>
      </w:r>
      <w:r w:rsidRPr="002867BF">
        <w:rPr>
          <w:i/>
          <w:iCs/>
        </w:rPr>
        <w:t>European Journal of Public Health</w:t>
      </w:r>
      <w:r w:rsidRPr="002867BF">
        <w:t>, 20(1), 70-77.</w:t>
      </w:r>
    </w:p>
    <w:p w:rsidR="002867BF" w:rsidRDefault="002867BF" w:rsidP="00677920">
      <w:pPr>
        <w:keepNext/>
        <w:keepLines/>
        <w:widowControl w:val="0"/>
        <w:spacing w:after="0" w:line="360" w:lineRule="auto"/>
        <w:jc w:val="both"/>
      </w:pPr>
    </w:p>
    <w:p w:rsidR="00E40B41" w:rsidRPr="00E40B41" w:rsidRDefault="00E40B41" w:rsidP="00691AE6">
      <w:pPr>
        <w:keepNext/>
        <w:keepLines/>
        <w:widowControl w:val="0"/>
        <w:spacing w:after="0" w:line="360" w:lineRule="auto"/>
        <w:jc w:val="both"/>
      </w:pPr>
      <w:proofErr w:type="gramStart"/>
      <w:r w:rsidRPr="00E40B41">
        <w:t xml:space="preserve">Minas, C., Jacobson, </w:t>
      </w:r>
      <w:r w:rsidR="00691AE6">
        <w:t xml:space="preserve">D., </w:t>
      </w:r>
      <w:r w:rsidRPr="00E40B41">
        <w:t>Antoniou</w:t>
      </w:r>
      <w:r w:rsidR="00691AE6">
        <w:t>, E.</w:t>
      </w:r>
      <w:r w:rsidRPr="00E40B41">
        <w:t xml:space="preserve"> and McMullan</w:t>
      </w:r>
      <w:r w:rsidR="00691AE6">
        <w:t>, C.</w:t>
      </w:r>
      <w:r w:rsidRPr="00E40B41">
        <w:t xml:space="preserve"> (2014) “Welfare regime, welfare pillar and southern Europe”, </w:t>
      </w:r>
      <w:r w:rsidRPr="00E40B41">
        <w:rPr>
          <w:i/>
          <w:iCs/>
        </w:rPr>
        <w:t>Journal of European Social Policy</w:t>
      </w:r>
      <w:r w:rsidRPr="00E40B41">
        <w:t>, 24</w:t>
      </w:r>
      <w:r>
        <w:t>(</w:t>
      </w:r>
      <w:r w:rsidRPr="00E40B41">
        <w:t>2</w:t>
      </w:r>
      <w:r>
        <w:t>)</w:t>
      </w:r>
      <w:r w:rsidRPr="00E40B41">
        <w:t>, 135-146.</w:t>
      </w:r>
      <w:proofErr w:type="gramEnd"/>
    </w:p>
    <w:p w:rsidR="00E40B41" w:rsidRPr="00B87921" w:rsidRDefault="00E40B41" w:rsidP="003B5878">
      <w:pPr>
        <w:keepNext/>
        <w:keepLines/>
        <w:widowControl w:val="0"/>
        <w:spacing w:after="0" w:line="360" w:lineRule="auto"/>
        <w:jc w:val="both"/>
      </w:pPr>
    </w:p>
    <w:p w:rsidR="003B5878" w:rsidRPr="0007660A" w:rsidRDefault="003B5878" w:rsidP="003B5878">
      <w:pPr>
        <w:keepNext/>
        <w:keepLines/>
        <w:widowControl w:val="0"/>
        <w:spacing w:after="0" w:line="360" w:lineRule="auto"/>
        <w:jc w:val="both"/>
        <w:rPr>
          <w:lang w:val="en-US"/>
        </w:rPr>
      </w:pPr>
      <w:r>
        <w:rPr>
          <w:lang w:val="en-US"/>
        </w:rPr>
        <w:t xml:space="preserve">Minas, C., Jacobson, D. and McMullan, C. (2013a) </w:t>
      </w:r>
      <w:r w:rsidRPr="0007660A">
        <w:rPr>
          <w:lang w:val="en-US"/>
        </w:rPr>
        <w:t xml:space="preserve">“Food in Cyprus: A Qualitative Approach to Household Consumption Research”, </w:t>
      </w:r>
      <w:r w:rsidRPr="0007660A">
        <w:rPr>
          <w:i/>
          <w:iCs/>
          <w:lang w:val="en-US"/>
        </w:rPr>
        <w:t>Journal of European Social Policy</w:t>
      </w:r>
      <w:r w:rsidRPr="0007660A">
        <w:rPr>
          <w:lang w:val="en-US"/>
        </w:rPr>
        <w:t xml:space="preserve">, </w:t>
      </w:r>
      <w:r w:rsidRPr="0007660A">
        <w:t>Vol. 23, No. 3, pp.300-314.</w:t>
      </w:r>
    </w:p>
    <w:p w:rsidR="003B5878" w:rsidRDefault="003B5878" w:rsidP="0007660A">
      <w:pPr>
        <w:keepNext/>
        <w:keepLines/>
        <w:widowControl w:val="0"/>
        <w:spacing w:after="0" w:line="360" w:lineRule="auto"/>
        <w:jc w:val="both"/>
        <w:rPr>
          <w:lang w:val="en-US"/>
        </w:rPr>
      </w:pPr>
    </w:p>
    <w:p w:rsidR="0007660A" w:rsidRPr="0007660A" w:rsidRDefault="0007660A" w:rsidP="0007660A">
      <w:pPr>
        <w:keepNext/>
        <w:keepLines/>
        <w:widowControl w:val="0"/>
        <w:spacing w:after="0" w:line="360" w:lineRule="auto"/>
        <w:jc w:val="both"/>
        <w:rPr>
          <w:lang w:val="en-US"/>
        </w:rPr>
      </w:pPr>
      <w:r>
        <w:rPr>
          <w:lang w:val="en-US"/>
        </w:rPr>
        <w:t xml:space="preserve">Minas, C., </w:t>
      </w:r>
      <w:proofErr w:type="spellStart"/>
      <w:r>
        <w:rPr>
          <w:lang w:val="en-US"/>
        </w:rPr>
        <w:t>Mavri</w:t>
      </w:r>
      <w:r w:rsidR="003B5878">
        <w:rPr>
          <w:lang w:val="en-US"/>
        </w:rPr>
        <w:t>kiou</w:t>
      </w:r>
      <w:proofErr w:type="spellEnd"/>
      <w:r w:rsidR="003B5878">
        <w:rPr>
          <w:lang w:val="en-US"/>
        </w:rPr>
        <w:t>, P. and Jacobson, D. (2013b</w:t>
      </w:r>
      <w:r>
        <w:rPr>
          <w:lang w:val="en-US"/>
        </w:rPr>
        <w:t xml:space="preserve">) </w:t>
      </w:r>
      <w:r w:rsidRPr="0007660A">
        <w:rPr>
          <w:lang w:val="en-US"/>
        </w:rPr>
        <w:t xml:space="preserve">“Homeownership, Family and the Gift Effect: The Case of Cyprus”, </w:t>
      </w:r>
      <w:r w:rsidRPr="0007660A">
        <w:rPr>
          <w:i/>
          <w:lang w:val="en-US"/>
        </w:rPr>
        <w:t>Journal of Housing and the Built Environment</w:t>
      </w:r>
      <w:r w:rsidRPr="0007660A">
        <w:rPr>
          <w:lang w:val="en-US"/>
        </w:rPr>
        <w:t>, Vol. 28, No. 1, pp.1-15.</w:t>
      </w:r>
    </w:p>
    <w:p w:rsidR="001C20DD" w:rsidRDefault="001C20DD" w:rsidP="001A2BDD">
      <w:pPr>
        <w:keepNext/>
        <w:keepLines/>
        <w:widowControl w:val="0"/>
        <w:spacing w:after="0" w:line="360" w:lineRule="auto"/>
        <w:jc w:val="both"/>
        <w:rPr>
          <w:lang w:val="en-GB"/>
        </w:rPr>
      </w:pPr>
    </w:p>
    <w:p w:rsidR="001C20DD" w:rsidRDefault="001C20DD" w:rsidP="00EF23D2">
      <w:pPr>
        <w:keepNext/>
        <w:keepLines/>
        <w:widowControl w:val="0"/>
        <w:spacing w:after="0" w:line="360" w:lineRule="auto"/>
        <w:jc w:val="both"/>
        <w:rPr>
          <w:lang w:val="en-GB"/>
        </w:rPr>
      </w:pPr>
      <w:proofErr w:type="spellStart"/>
      <w:r w:rsidRPr="001C20DD">
        <w:rPr>
          <w:lang w:val="en-GB"/>
        </w:rPr>
        <w:t>Perali</w:t>
      </w:r>
      <w:proofErr w:type="spellEnd"/>
      <w:r w:rsidRPr="001C20DD">
        <w:rPr>
          <w:lang w:val="en-GB"/>
        </w:rPr>
        <w:t>, F. (2008) “</w:t>
      </w:r>
      <w:r w:rsidRPr="001C20DD">
        <w:t>The second Engel law: Is it a paradox?</w:t>
      </w:r>
      <w:proofErr w:type="gramStart"/>
      <w:r w:rsidRPr="001C20DD">
        <w:t>”,</w:t>
      </w:r>
      <w:proofErr w:type="gramEnd"/>
      <w:r w:rsidRPr="001C20DD">
        <w:t xml:space="preserve"> </w:t>
      </w:r>
      <w:r w:rsidRPr="001C20DD">
        <w:rPr>
          <w:i/>
          <w:iCs/>
        </w:rPr>
        <w:t>European Economic Review</w:t>
      </w:r>
      <w:r w:rsidRPr="001C20DD">
        <w:t>, 52(2008),  1353–1377.</w:t>
      </w:r>
    </w:p>
    <w:p w:rsidR="00DF4041" w:rsidRPr="00DF4041" w:rsidRDefault="00DF4041" w:rsidP="00DF4041">
      <w:pPr>
        <w:keepNext/>
        <w:keepLines/>
        <w:widowControl w:val="0"/>
        <w:spacing w:after="0" w:line="360" w:lineRule="auto"/>
        <w:jc w:val="both"/>
        <w:rPr>
          <w:lang w:val="en-GB"/>
        </w:rPr>
      </w:pPr>
      <w:r w:rsidRPr="00DF4041">
        <w:rPr>
          <w:lang w:val="en-GB"/>
        </w:rPr>
        <w:t xml:space="preserve">Simmel, G. (1998) “The Sociology of the Meal” in </w:t>
      </w:r>
      <w:proofErr w:type="spellStart"/>
      <w:r w:rsidRPr="00DF4041">
        <w:rPr>
          <w:lang w:val="en-GB"/>
        </w:rPr>
        <w:t>Frisby</w:t>
      </w:r>
      <w:proofErr w:type="spellEnd"/>
      <w:r w:rsidRPr="00DF4041">
        <w:rPr>
          <w:lang w:val="en-GB"/>
        </w:rPr>
        <w:t>, D. and Featherstone, M. (eds</w:t>
      </w:r>
      <w:r>
        <w:rPr>
          <w:lang w:val="en-GB"/>
        </w:rPr>
        <w:t>.</w:t>
      </w:r>
      <w:r w:rsidRPr="00DF4041">
        <w:rPr>
          <w:lang w:val="en-GB"/>
        </w:rPr>
        <w:t xml:space="preserve">) </w:t>
      </w:r>
      <w:r w:rsidRPr="00DF4041">
        <w:rPr>
          <w:i/>
          <w:iCs/>
          <w:lang w:val="en-GB"/>
        </w:rPr>
        <w:t>Simmel on Culture: Selected Writings</w:t>
      </w:r>
      <w:r w:rsidRPr="00DF4041">
        <w:rPr>
          <w:lang w:val="en-GB"/>
        </w:rPr>
        <w:t>, Sage.</w:t>
      </w:r>
    </w:p>
    <w:p w:rsidR="00DF4041" w:rsidRPr="00B87921" w:rsidRDefault="00DF4041" w:rsidP="001C20DD">
      <w:pPr>
        <w:keepNext/>
        <w:keepLines/>
        <w:widowControl w:val="0"/>
        <w:spacing w:after="0" w:line="360" w:lineRule="auto"/>
        <w:jc w:val="both"/>
        <w:rPr>
          <w:lang w:val="en-GB"/>
        </w:rPr>
      </w:pPr>
    </w:p>
    <w:p w:rsidR="00EF23D2" w:rsidRDefault="00EF23D2" w:rsidP="001C20DD">
      <w:pPr>
        <w:keepNext/>
        <w:keepLines/>
        <w:widowControl w:val="0"/>
        <w:spacing w:after="0" w:line="360" w:lineRule="auto"/>
        <w:jc w:val="both"/>
      </w:pPr>
      <w:r>
        <w:lastRenderedPageBreak/>
        <w:t xml:space="preserve">Velarde, M. and Herrmann, R. (2014) “How Retirement Changes Consumption and Household Production of Food: Lessons from German Time-use Data”, </w:t>
      </w:r>
      <w:r>
        <w:rPr>
          <w:i/>
          <w:iCs/>
        </w:rPr>
        <w:t>The Journal of the Economics of Ageing</w:t>
      </w:r>
      <w:r>
        <w:t>, 3, 1-10.</w:t>
      </w:r>
    </w:p>
    <w:p w:rsidR="00DF4041" w:rsidRPr="00EF23D2" w:rsidRDefault="00DF4041" w:rsidP="001C20DD">
      <w:pPr>
        <w:keepNext/>
        <w:keepLines/>
        <w:widowControl w:val="0"/>
        <w:spacing w:after="0" w:line="360" w:lineRule="auto"/>
        <w:jc w:val="both"/>
      </w:pPr>
    </w:p>
    <w:p w:rsidR="001C20DD" w:rsidRDefault="001C20DD" w:rsidP="001C20DD">
      <w:pPr>
        <w:keepNext/>
        <w:keepLines/>
        <w:widowControl w:val="0"/>
        <w:spacing w:after="0" w:line="360" w:lineRule="auto"/>
        <w:jc w:val="both"/>
        <w:rPr>
          <w:i/>
          <w:iCs/>
        </w:rPr>
      </w:pPr>
      <w:proofErr w:type="gramStart"/>
      <w:r w:rsidRPr="001C20DD">
        <w:t xml:space="preserve">Verdon, M. (1998) </w:t>
      </w:r>
      <w:r w:rsidRPr="001C20DD">
        <w:rPr>
          <w:i/>
          <w:iCs/>
        </w:rPr>
        <w:t>Rethinking Households: An Atomistic Perspective on European living Arrangements</w:t>
      </w:r>
      <w:r w:rsidRPr="001C20DD">
        <w:t>.</w:t>
      </w:r>
      <w:proofErr w:type="gramEnd"/>
      <w:r w:rsidRPr="001C20DD">
        <w:t xml:space="preserve"> London and New York: Routledge. </w:t>
      </w:r>
      <w:r w:rsidRPr="001C20DD">
        <w:rPr>
          <w:i/>
          <w:iCs/>
        </w:rPr>
        <w:t xml:space="preserve"> </w:t>
      </w:r>
    </w:p>
    <w:p w:rsidR="009320F3" w:rsidRDefault="009320F3" w:rsidP="001C20DD">
      <w:pPr>
        <w:keepNext/>
        <w:keepLines/>
        <w:widowControl w:val="0"/>
        <w:spacing w:after="0" w:line="360" w:lineRule="auto"/>
        <w:jc w:val="both"/>
        <w:rPr>
          <w:i/>
          <w:iCs/>
        </w:rPr>
      </w:pPr>
    </w:p>
    <w:p w:rsidR="009320F3" w:rsidRPr="009320F3" w:rsidRDefault="009320F3" w:rsidP="009320F3">
      <w:pPr>
        <w:keepNext/>
        <w:keepLines/>
        <w:widowControl w:val="0"/>
        <w:spacing w:after="0" w:line="360" w:lineRule="auto"/>
        <w:jc w:val="both"/>
        <w:rPr>
          <w:lang w:val="en-GB"/>
        </w:rPr>
      </w:pPr>
      <w:proofErr w:type="spellStart"/>
      <w:r w:rsidRPr="009320F3">
        <w:t>Warde</w:t>
      </w:r>
      <w:proofErr w:type="spellEnd"/>
      <w:r w:rsidRPr="009320F3">
        <w:t xml:space="preserve">, A. (1999) ‘Convenience Food: Space and Timing’, </w:t>
      </w:r>
      <w:r w:rsidRPr="009320F3">
        <w:rPr>
          <w:i/>
          <w:iCs/>
        </w:rPr>
        <w:t xml:space="preserve">British Food Journal </w:t>
      </w:r>
      <w:r w:rsidRPr="009320F3">
        <w:t>101 (7): 518-527.</w:t>
      </w:r>
    </w:p>
    <w:p w:rsidR="009320F3" w:rsidRPr="009320F3" w:rsidRDefault="009320F3" w:rsidP="001C20DD">
      <w:pPr>
        <w:keepNext/>
        <w:keepLines/>
        <w:widowControl w:val="0"/>
        <w:spacing w:after="0" w:line="360" w:lineRule="auto"/>
        <w:jc w:val="both"/>
        <w:rPr>
          <w:lang w:val="en-GB"/>
        </w:rPr>
      </w:pPr>
    </w:p>
    <w:p w:rsidR="001C20DD" w:rsidRPr="006008EB" w:rsidRDefault="001C20DD" w:rsidP="000A1BD4">
      <w:pPr>
        <w:rPr>
          <w:lang w:val="en-GB"/>
        </w:rPr>
      </w:pPr>
    </w:p>
    <w:sectPr w:rsidR="001C20DD" w:rsidRPr="006008EB" w:rsidSect="00125AFD">
      <w:headerReference w:type="default" r:id="rId9"/>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6F" w:rsidRDefault="0041726F" w:rsidP="009261F8">
      <w:pPr>
        <w:spacing w:after="0" w:line="240" w:lineRule="auto"/>
      </w:pPr>
      <w:r>
        <w:separator/>
      </w:r>
    </w:p>
  </w:endnote>
  <w:endnote w:type="continuationSeparator" w:id="0">
    <w:p w:rsidR="0041726F" w:rsidRDefault="0041726F" w:rsidP="009261F8">
      <w:pPr>
        <w:spacing w:after="0" w:line="240" w:lineRule="auto"/>
      </w:pPr>
      <w:r>
        <w:continuationSeparator/>
      </w:r>
    </w:p>
  </w:endnote>
  <w:endnote w:id="1">
    <w:p w:rsidR="00D77CF1" w:rsidRDefault="00D77CF1" w:rsidP="00D77CF1">
      <w:pPr>
        <w:pStyle w:val="EndnoteText"/>
      </w:pPr>
      <w:r>
        <w:rPr>
          <w:rStyle w:val="EndnoteReference"/>
        </w:rPr>
        <w:endnoteRef/>
      </w:r>
      <w:r>
        <w:t xml:space="preserve"> A search in Google Scholar for “Ernst Engel food” gets 13,300 “hits” (24/02/2014).</w:t>
      </w:r>
    </w:p>
  </w:endnote>
  <w:endnote w:id="2">
    <w:p w:rsidR="00D77CF1" w:rsidRDefault="00D77CF1">
      <w:pPr>
        <w:pStyle w:val="EndnoteText"/>
      </w:pPr>
      <w:r>
        <w:rPr>
          <w:rStyle w:val="EndnoteReference"/>
        </w:rPr>
        <w:endnoteRef/>
      </w:r>
      <w:r>
        <w:t xml:space="preserve"> A search in Google Scholar for “Georg Simmel food” gets 13,800 “hits” (24/02/2014).</w:t>
      </w:r>
    </w:p>
  </w:endnote>
  <w:endnote w:id="3">
    <w:p w:rsidR="002E7769" w:rsidRDefault="002E7769" w:rsidP="002E7769">
      <w:pPr>
        <w:pStyle w:val="EndnoteText"/>
      </w:pPr>
      <w:r>
        <w:rPr>
          <w:rStyle w:val="EndnoteReference"/>
        </w:rPr>
        <w:endnoteRef/>
      </w:r>
      <w:r>
        <w:t xml:space="preserve"> The data includes information on age of parents, not on age of children.</w:t>
      </w:r>
    </w:p>
  </w:endnote>
  <w:endnote w:id="4">
    <w:p w:rsidR="00FD4F0C" w:rsidRDefault="00FD4F0C">
      <w:pPr>
        <w:pStyle w:val="EndnoteText"/>
      </w:pPr>
      <w:r>
        <w:rPr>
          <w:rStyle w:val="EndnoteReference"/>
        </w:rPr>
        <w:endnoteRef/>
      </w:r>
      <w:r>
        <w:t xml:space="preserve"> Names have been changed to preserve confidentiality.</w:t>
      </w:r>
    </w:p>
  </w:endnote>
  <w:endnote w:id="5">
    <w:p w:rsidR="000A1BD4" w:rsidRDefault="00EB1FCC">
      <w:pPr>
        <w:pStyle w:val="EndnoteText"/>
      </w:pPr>
      <w:r>
        <w:rPr>
          <w:rStyle w:val="EndnoteReference"/>
        </w:rPr>
        <w:endnoteRef/>
      </w:r>
      <w:r>
        <w:t xml:space="preserve"> Italy, Greece, Spain, Portugal and Malta are also above the EU average of women out of the labour force because of family responsibilities (Eurostat, 2012).</w:t>
      </w:r>
    </w:p>
    <w:p w:rsidR="000A1BD4" w:rsidRDefault="000A1BD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6F" w:rsidRDefault="0041726F" w:rsidP="009261F8">
      <w:pPr>
        <w:spacing w:after="0" w:line="240" w:lineRule="auto"/>
      </w:pPr>
      <w:r>
        <w:separator/>
      </w:r>
    </w:p>
  </w:footnote>
  <w:footnote w:type="continuationSeparator" w:id="0">
    <w:p w:rsidR="0041726F" w:rsidRDefault="0041726F" w:rsidP="00926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BD4" w:rsidRDefault="000A1B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EF"/>
    <w:rsid w:val="00021921"/>
    <w:rsid w:val="00025F8F"/>
    <w:rsid w:val="0003229E"/>
    <w:rsid w:val="000326C3"/>
    <w:rsid w:val="00060566"/>
    <w:rsid w:val="00060904"/>
    <w:rsid w:val="000702DC"/>
    <w:rsid w:val="00070A10"/>
    <w:rsid w:val="000714EE"/>
    <w:rsid w:val="00071668"/>
    <w:rsid w:val="0007660A"/>
    <w:rsid w:val="0008646F"/>
    <w:rsid w:val="00093028"/>
    <w:rsid w:val="00093A7E"/>
    <w:rsid w:val="000A1BD4"/>
    <w:rsid w:val="000B2325"/>
    <w:rsid w:val="000C5ADA"/>
    <w:rsid w:val="000D4B94"/>
    <w:rsid w:val="001040F4"/>
    <w:rsid w:val="001159BB"/>
    <w:rsid w:val="00122031"/>
    <w:rsid w:val="00125AFD"/>
    <w:rsid w:val="00125E4B"/>
    <w:rsid w:val="0013035A"/>
    <w:rsid w:val="0016470A"/>
    <w:rsid w:val="00166C83"/>
    <w:rsid w:val="00172723"/>
    <w:rsid w:val="0018365A"/>
    <w:rsid w:val="001A2BDD"/>
    <w:rsid w:val="001A62DA"/>
    <w:rsid w:val="001B3488"/>
    <w:rsid w:val="001C20DD"/>
    <w:rsid w:val="001C6C80"/>
    <w:rsid w:val="002314DA"/>
    <w:rsid w:val="00231C14"/>
    <w:rsid w:val="002352F5"/>
    <w:rsid w:val="00284A21"/>
    <w:rsid w:val="002867BF"/>
    <w:rsid w:val="002B47DE"/>
    <w:rsid w:val="002B6131"/>
    <w:rsid w:val="002C3B0C"/>
    <w:rsid w:val="002C3E9B"/>
    <w:rsid w:val="002D590E"/>
    <w:rsid w:val="002E11F9"/>
    <w:rsid w:val="002E391D"/>
    <w:rsid w:val="002E7769"/>
    <w:rsid w:val="002F715D"/>
    <w:rsid w:val="00316C15"/>
    <w:rsid w:val="00323FF3"/>
    <w:rsid w:val="00325981"/>
    <w:rsid w:val="00327BE6"/>
    <w:rsid w:val="003605C9"/>
    <w:rsid w:val="00361DDD"/>
    <w:rsid w:val="00363D75"/>
    <w:rsid w:val="00376420"/>
    <w:rsid w:val="003A2D25"/>
    <w:rsid w:val="003B5878"/>
    <w:rsid w:val="003B6769"/>
    <w:rsid w:val="003C61AC"/>
    <w:rsid w:val="003D0ACB"/>
    <w:rsid w:val="003D4FF9"/>
    <w:rsid w:val="003D7F6F"/>
    <w:rsid w:val="003E68B2"/>
    <w:rsid w:val="003F51D8"/>
    <w:rsid w:val="00407AC9"/>
    <w:rsid w:val="0041726F"/>
    <w:rsid w:val="004206B1"/>
    <w:rsid w:val="0043189F"/>
    <w:rsid w:val="00433583"/>
    <w:rsid w:val="0043619B"/>
    <w:rsid w:val="00464065"/>
    <w:rsid w:val="00466B22"/>
    <w:rsid w:val="00473C47"/>
    <w:rsid w:val="0048099E"/>
    <w:rsid w:val="0049061E"/>
    <w:rsid w:val="00491670"/>
    <w:rsid w:val="004A098D"/>
    <w:rsid w:val="004A477B"/>
    <w:rsid w:val="004A5A7B"/>
    <w:rsid w:val="004B761E"/>
    <w:rsid w:val="004E0E02"/>
    <w:rsid w:val="004F781C"/>
    <w:rsid w:val="00514F72"/>
    <w:rsid w:val="00536DE6"/>
    <w:rsid w:val="005669A2"/>
    <w:rsid w:val="00572258"/>
    <w:rsid w:val="005827B3"/>
    <w:rsid w:val="00595BDB"/>
    <w:rsid w:val="00596592"/>
    <w:rsid w:val="005A34F2"/>
    <w:rsid w:val="005B6950"/>
    <w:rsid w:val="005C30BE"/>
    <w:rsid w:val="005C3159"/>
    <w:rsid w:val="005D63BD"/>
    <w:rsid w:val="005E7759"/>
    <w:rsid w:val="005F2905"/>
    <w:rsid w:val="005F3382"/>
    <w:rsid w:val="005F6D60"/>
    <w:rsid w:val="006008EB"/>
    <w:rsid w:val="00610F13"/>
    <w:rsid w:val="00611645"/>
    <w:rsid w:val="006127B0"/>
    <w:rsid w:val="00637785"/>
    <w:rsid w:val="006415A6"/>
    <w:rsid w:val="00652197"/>
    <w:rsid w:val="00657FB3"/>
    <w:rsid w:val="006658B6"/>
    <w:rsid w:val="00670393"/>
    <w:rsid w:val="00677920"/>
    <w:rsid w:val="00681490"/>
    <w:rsid w:val="00691AE6"/>
    <w:rsid w:val="00696F0F"/>
    <w:rsid w:val="00697E76"/>
    <w:rsid w:val="006B3D85"/>
    <w:rsid w:val="006C2B6B"/>
    <w:rsid w:val="006C5844"/>
    <w:rsid w:val="006D212B"/>
    <w:rsid w:val="006D7F24"/>
    <w:rsid w:val="0070214E"/>
    <w:rsid w:val="00707AC4"/>
    <w:rsid w:val="00716D6C"/>
    <w:rsid w:val="00727CD1"/>
    <w:rsid w:val="00736576"/>
    <w:rsid w:val="00740E98"/>
    <w:rsid w:val="007418CF"/>
    <w:rsid w:val="00746B5E"/>
    <w:rsid w:val="0075462F"/>
    <w:rsid w:val="00775679"/>
    <w:rsid w:val="00780A8E"/>
    <w:rsid w:val="00784CD5"/>
    <w:rsid w:val="00796DCC"/>
    <w:rsid w:val="007A1FD8"/>
    <w:rsid w:val="007A228A"/>
    <w:rsid w:val="007B5521"/>
    <w:rsid w:val="007C1ABC"/>
    <w:rsid w:val="007D1B01"/>
    <w:rsid w:val="007D7350"/>
    <w:rsid w:val="007F0333"/>
    <w:rsid w:val="007F2E79"/>
    <w:rsid w:val="00806E44"/>
    <w:rsid w:val="008168B6"/>
    <w:rsid w:val="00817364"/>
    <w:rsid w:val="008207D4"/>
    <w:rsid w:val="00820DBE"/>
    <w:rsid w:val="008220B0"/>
    <w:rsid w:val="0082227F"/>
    <w:rsid w:val="008468DF"/>
    <w:rsid w:val="00872A4C"/>
    <w:rsid w:val="00873EF7"/>
    <w:rsid w:val="008746EF"/>
    <w:rsid w:val="0087539D"/>
    <w:rsid w:val="008811FA"/>
    <w:rsid w:val="008957EE"/>
    <w:rsid w:val="008A2381"/>
    <w:rsid w:val="008A3704"/>
    <w:rsid w:val="008A48A6"/>
    <w:rsid w:val="008B39C0"/>
    <w:rsid w:val="008C2072"/>
    <w:rsid w:val="008E5216"/>
    <w:rsid w:val="009245AE"/>
    <w:rsid w:val="009261F8"/>
    <w:rsid w:val="009320F3"/>
    <w:rsid w:val="00940FE7"/>
    <w:rsid w:val="00950773"/>
    <w:rsid w:val="009756B2"/>
    <w:rsid w:val="00984BFB"/>
    <w:rsid w:val="009A1812"/>
    <w:rsid w:val="009A6FDE"/>
    <w:rsid w:val="009C06D0"/>
    <w:rsid w:val="009C5EEF"/>
    <w:rsid w:val="009D3916"/>
    <w:rsid w:val="009E627A"/>
    <w:rsid w:val="00A174B8"/>
    <w:rsid w:val="00A25D8B"/>
    <w:rsid w:val="00A420A2"/>
    <w:rsid w:val="00A45DEC"/>
    <w:rsid w:val="00A4640B"/>
    <w:rsid w:val="00A60CBE"/>
    <w:rsid w:val="00A61DAB"/>
    <w:rsid w:val="00A64D91"/>
    <w:rsid w:val="00A854EA"/>
    <w:rsid w:val="00A95E1C"/>
    <w:rsid w:val="00AA08B4"/>
    <w:rsid w:val="00AA1A66"/>
    <w:rsid w:val="00AA43C2"/>
    <w:rsid w:val="00AA53D4"/>
    <w:rsid w:val="00AA5757"/>
    <w:rsid w:val="00AB17A6"/>
    <w:rsid w:val="00AD4732"/>
    <w:rsid w:val="00AD6578"/>
    <w:rsid w:val="00AE080D"/>
    <w:rsid w:val="00AE7E34"/>
    <w:rsid w:val="00B159BD"/>
    <w:rsid w:val="00B162BA"/>
    <w:rsid w:val="00B16C08"/>
    <w:rsid w:val="00B82970"/>
    <w:rsid w:val="00B87921"/>
    <w:rsid w:val="00B978BD"/>
    <w:rsid w:val="00BB0C67"/>
    <w:rsid w:val="00BB36D4"/>
    <w:rsid w:val="00BB3F3F"/>
    <w:rsid w:val="00BD3831"/>
    <w:rsid w:val="00BD62A5"/>
    <w:rsid w:val="00BE0570"/>
    <w:rsid w:val="00BF3872"/>
    <w:rsid w:val="00BF589B"/>
    <w:rsid w:val="00C33561"/>
    <w:rsid w:val="00C3368B"/>
    <w:rsid w:val="00C40D19"/>
    <w:rsid w:val="00C4213A"/>
    <w:rsid w:val="00C53CDE"/>
    <w:rsid w:val="00C62E99"/>
    <w:rsid w:val="00C6481C"/>
    <w:rsid w:val="00C66957"/>
    <w:rsid w:val="00C84D19"/>
    <w:rsid w:val="00C90C0D"/>
    <w:rsid w:val="00C91800"/>
    <w:rsid w:val="00CA106D"/>
    <w:rsid w:val="00CA57A5"/>
    <w:rsid w:val="00CC3491"/>
    <w:rsid w:val="00D03DED"/>
    <w:rsid w:val="00D05A23"/>
    <w:rsid w:val="00D06E6A"/>
    <w:rsid w:val="00D21535"/>
    <w:rsid w:val="00D2481E"/>
    <w:rsid w:val="00D42EA2"/>
    <w:rsid w:val="00D76A65"/>
    <w:rsid w:val="00D77CF1"/>
    <w:rsid w:val="00D80946"/>
    <w:rsid w:val="00D91D14"/>
    <w:rsid w:val="00D93504"/>
    <w:rsid w:val="00DA633A"/>
    <w:rsid w:val="00DB3FF8"/>
    <w:rsid w:val="00DC3214"/>
    <w:rsid w:val="00DC45C2"/>
    <w:rsid w:val="00DC67A2"/>
    <w:rsid w:val="00DE519E"/>
    <w:rsid w:val="00DF4041"/>
    <w:rsid w:val="00DF5452"/>
    <w:rsid w:val="00E0151C"/>
    <w:rsid w:val="00E1758E"/>
    <w:rsid w:val="00E212B9"/>
    <w:rsid w:val="00E23E3E"/>
    <w:rsid w:val="00E24D56"/>
    <w:rsid w:val="00E270A0"/>
    <w:rsid w:val="00E40B41"/>
    <w:rsid w:val="00E42FC9"/>
    <w:rsid w:val="00E62FD3"/>
    <w:rsid w:val="00E85A74"/>
    <w:rsid w:val="00E90770"/>
    <w:rsid w:val="00E93EE4"/>
    <w:rsid w:val="00E957BB"/>
    <w:rsid w:val="00E97E18"/>
    <w:rsid w:val="00EB1FCC"/>
    <w:rsid w:val="00EB3CAF"/>
    <w:rsid w:val="00EC339A"/>
    <w:rsid w:val="00ED01F3"/>
    <w:rsid w:val="00ED2BE2"/>
    <w:rsid w:val="00EE14F7"/>
    <w:rsid w:val="00EE1B2F"/>
    <w:rsid w:val="00EE2925"/>
    <w:rsid w:val="00EE29A0"/>
    <w:rsid w:val="00EF23D2"/>
    <w:rsid w:val="00EF2DA7"/>
    <w:rsid w:val="00EF510D"/>
    <w:rsid w:val="00EF612A"/>
    <w:rsid w:val="00F021C3"/>
    <w:rsid w:val="00F03C44"/>
    <w:rsid w:val="00F13865"/>
    <w:rsid w:val="00F15755"/>
    <w:rsid w:val="00F17AB4"/>
    <w:rsid w:val="00F22C60"/>
    <w:rsid w:val="00F24CCC"/>
    <w:rsid w:val="00F2557F"/>
    <w:rsid w:val="00F43DCC"/>
    <w:rsid w:val="00F46511"/>
    <w:rsid w:val="00F7720D"/>
    <w:rsid w:val="00F962AE"/>
    <w:rsid w:val="00F97BD0"/>
    <w:rsid w:val="00FA462B"/>
    <w:rsid w:val="00FB0B40"/>
    <w:rsid w:val="00FB2BED"/>
    <w:rsid w:val="00FD0918"/>
    <w:rsid w:val="00FD4F0C"/>
    <w:rsid w:val="00FE03A8"/>
    <w:rsid w:val="00FE4B74"/>
    <w:rsid w:val="00FF16C5"/>
    <w:rsid w:val="00FF529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EF"/>
    <w:rPr>
      <w:rFonts w:ascii="Calibri" w:eastAsia="Calibri" w:hAnsi="Calibri" w:cs="Arial"/>
    </w:rPr>
  </w:style>
  <w:style w:type="paragraph" w:styleId="Heading1">
    <w:name w:val="heading 1"/>
    <w:basedOn w:val="Normal"/>
    <w:next w:val="Normal"/>
    <w:link w:val="Heading1Char"/>
    <w:uiPriority w:val="9"/>
    <w:qFormat/>
    <w:rsid w:val="000B2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32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9261F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9261F8"/>
    <w:rPr>
      <w:rFonts w:ascii="Calibri" w:eastAsia="Calibri" w:hAnsi="Calibri" w:cs="Times New Roman"/>
      <w:sz w:val="20"/>
      <w:szCs w:val="20"/>
    </w:rPr>
  </w:style>
  <w:style w:type="character" w:styleId="FootnoteReference">
    <w:name w:val="footnote reference"/>
    <w:uiPriority w:val="99"/>
    <w:semiHidden/>
    <w:rsid w:val="009261F8"/>
    <w:rPr>
      <w:rFonts w:cs="Times New Roman"/>
      <w:vertAlign w:val="superscript"/>
    </w:rPr>
  </w:style>
  <w:style w:type="paragraph" w:styleId="BalloonText">
    <w:name w:val="Balloon Text"/>
    <w:basedOn w:val="Normal"/>
    <w:link w:val="BalloonTextChar"/>
    <w:uiPriority w:val="99"/>
    <w:semiHidden/>
    <w:unhideWhenUsed/>
    <w:rsid w:val="0051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72"/>
    <w:rPr>
      <w:rFonts w:ascii="Tahoma" w:eastAsia="Calibri" w:hAnsi="Tahoma" w:cs="Tahoma"/>
      <w:sz w:val="16"/>
      <w:szCs w:val="16"/>
    </w:rPr>
  </w:style>
  <w:style w:type="character" w:styleId="Hyperlink">
    <w:name w:val="Hyperlink"/>
    <w:basedOn w:val="DefaultParagraphFont"/>
    <w:uiPriority w:val="99"/>
    <w:unhideWhenUsed/>
    <w:rsid w:val="00D76A65"/>
    <w:rPr>
      <w:color w:val="0000FF" w:themeColor="hyperlink"/>
      <w:u w:val="single"/>
    </w:rPr>
  </w:style>
  <w:style w:type="paragraph" w:styleId="ListParagraph">
    <w:name w:val="List Paragraph"/>
    <w:basedOn w:val="Normal"/>
    <w:uiPriority w:val="34"/>
    <w:qFormat/>
    <w:rsid w:val="00D76A65"/>
    <w:pPr>
      <w:ind w:left="720"/>
      <w:contextualSpacing/>
    </w:pPr>
  </w:style>
  <w:style w:type="character" w:styleId="FollowedHyperlink">
    <w:name w:val="FollowedHyperlink"/>
    <w:basedOn w:val="DefaultParagraphFont"/>
    <w:uiPriority w:val="99"/>
    <w:semiHidden/>
    <w:unhideWhenUsed/>
    <w:rsid w:val="001C6C80"/>
    <w:rPr>
      <w:color w:val="800080" w:themeColor="followedHyperlink"/>
      <w:u w:val="single"/>
    </w:rPr>
  </w:style>
  <w:style w:type="paragraph" w:styleId="EndnoteText">
    <w:name w:val="endnote text"/>
    <w:basedOn w:val="Normal"/>
    <w:link w:val="EndnoteTextChar"/>
    <w:uiPriority w:val="99"/>
    <w:semiHidden/>
    <w:unhideWhenUsed/>
    <w:rsid w:val="003C61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1AC"/>
    <w:rPr>
      <w:rFonts w:ascii="Calibri" w:eastAsia="Calibri" w:hAnsi="Calibri" w:cs="Arial"/>
      <w:sz w:val="20"/>
      <w:szCs w:val="20"/>
    </w:rPr>
  </w:style>
  <w:style w:type="character" w:styleId="EndnoteReference">
    <w:name w:val="endnote reference"/>
    <w:basedOn w:val="DefaultParagraphFont"/>
    <w:uiPriority w:val="99"/>
    <w:semiHidden/>
    <w:unhideWhenUsed/>
    <w:rsid w:val="003C61AC"/>
    <w:rPr>
      <w:vertAlign w:val="superscript"/>
    </w:rPr>
  </w:style>
  <w:style w:type="table" w:styleId="TableGrid">
    <w:name w:val="Table Grid"/>
    <w:basedOn w:val="TableNormal"/>
    <w:rsid w:val="00716D6C"/>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BD4"/>
    <w:rPr>
      <w:rFonts w:ascii="Calibri" w:eastAsia="Calibri" w:hAnsi="Calibri" w:cs="Arial"/>
    </w:rPr>
  </w:style>
  <w:style w:type="paragraph" w:styleId="Footer">
    <w:name w:val="footer"/>
    <w:basedOn w:val="Normal"/>
    <w:link w:val="FooterChar"/>
    <w:uiPriority w:val="99"/>
    <w:unhideWhenUsed/>
    <w:rsid w:val="000A1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BD4"/>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EEF"/>
    <w:rPr>
      <w:rFonts w:ascii="Calibri" w:eastAsia="Calibri" w:hAnsi="Calibri" w:cs="Arial"/>
    </w:rPr>
  </w:style>
  <w:style w:type="paragraph" w:styleId="Heading1">
    <w:name w:val="heading 1"/>
    <w:basedOn w:val="Normal"/>
    <w:next w:val="Normal"/>
    <w:link w:val="Heading1Char"/>
    <w:uiPriority w:val="9"/>
    <w:qFormat/>
    <w:rsid w:val="000B2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325"/>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rsid w:val="009261F8"/>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9261F8"/>
    <w:rPr>
      <w:rFonts w:ascii="Calibri" w:eastAsia="Calibri" w:hAnsi="Calibri" w:cs="Times New Roman"/>
      <w:sz w:val="20"/>
      <w:szCs w:val="20"/>
    </w:rPr>
  </w:style>
  <w:style w:type="character" w:styleId="FootnoteReference">
    <w:name w:val="footnote reference"/>
    <w:uiPriority w:val="99"/>
    <w:semiHidden/>
    <w:rsid w:val="009261F8"/>
    <w:rPr>
      <w:rFonts w:cs="Times New Roman"/>
      <w:vertAlign w:val="superscript"/>
    </w:rPr>
  </w:style>
  <w:style w:type="paragraph" w:styleId="BalloonText">
    <w:name w:val="Balloon Text"/>
    <w:basedOn w:val="Normal"/>
    <w:link w:val="BalloonTextChar"/>
    <w:uiPriority w:val="99"/>
    <w:semiHidden/>
    <w:unhideWhenUsed/>
    <w:rsid w:val="00514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F72"/>
    <w:rPr>
      <w:rFonts w:ascii="Tahoma" w:eastAsia="Calibri" w:hAnsi="Tahoma" w:cs="Tahoma"/>
      <w:sz w:val="16"/>
      <w:szCs w:val="16"/>
    </w:rPr>
  </w:style>
  <w:style w:type="character" w:styleId="Hyperlink">
    <w:name w:val="Hyperlink"/>
    <w:basedOn w:val="DefaultParagraphFont"/>
    <w:uiPriority w:val="99"/>
    <w:unhideWhenUsed/>
    <w:rsid w:val="00D76A65"/>
    <w:rPr>
      <w:color w:val="0000FF" w:themeColor="hyperlink"/>
      <w:u w:val="single"/>
    </w:rPr>
  </w:style>
  <w:style w:type="paragraph" w:styleId="ListParagraph">
    <w:name w:val="List Paragraph"/>
    <w:basedOn w:val="Normal"/>
    <w:uiPriority w:val="34"/>
    <w:qFormat/>
    <w:rsid w:val="00D76A65"/>
    <w:pPr>
      <w:ind w:left="720"/>
      <w:contextualSpacing/>
    </w:pPr>
  </w:style>
  <w:style w:type="character" w:styleId="FollowedHyperlink">
    <w:name w:val="FollowedHyperlink"/>
    <w:basedOn w:val="DefaultParagraphFont"/>
    <w:uiPriority w:val="99"/>
    <w:semiHidden/>
    <w:unhideWhenUsed/>
    <w:rsid w:val="001C6C80"/>
    <w:rPr>
      <w:color w:val="800080" w:themeColor="followedHyperlink"/>
      <w:u w:val="single"/>
    </w:rPr>
  </w:style>
  <w:style w:type="paragraph" w:styleId="EndnoteText">
    <w:name w:val="endnote text"/>
    <w:basedOn w:val="Normal"/>
    <w:link w:val="EndnoteTextChar"/>
    <w:uiPriority w:val="99"/>
    <w:semiHidden/>
    <w:unhideWhenUsed/>
    <w:rsid w:val="003C61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1AC"/>
    <w:rPr>
      <w:rFonts w:ascii="Calibri" w:eastAsia="Calibri" w:hAnsi="Calibri" w:cs="Arial"/>
      <w:sz w:val="20"/>
      <w:szCs w:val="20"/>
    </w:rPr>
  </w:style>
  <w:style w:type="character" w:styleId="EndnoteReference">
    <w:name w:val="endnote reference"/>
    <w:basedOn w:val="DefaultParagraphFont"/>
    <w:uiPriority w:val="99"/>
    <w:semiHidden/>
    <w:unhideWhenUsed/>
    <w:rsid w:val="003C61AC"/>
    <w:rPr>
      <w:vertAlign w:val="superscript"/>
    </w:rPr>
  </w:style>
  <w:style w:type="table" w:styleId="TableGrid">
    <w:name w:val="Table Grid"/>
    <w:basedOn w:val="TableNormal"/>
    <w:rsid w:val="00716D6C"/>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BD4"/>
    <w:rPr>
      <w:rFonts w:ascii="Calibri" w:eastAsia="Calibri" w:hAnsi="Calibri" w:cs="Arial"/>
    </w:rPr>
  </w:style>
  <w:style w:type="paragraph" w:styleId="Footer">
    <w:name w:val="footer"/>
    <w:basedOn w:val="Normal"/>
    <w:link w:val="FooterChar"/>
    <w:uiPriority w:val="99"/>
    <w:unhideWhenUsed/>
    <w:rsid w:val="000A1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BD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7859">
      <w:bodyDiv w:val="1"/>
      <w:marLeft w:val="0"/>
      <w:marRight w:val="0"/>
      <w:marTop w:val="0"/>
      <w:marBottom w:val="0"/>
      <w:divBdr>
        <w:top w:val="none" w:sz="0" w:space="0" w:color="auto"/>
        <w:left w:val="none" w:sz="0" w:space="0" w:color="auto"/>
        <w:bottom w:val="none" w:sz="0" w:space="0" w:color="auto"/>
        <w:right w:val="none" w:sz="0" w:space="0" w:color="auto"/>
      </w:divBdr>
    </w:div>
    <w:div w:id="853307460">
      <w:bodyDiv w:val="1"/>
      <w:marLeft w:val="0"/>
      <w:marRight w:val="0"/>
      <w:marTop w:val="120"/>
      <w:marBottom w:val="120"/>
      <w:divBdr>
        <w:top w:val="none" w:sz="0" w:space="0" w:color="auto"/>
        <w:left w:val="none" w:sz="0" w:space="0" w:color="auto"/>
        <w:bottom w:val="none" w:sz="0" w:space="0" w:color="auto"/>
        <w:right w:val="none" w:sz="0" w:space="0" w:color="auto"/>
      </w:divBdr>
      <w:divsChild>
        <w:div w:id="1714186025">
          <w:marLeft w:val="3696"/>
          <w:marRight w:val="150"/>
          <w:marTop w:val="0"/>
          <w:marBottom w:val="0"/>
          <w:divBdr>
            <w:top w:val="none" w:sz="0" w:space="0" w:color="auto"/>
            <w:left w:val="none" w:sz="0" w:space="0" w:color="auto"/>
            <w:bottom w:val="none" w:sz="0" w:space="0" w:color="auto"/>
            <w:right w:val="none" w:sz="0" w:space="0" w:color="auto"/>
          </w:divBdr>
        </w:div>
      </w:divsChild>
    </w:div>
    <w:div w:id="15329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2020/pdf/themes/31_labour_market_participation_of_women.pdf" TargetMode="External"/><Relationship Id="rId3" Type="http://schemas.openxmlformats.org/officeDocument/2006/relationships/settings" Target="settings.xml"/><Relationship Id="rId7" Type="http://schemas.openxmlformats.org/officeDocument/2006/relationships/hyperlink" Target="http://www.enterprise-Ireland.com/Contact/Overseas+Offices/Areas+of+Opportunity+in+Cyprus.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dcu</cp:lastModifiedBy>
  <cp:revision>2</cp:revision>
  <dcterms:created xsi:type="dcterms:W3CDTF">2015-11-09T13:02:00Z</dcterms:created>
  <dcterms:modified xsi:type="dcterms:W3CDTF">2015-11-09T13:02:00Z</dcterms:modified>
</cp:coreProperties>
</file>