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B7E" w:rsidRDefault="00FF7B7E" w:rsidP="00FF7B7E">
      <w:pPr>
        <w:pStyle w:val="Default"/>
      </w:pPr>
      <w:bookmarkStart w:id="0" w:name="_GoBack"/>
      <w:bookmarkEnd w:id="0"/>
    </w:p>
    <w:p w:rsidR="00FF7B7E" w:rsidRDefault="00FF7B7E" w:rsidP="00FF7B7E">
      <w:pPr>
        <w:pStyle w:val="Default"/>
        <w:rPr>
          <w:sz w:val="28"/>
          <w:szCs w:val="28"/>
        </w:rPr>
      </w:pPr>
      <w:r>
        <w:rPr>
          <w:b/>
          <w:bCs/>
          <w:sz w:val="28"/>
          <w:szCs w:val="28"/>
        </w:rPr>
        <w:t xml:space="preserve">WELFARE REGIME, WELFARE PILLAR AND SOUTHERN EUROPE </w:t>
      </w:r>
    </w:p>
    <w:p w:rsidR="00FF7B7E" w:rsidRDefault="00FF7B7E" w:rsidP="00FF7B7E">
      <w:pPr>
        <w:pStyle w:val="Default"/>
        <w:rPr>
          <w:b/>
          <w:bCs/>
          <w:sz w:val="28"/>
          <w:szCs w:val="28"/>
        </w:rPr>
      </w:pPr>
    </w:p>
    <w:p w:rsidR="00FF7B7E" w:rsidRDefault="00FF7B7E" w:rsidP="00FF7B7E">
      <w:pPr>
        <w:pStyle w:val="Default"/>
        <w:rPr>
          <w:b/>
          <w:bCs/>
          <w:sz w:val="28"/>
          <w:szCs w:val="28"/>
        </w:rPr>
      </w:pPr>
    </w:p>
    <w:p w:rsidR="00FF7B7E" w:rsidRDefault="00FF7B7E" w:rsidP="00FF7B7E">
      <w:pPr>
        <w:pStyle w:val="Default"/>
        <w:rPr>
          <w:sz w:val="28"/>
          <w:szCs w:val="28"/>
        </w:rPr>
      </w:pPr>
      <w:r>
        <w:rPr>
          <w:b/>
          <w:bCs/>
          <w:sz w:val="28"/>
          <w:szCs w:val="28"/>
        </w:rPr>
        <w:t xml:space="preserve">By </w:t>
      </w:r>
    </w:p>
    <w:p w:rsidR="00FF7B7E" w:rsidRDefault="00FF7B7E" w:rsidP="00FF7B7E">
      <w:pPr>
        <w:pStyle w:val="Default"/>
        <w:rPr>
          <w:b/>
          <w:bCs/>
          <w:sz w:val="28"/>
          <w:szCs w:val="28"/>
        </w:rPr>
      </w:pPr>
    </w:p>
    <w:p w:rsidR="00FF7B7E" w:rsidRDefault="00FF7B7E" w:rsidP="00FF7B7E">
      <w:pPr>
        <w:pStyle w:val="Default"/>
        <w:rPr>
          <w:b/>
          <w:bCs/>
          <w:sz w:val="28"/>
          <w:szCs w:val="28"/>
        </w:rPr>
      </w:pPr>
    </w:p>
    <w:p w:rsidR="00FF7B7E" w:rsidRDefault="00FF7B7E" w:rsidP="00FF7B7E">
      <w:pPr>
        <w:pStyle w:val="Default"/>
        <w:rPr>
          <w:sz w:val="28"/>
          <w:szCs w:val="28"/>
        </w:rPr>
      </w:pPr>
      <w:r>
        <w:rPr>
          <w:b/>
          <w:bCs/>
          <w:sz w:val="28"/>
          <w:szCs w:val="28"/>
        </w:rPr>
        <w:t xml:space="preserve">Christos Minas, Frederick University, Cyprus </w:t>
      </w:r>
    </w:p>
    <w:p w:rsidR="00FF7B7E" w:rsidRDefault="00FF7B7E" w:rsidP="00FF7B7E">
      <w:pPr>
        <w:pStyle w:val="Default"/>
        <w:rPr>
          <w:sz w:val="28"/>
          <w:szCs w:val="28"/>
        </w:rPr>
      </w:pPr>
      <w:r>
        <w:rPr>
          <w:b/>
          <w:bCs/>
          <w:sz w:val="28"/>
          <w:szCs w:val="28"/>
        </w:rPr>
        <w:t xml:space="preserve">David Jacobson, Dublin City University, Ireland </w:t>
      </w:r>
    </w:p>
    <w:p w:rsidR="00FF7B7E" w:rsidRDefault="00FF7B7E" w:rsidP="00FF7B7E">
      <w:pPr>
        <w:pStyle w:val="Default"/>
        <w:rPr>
          <w:sz w:val="28"/>
          <w:szCs w:val="28"/>
        </w:rPr>
      </w:pPr>
      <w:r>
        <w:rPr>
          <w:b/>
          <w:bCs/>
          <w:sz w:val="28"/>
          <w:szCs w:val="28"/>
        </w:rPr>
        <w:t xml:space="preserve">Efi Antoniou, Hellenic Bank, Cyprus </w:t>
      </w:r>
    </w:p>
    <w:p w:rsidR="00FF7B7E" w:rsidRDefault="00FF7B7E" w:rsidP="00FF7B7E">
      <w:pPr>
        <w:pStyle w:val="Default"/>
        <w:rPr>
          <w:sz w:val="28"/>
          <w:szCs w:val="28"/>
        </w:rPr>
      </w:pPr>
      <w:r>
        <w:rPr>
          <w:b/>
          <w:bCs/>
          <w:sz w:val="28"/>
          <w:szCs w:val="28"/>
        </w:rPr>
        <w:t xml:space="preserve">and </w:t>
      </w:r>
    </w:p>
    <w:p w:rsidR="00FF7B7E" w:rsidRDefault="00FF7B7E" w:rsidP="00FF7B7E">
      <w:pPr>
        <w:rPr>
          <w:b/>
          <w:bCs/>
          <w:sz w:val="28"/>
          <w:szCs w:val="28"/>
        </w:rPr>
      </w:pPr>
      <w:r>
        <w:rPr>
          <w:b/>
          <w:bCs/>
          <w:sz w:val="28"/>
          <w:szCs w:val="28"/>
        </w:rPr>
        <w:t xml:space="preserve">Caroline McMullan, Dublin City University, Ireland </w:t>
      </w:r>
    </w:p>
    <w:p w:rsidR="00FF7B7E" w:rsidRDefault="00B959E1" w:rsidP="00B959E1">
      <w:pPr>
        <w:rPr>
          <w:b/>
          <w:bCs/>
          <w:sz w:val="28"/>
          <w:szCs w:val="28"/>
        </w:rPr>
      </w:pPr>
      <w:r>
        <w:rPr>
          <w:b/>
          <w:bCs/>
          <w:sz w:val="28"/>
          <w:szCs w:val="28"/>
        </w:rPr>
        <w:t>Published</w:t>
      </w:r>
      <w:r w:rsidR="00FF7B7E">
        <w:rPr>
          <w:b/>
          <w:bCs/>
          <w:sz w:val="28"/>
          <w:szCs w:val="28"/>
        </w:rPr>
        <w:t xml:space="preserve"> in:</w:t>
      </w:r>
    </w:p>
    <w:p w:rsidR="00FF7B7E" w:rsidRDefault="00FF7B7E" w:rsidP="00FF7B7E">
      <w:pPr>
        <w:rPr>
          <w:rFonts w:ascii="Calibri" w:eastAsia="Calibri" w:hAnsi="Calibri" w:cs="Arial"/>
          <w:b/>
          <w:bCs/>
          <w:sz w:val="28"/>
          <w:szCs w:val="28"/>
        </w:rPr>
      </w:pPr>
      <w:r>
        <w:rPr>
          <w:b/>
          <w:bCs/>
          <w:i/>
          <w:iCs/>
          <w:sz w:val="28"/>
          <w:szCs w:val="28"/>
        </w:rPr>
        <w:t>Journal of European Social Policy</w:t>
      </w:r>
      <w:r>
        <w:rPr>
          <w:rFonts w:ascii="Calibri" w:eastAsia="Calibri" w:hAnsi="Calibri" w:cs="Arial"/>
          <w:b/>
          <w:bCs/>
          <w:sz w:val="28"/>
          <w:szCs w:val="28"/>
        </w:rPr>
        <w:br w:type="page"/>
      </w:r>
    </w:p>
    <w:p w:rsidR="007A42D8" w:rsidRPr="00B469BF" w:rsidRDefault="007A42D8" w:rsidP="007A42D8">
      <w:pPr>
        <w:spacing w:line="360" w:lineRule="auto"/>
        <w:jc w:val="both"/>
        <w:rPr>
          <w:rFonts w:ascii="Calibri" w:eastAsia="Calibri" w:hAnsi="Calibri" w:cs="Arial"/>
          <w:b/>
          <w:bCs/>
          <w:sz w:val="28"/>
          <w:szCs w:val="28"/>
        </w:rPr>
      </w:pPr>
      <w:r>
        <w:rPr>
          <w:rFonts w:ascii="Calibri" w:eastAsia="Calibri" w:hAnsi="Calibri" w:cs="Arial"/>
          <w:b/>
          <w:bCs/>
          <w:sz w:val="28"/>
          <w:szCs w:val="28"/>
        </w:rPr>
        <w:lastRenderedPageBreak/>
        <w:t>WELFARE REGIME, WELFARE PILLAR AND SOUTHERN EUROPE</w:t>
      </w:r>
    </w:p>
    <w:p w:rsidR="007A42D8" w:rsidRDefault="007A42D8" w:rsidP="007C60EE">
      <w:pPr>
        <w:spacing w:line="360" w:lineRule="auto"/>
        <w:jc w:val="both"/>
        <w:rPr>
          <w:rFonts w:ascii="Calibri" w:eastAsia="Calibri" w:hAnsi="Calibri" w:cs="Arial"/>
          <w:b/>
          <w:bCs/>
          <w:sz w:val="28"/>
          <w:szCs w:val="28"/>
        </w:rPr>
      </w:pPr>
    </w:p>
    <w:p w:rsidR="007C60EE" w:rsidRPr="007C60EE" w:rsidRDefault="007C60EE" w:rsidP="007C60EE">
      <w:pPr>
        <w:spacing w:line="360" w:lineRule="auto"/>
        <w:jc w:val="both"/>
        <w:rPr>
          <w:rFonts w:ascii="Calibri" w:eastAsia="Calibri" w:hAnsi="Calibri" w:cs="Arial"/>
          <w:b/>
          <w:bCs/>
          <w:sz w:val="28"/>
          <w:szCs w:val="28"/>
        </w:rPr>
      </w:pPr>
      <w:r w:rsidRPr="007C60EE">
        <w:rPr>
          <w:rFonts w:ascii="Calibri" w:eastAsia="Calibri" w:hAnsi="Calibri" w:cs="Arial"/>
          <w:b/>
          <w:bCs/>
          <w:sz w:val="28"/>
          <w:szCs w:val="28"/>
        </w:rPr>
        <w:t>Abstract</w:t>
      </w:r>
    </w:p>
    <w:p w:rsidR="007C60EE" w:rsidRPr="006B3D44" w:rsidRDefault="007C60EE" w:rsidP="00EB34ED">
      <w:pPr>
        <w:spacing w:line="360" w:lineRule="auto"/>
        <w:jc w:val="both"/>
        <w:rPr>
          <w:rFonts w:ascii="Calibri" w:eastAsia="Calibri" w:hAnsi="Calibri" w:cs="Arial"/>
        </w:rPr>
      </w:pPr>
      <w:r w:rsidRPr="006B3D44">
        <w:rPr>
          <w:rFonts w:ascii="Calibri" w:eastAsia="Calibri" w:hAnsi="Calibri" w:cs="Arial"/>
        </w:rPr>
        <w:t xml:space="preserve">This paper uses a variety of methods of statistical cluster analysis to examine how </w:t>
      </w:r>
      <w:r w:rsidR="00EB34ED" w:rsidRPr="006B3D44">
        <w:rPr>
          <w:rFonts w:ascii="Calibri" w:eastAsia="Calibri" w:hAnsi="Calibri" w:cs="Arial"/>
        </w:rPr>
        <w:t>EU countries</w:t>
      </w:r>
      <w:r w:rsidRPr="006B3D44">
        <w:rPr>
          <w:rFonts w:ascii="Calibri" w:eastAsia="Calibri" w:hAnsi="Calibri" w:cs="Arial"/>
        </w:rPr>
        <w:t xml:space="preserve"> </w:t>
      </w:r>
      <w:r w:rsidR="00EB34ED" w:rsidRPr="006B3D44">
        <w:rPr>
          <w:rFonts w:ascii="Calibri" w:eastAsia="Calibri" w:hAnsi="Calibri" w:cs="Arial"/>
        </w:rPr>
        <w:t>(other than the new East European members)</w:t>
      </w:r>
      <w:r w:rsidR="00490C38" w:rsidRPr="006B3D44">
        <w:rPr>
          <w:rFonts w:ascii="Calibri" w:eastAsia="Calibri" w:hAnsi="Calibri" w:cs="Arial"/>
        </w:rPr>
        <w:t xml:space="preserve"> </w:t>
      </w:r>
      <w:r w:rsidRPr="006B3D44">
        <w:rPr>
          <w:rFonts w:ascii="Calibri" w:eastAsia="Calibri" w:hAnsi="Calibri" w:cs="Arial"/>
        </w:rPr>
        <w:t>are grouped.  Using the four dimensions, family, market vs state, religion and clientelism, the results of the analysis are that Southern European/Mediterranean (SE/M) countries form a distinct cluster that, both in its existence and in its difference from the conservative cluster, contradicts the notion of “three worlds of welfare capitalism”.  Other results include that Ireland, though not geographically contiguous, falls into the SE/M grouping.</w:t>
      </w:r>
    </w:p>
    <w:p w:rsidR="006B3D44" w:rsidRPr="006B3D44" w:rsidRDefault="006B3D44" w:rsidP="006B3D44">
      <w:pPr>
        <w:rPr>
          <w:rFonts w:ascii="Calibri" w:eastAsia="Calibri" w:hAnsi="Calibri" w:cs="Arial"/>
          <w:b/>
          <w:bCs/>
        </w:rPr>
      </w:pPr>
      <w:r w:rsidRPr="006B3D44">
        <w:rPr>
          <w:rFonts w:ascii="Calibri" w:eastAsia="Calibri" w:hAnsi="Calibri" w:cs="Arial"/>
          <w:b/>
          <w:bCs/>
        </w:rPr>
        <w:t>Keywords</w:t>
      </w:r>
    </w:p>
    <w:p w:rsidR="006B3D44" w:rsidRPr="006B3D44" w:rsidRDefault="006B3D44" w:rsidP="006B3D44">
      <w:pPr>
        <w:rPr>
          <w:rFonts w:ascii="Calibri" w:eastAsia="Calibri" w:hAnsi="Calibri" w:cs="Arial"/>
          <w:b/>
          <w:bCs/>
        </w:rPr>
      </w:pPr>
      <w:r w:rsidRPr="006B3D44">
        <w:rPr>
          <w:rFonts w:ascii="Calibri" w:eastAsia="Calibri" w:hAnsi="Calibri" w:cs="Arial"/>
          <w:b/>
          <w:bCs/>
        </w:rPr>
        <w:t>Welfare regime; welfare pillar; Southern Europe; cluster analysis; Ireland</w:t>
      </w:r>
    </w:p>
    <w:p w:rsidR="007C60EE" w:rsidRDefault="007C60EE">
      <w:pPr>
        <w:rPr>
          <w:rFonts w:ascii="Calibri" w:eastAsia="Calibri" w:hAnsi="Calibri" w:cs="Arial"/>
          <w:b/>
          <w:bCs/>
        </w:rPr>
      </w:pPr>
      <w:r>
        <w:rPr>
          <w:rFonts w:ascii="Calibri" w:eastAsia="Calibri" w:hAnsi="Calibri" w:cs="Arial"/>
          <w:b/>
          <w:bCs/>
        </w:rPr>
        <w:br w:type="page"/>
      </w:r>
    </w:p>
    <w:p w:rsidR="007C60EE" w:rsidRPr="007C60EE" w:rsidRDefault="007C60EE" w:rsidP="007C60EE">
      <w:pPr>
        <w:spacing w:line="360" w:lineRule="auto"/>
        <w:jc w:val="both"/>
        <w:rPr>
          <w:rFonts w:ascii="Calibri" w:eastAsia="Calibri" w:hAnsi="Calibri" w:cs="Arial"/>
          <w:b/>
          <w:bCs/>
        </w:rPr>
      </w:pPr>
      <w:r w:rsidRPr="007C60EE">
        <w:rPr>
          <w:rFonts w:ascii="Calibri" w:eastAsia="Calibri" w:hAnsi="Calibri" w:cs="Arial"/>
          <w:b/>
          <w:bCs/>
        </w:rPr>
        <w:lastRenderedPageBreak/>
        <w:t>WELFARE REGIME, WELFARE PILLAR AND SOUTHERN EUROPE</w:t>
      </w:r>
    </w:p>
    <w:p w:rsidR="007C60EE" w:rsidRDefault="007C60EE" w:rsidP="00B469BF">
      <w:pPr>
        <w:spacing w:line="360" w:lineRule="auto"/>
        <w:jc w:val="both"/>
        <w:rPr>
          <w:rFonts w:ascii="Calibri" w:eastAsia="Calibri" w:hAnsi="Calibri" w:cs="Arial"/>
          <w:b/>
          <w:bCs/>
        </w:rPr>
      </w:pPr>
    </w:p>
    <w:p w:rsidR="00B469BF" w:rsidRPr="00B469BF" w:rsidRDefault="00B469BF" w:rsidP="00B469BF">
      <w:pPr>
        <w:spacing w:line="360" w:lineRule="auto"/>
        <w:jc w:val="both"/>
        <w:rPr>
          <w:rFonts w:ascii="Calibri" w:eastAsia="Calibri" w:hAnsi="Calibri" w:cs="Arial"/>
          <w:b/>
          <w:bCs/>
        </w:rPr>
      </w:pPr>
      <w:r w:rsidRPr="00B469BF">
        <w:rPr>
          <w:rFonts w:ascii="Calibri" w:eastAsia="Calibri" w:hAnsi="Calibri" w:cs="Arial"/>
          <w:b/>
          <w:bCs/>
        </w:rPr>
        <w:t>1 Introduction</w:t>
      </w:r>
    </w:p>
    <w:p w:rsidR="00B469BF" w:rsidRDefault="00A07C12" w:rsidP="00107848">
      <w:pPr>
        <w:spacing w:line="360" w:lineRule="auto"/>
        <w:jc w:val="both"/>
        <w:rPr>
          <w:rFonts w:ascii="Calibri" w:eastAsia="Calibri" w:hAnsi="Calibri" w:cs="Arial"/>
        </w:rPr>
      </w:pPr>
      <w:r>
        <w:rPr>
          <w:rFonts w:ascii="Calibri" w:eastAsia="Calibri" w:hAnsi="Calibri" w:cs="Arial"/>
        </w:rPr>
        <w:t xml:space="preserve">There has been an ongoing debate about Esping-Andersen’s (1990) classification of countries into welfare regimes ever since the publication of </w:t>
      </w:r>
      <w:r w:rsidR="00022299">
        <w:rPr>
          <w:rFonts w:ascii="Calibri" w:eastAsia="Calibri" w:hAnsi="Calibri" w:cs="Arial"/>
        </w:rPr>
        <w:t xml:space="preserve">his seminal book, </w:t>
      </w:r>
      <w:r>
        <w:rPr>
          <w:rFonts w:ascii="Calibri" w:eastAsia="Calibri" w:hAnsi="Calibri" w:cs="Arial"/>
          <w:i/>
          <w:iCs/>
        </w:rPr>
        <w:t>Three Worlds of Welfare Capitalism</w:t>
      </w:r>
      <w:r w:rsidR="008C6D8B">
        <w:rPr>
          <w:rFonts w:ascii="Calibri" w:eastAsia="Calibri" w:hAnsi="Calibri" w:cs="Arial"/>
        </w:rPr>
        <w:t xml:space="preserve"> (</w:t>
      </w:r>
      <w:r w:rsidR="00264C96" w:rsidRPr="00264C96">
        <w:rPr>
          <w:rFonts w:ascii="Calibri" w:eastAsia="Calibri" w:hAnsi="Calibri" w:cs="Arial"/>
          <w:i/>
          <w:iCs/>
        </w:rPr>
        <w:t>TWWC</w:t>
      </w:r>
      <w:r w:rsidR="008C6D8B">
        <w:rPr>
          <w:rFonts w:ascii="Calibri" w:eastAsia="Calibri" w:hAnsi="Calibri" w:cs="Arial"/>
        </w:rPr>
        <w:t>)</w:t>
      </w:r>
      <w:r>
        <w:rPr>
          <w:rFonts w:ascii="Calibri" w:eastAsia="Calibri" w:hAnsi="Calibri" w:cs="Arial"/>
        </w:rPr>
        <w:t xml:space="preserve">.  </w:t>
      </w:r>
      <w:r w:rsidR="00107848">
        <w:rPr>
          <w:rFonts w:ascii="Calibri" w:eastAsia="Calibri" w:hAnsi="Calibri" w:cs="Arial"/>
        </w:rPr>
        <w:t>One group of</w:t>
      </w:r>
      <w:r w:rsidR="00F23072">
        <w:rPr>
          <w:rFonts w:ascii="Calibri" w:eastAsia="Calibri" w:hAnsi="Calibri" w:cs="Arial"/>
        </w:rPr>
        <w:t xml:space="preserve"> contributors to this debate have disagreed with Esping-Andersen, arguing </w:t>
      </w:r>
      <w:r w:rsidR="00022299">
        <w:rPr>
          <w:rFonts w:ascii="Calibri" w:eastAsia="Calibri" w:hAnsi="Calibri" w:cs="Arial"/>
        </w:rPr>
        <w:t xml:space="preserve">both </w:t>
      </w:r>
      <w:r w:rsidR="00F23072">
        <w:rPr>
          <w:rFonts w:ascii="Calibri" w:eastAsia="Calibri" w:hAnsi="Calibri" w:cs="Arial"/>
        </w:rPr>
        <w:t xml:space="preserve">that the Southern European/Mediterranean </w:t>
      </w:r>
      <w:r w:rsidR="007B0543">
        <w:rPr>
          <w:rFonts w:ascii="Calibri" w:eastAsia="Calibri" w:hAnsi="Calibri" w:cs="Arial"/>
        </w:rPr>
        <w:t xml:space="preserve">(SE/M) </w:t>
      </w:r>
      <w:r w:rsidR="00F23072">
        <w:rPr>
          <w:rFonts w:ascii="Calibri" w:eastAsia="Calibri" w:hAnsi="Calibri" w:cs="Arial"/>
        </w:rPr>
        <w:t xml:space="preserve">countries are substantially different from those in the conservative welfare regime </w:t>
      </w:r>
      <w:r w:rsidR="00022299">
        <w:rPr>
          <w:rFonts w:ascii="Calibri" w:eastAsia="Calibri" w:hAnsi="Calibri" w:cs="Arial"/>
        </w:rPr>
        <w:t xml:space="preserve">and </w:t>
      </w:r>
      <w:r w:rsidR="00F23072">
        <w:rPr>
          <w:rFonts w:ascii="Calibri" w:eastAsia="Calibri" w:hAnsi="Calibri" w:cs="Arial"/>
        </w:rPr>
        <w:t>that they are similar to each other</w:t>
      </w:r>
      <w:r w:rsidR="00107848">
        <w:rPr>
          <w:rFonts w:ascii="Calibri" w:eastAsia="Calibri" w:hAnsi="Calibri" w:cs="Arial"/>
        </w:rPr>
        <w:t>, in other words that they</w:t>
      </w:r>
      <w:r w:rsidR="00022299">
        <w:rPr>
          <w:rFonts w:ascii="Calibri" w:eastAsia="Calibri" w:hAnsi="Calibri" w:cs="Arial"/>
        </w:rPr>
        <w:t xml:space="preserve"> </w:t>
      </w:r>
      <w:r w:rsidR="00F23072">
        <w:rPr>
          <w:rFonts w:ascii="Calibri" w:eastAsia="Calibri" w:hAnsi="Calibri" w:cs="Arial"/>
        </w:rPr>
        <w:t xml:space="preserve">constitute a </w:t>
      </w:r>
      <w:r w:rsidR="00107848">
        <w:rPr>
          <w:rFonts w:ascii="Calibri" w:eastAsia="Calibri" w:hAnsi="Calibri" w:cs="Arial"/>
        </w:rPr>
        <w:t xml:space="preserve">distinct, </w:t>
      </w:r>
      <w:r w:rsidR="00F23072">
        <w:rPr>
          <w:rFonts w:ascii="Calibri" w:eastAsia="Calibri" w:hAnsi="Calibri" w:cs="Arial"/>
        </w:rPr>
        <w:t>fourth welfare regime.</w:t>
      </w:r>
      <w:r w:rsidR="00D829B3">
        <w:rPr>
          <w:rFonts w:ascii="Calibri" w:eastAsia="Calibri" w:hAnsi="Calibri" w:cs="Arial"/>
        </w:rPr>
        <w:t xml:space="preserve"> </w:t>
      </w:r>
      <w:r w:rsidR="004859F9">
        <w:rPr>
          <w:rFonts w:ascii="Calibri" w:eastAsia="Calibri" w:hAnsi="Calibri" w:cs="Arial"/>
        </w:rPr>
        <w:t>T</w:t>
      </w:r>
      <w:r w:rsidR="00D829B3">
        <w:rPr>
          <w:rFonts w:ascii="Calibri" w:eastAsia="Calibri" w:hAnsi="Calibri" w:cs="Arial"/>
        </w:rPr>
        <w:t>his debate continues to attract the</w:t>
      </w:r>
      <w:r w:rsidR="004859F9">
        <w:rPr>
          <w:rFonts w:ascii="Calibri" w:eastAsia="Calibri" w:hAnsi="Calibri" w:cs="Arial"/>
        </w:rPr>
        <w:t xml:space="preserve"> attention of academics</w:t>
      </w:r>
      <w:r w:rsidR="00D829B3">
        <w:rPr>
          <w:rFonts w:ascii="Calibri" w:eastAsia="Calibri" w:hAnsi="Calibri" w:cs="Arial"/>
        </w:rPr>
        <w:t xml:space="preserve">.  </w:t>
      </w:r>
      <w:r w:rsidR="004859F9">
        <w:rPr>
          <w:rFonts w:ascii="Calibri" w:eastAsia="Calibri" w:hAnsi="Calibri" w:cs="Arial"/>
        </w:rPr>
        <w:t xml:space="preserve">Among </w:t>
      </w:r>
      <w:r w:rsidR="00352E55">
        <w:rPr>
          <w:rFonts w:ascii="Calibri" w:eastAsia="Calibri" w:hAnsi="Calibri" w:cs="Arial"/>
        </w:rPr>
        <w:t xml:space="preserve">many </w:t>
      </w:r>
      <w:r w:rsidR="004859F9">
        <w:rPr>
          <w:rFonts w:ascii="Calibri" w:eastAsia="Calibri" w:hAnsi="Calibri" w:cs="Arial"/>
        </w:rPr>
        <w:t xml:space="preserve">recent </w:t>
      </w:r>
      <w:r w:rsidR="008C6D8B">
        <w:rPr>
          <w:rFonts w:ascii="Calibri" w:eastAsia="Calibri" w:hAnsi="Calibri" w:cs="Arial"/>
        </w:rPr>
        <w:t>j</w:t>
      </w:r>
      <w:r w:rsidR="00D829B3">
        <w:rPr>
          <w:rFonts w:ascii="Calibri" w:eastAsia="Calibri" w:hAnsi="Calibri" w:cs="Arial"/>
        </w:rPr>
        <w:t xml:space="preserve">ournal articles </w:t>
      </w:r>
      <w:r w:rsidR="007B0543">
        <w:rPr>
          <w:rFonts w:ascii="Calibri" w:eastAsia="Calibri" w:hAnsi="Calibri" w:cs="Arial"/>
        </w:rPr>
        <w:t xml:space="preserve">addressing aspects of this question are </w:t>
      </w:r>
      <w:r w:rsidR="00D829B3">
        <w:rPr>
          <w:rFonts w:ascii="Calibri" w:eastAsia="Calibri" w:hAnsi="Calibri" w:cs="Arial"/>
        </w:rPr>
        <w:t xml:space="preserve">Gal </w:t>
      </w:r>
      <w:r w:rsidR="00352E55">
        <w:rPr>
          <w:rFonts w:ascii="Calibri" w:eastAsia="Calibri" w:hAnsi="Calibri" w:cs="Arial"/>
        </w:rPr>
        <w:t>(</w:t>
      </w:r>
      <w:r w:rsidR="00D829B3">
        <w:rPr>
          <w:rFonts w:ascii="Calibri" w:eastAsia="Calibri" w:hAnsi="Calibri" w:cs="Arial"/>
        </w:rPr>
        <w:t>2010</w:t>
      </w:r>
      <w:r w:rsidR="00352E55">
        <w:rPr>
          <w:rFonts w:ascii="Calibri" w:eastAsia="Calibri" w:hAnsi="Calibri" w:cs="Arial"/>
        </w:rPr>
        <w:t>),</w:t>
      </w:r>
      <w:r w:rsidR="00D829B3">
        <w:rPr>
          <w:rFonts w:ascii="Calibri" w:eastAsia="Calibri" w:hAnsi="Calibri" w:cs="Arial"/>
        </w:rPr>
        <w:t xml:space="preserve"> </w:t>
      </w:r>
      <w:r w:rsidR="00D829B3" w:rsidRPr="00D829B3">
        <w:rPr>
          <w:rFonts w:ascii="Calibri" w:eastAsia="Calibri" w:hAnsi="Calibri" w:cs="Arial"/>
          <w:lang w:val="en"/>
        </w:rPr>
        <w:t>Ferragina and Seeleib-Kaiser</w:t>
      </w:r>
      <w:r w:rsidR="00D829B3">
        <w:rPr>
          <w:rFonts w:ascii="Calibri" w:eastAsia="Calibri" w:hAnsi="Calibri" w:cs="Arial"/>
          <w:lang w:val="en"/>
        </w:rPr>
        <w:t xml:space="preserve"> </w:t>
      </w:r>
      <w:r w:rsidR="00352E55">
        <w:rPr>
          <w:rFonts w:ascii="Calibri" w:eastAsia="Calibri" w:hAnsi="Calibri" w:cs="Arial"/>
          <w:lang w:val="en"/>
        </w:rPr>
        <w:t>(</w:t>
      </w:r>
      <w:r w:rsidR="00D829B3">
        <w:rPr>
          <w:rFonts w:ascii="Calibri" w:eastAsia="Calibri" w:hAnsi="Calibri" w:cs="Arial"/>
          <w:lang w:val="en"/>
        </w:rPr>
        <w:t>2011</w:t>
      </w:r>
      <w:r w:rsidR="00352E55">
        <w:rPr>
          <w:rFonts w:ascii="Calibri" w:eastAsia="Calibri" w:hAnsi="Calibri" w:cs="Arial"/>
          <w:lang w:val="en"/>
        </w:rPr>
        <w:t xml:space="preserve">), </w:t>
      </w:r>
      <w:r w:rsidR="008C6D8B">
        <w:rPr>
          <w:rFonts w:ascii="Calibri" w:eastAsia="Calibri" w:hAnsi="Calibri" w:cs="Arial"/>
          <w:lang w:val="en"/>
        </w:rPr>
        <w:t xml:space="preserve">Powell and Barrientos (2011), </w:t>
      </w:r>
      <w:r w:rsidR="007B0543">
        <w:rPr>
          <w:rFonts w:ascii="Calibri" w:eastAsia="Calibri" w:hAnsi="Calibri" w:cs="Arial"/>
          <w:lang w:val="en"/>
        </w:rPr>
        <w:t xml:space="preserve">and </w:t>
      </w:r>
      <w:r w:rsidR="00352E55">
        <w:rPr>
          <w:rFonts w:ascii="Calibri" w:eastAsia="Calibri" w:hAnsi="Calibri" w:cs="Arial"/>
          <w:lang w:val="en"/>
        </w:rPr>
        <w:t>Minas et al.</w:t>
      </w:r>
      <w:r w:rsidR="00907158">
        <w:rPr>
          <w:rFonts w:ascii="Calibri" w:eastAsia="Calibri" w:hAnsi="Calibri" w:cs="Arial"/>
          <w:lang w:val="en"/>
        </w:rPr>
        <w:t xml:space="preserve"> </w:t>
      </w:r>
      <w:r w:rsidR="00352E55">
        <w:rPr>
          <w:rFonts w:ascii="Calibri" w:eastAsia="Calibri" w:hAnsi="Calibri" w:cs="Arial"/>
          <w:lang w:val="en"/>
        </w:rPr>
        <w:t>(</w:t>
      </w:r>
      <w:r w:rsidR="00907158">
        <w:rPr>
          <w:rFonts w:ascii="Calibri" w:eastAsia="Calibri" w:hAnsi="Calibri" w:cs="Arial"/>
          <w:lang w:val="en"/>
        </w:rPr>
        <w:t>2013a; 2013b</w:t>
      </w:r>
      <w:r w:rsidR="00352E55">
        <w:rPr>
          <w:rFonts w:ascii="Calibri" w:eastAsia="Calibri" w:hAnsi="Calibri" w:cs="Arial"/>
          <w:lang w:val="en"/>
        </w:rPr>
        <w:t>)</w:t>
      </w:r>
      <w:r w:rsidR="007B0543">
        <w:rPr>
          <w:rFonts w:ascii="Calibri" w:eastAsia="Calibri" w:hAnsi="Calibri" w:cs="Arial"/>
          <w:lang w:val="en"/>
        </w:rPr>
        <w:t xml:space="preserve">. </w:t>
      </w:r>
    </w:p>
    <w:p w:rsidR="005C7134" w:rsidRDefault="003C3161" w:rsidP="00107848">
      <w:pPr>
        <w:spacing w:line="360" w:lineRule="auto"/>
        <w:jc w:val="both"/>
        <w:rPr>
          <w:rFonts w:ascii="Calibri" w:eastAsia="Calibri" w:hAnsi="Calibri" w:cs="Arial"/>
        </w:rPr>
      </w:pPr>
      <w:r>
        <w:rPr>
          <w:rFonts w:ascii="Calibri" w:eastAsia="Calibri" w:hAnsi="Calibri" w:cs="Arial"/>
        </w:rPr>
        <w:t xml:space="preserve">The current paper </w:t>
      </w:r>
      <w:r w:rsidR="007B0543">
        <w:rPr>
          <w:rFonts w:ascii="Calibri" w:eastAsia="Calibri" w:hAnsi="Calibri" w:cs="Arial"/>
        </w:rPr>
        <w:t xml:space="preserve">also </w:t>
      </w:r>
      <w:r>
        <w:rPr>
          <w:rFonts w:ascii="Calibri" w:eastAsia="Calibri" w:hAnsi="Calibri" w:cs="Arial"/>
        </w:rPr>
        <w:t>addresses</w:t>
      </w:r>
      <w:r w:rsidR="00D57C06">
        <w:rPr>
          <w:rFonts w:ascii="Calibri" w:eastAsia="Calibri" w:hAnsi="Calibri" w:cs="Arial"/>
        </w:rPr>
        <w:t xml:space="preserve"> </w:t>
      </w:r>
      <w:r w:rsidR="007B0543">
        <w:rPr>
          <w:rFonts w:ascii="Calibri" w:eastAsia="Calibri" w:hAnsi="Calibri" w:cs="Arial"/>
        </w:rPr>
        <w:t>the</w:t>
      </w:r>
      <w:r w:rsidR="00F23072">
        <w:rPr>
          <w:rFonts w:ascii="Calibri" w:eastAsia="Calibri" w:hAnsi="Calibri" w:cs="Arial"/>
        </w:rPr>
        <w:t xml:space="preserve"> issue</w:t>
      </w:r>
      <w:r w:rsidR="00D57C06">
        <w:rPr>
          <w:rFonts w:ascii="Calibri" w:eastAsia="Calibri" w:hAnsi="Calibri" w:cs="Arial"/>
        </w:rPr>
        <w:t xml:space="preserve">.  </w:t>
      </w:r>
      <w:r w:rsidR="00F23072">
        <w:rPr>
          <w:rFonts w:ascii="Calibri" w:eastAsia="Calibri" w:hAnsi="Calibri" w:cs="Arial"/>
        </w:rPr>
        <w:t>U</w:t>
      </w:r>
      <w:r w:rsidR="00D57C06">
        <w:rPr>
          <w:rFonts w:ascii="Calibri" w:eastAsia="Calibri" w:hAnsi="Calibri" w:cs="Arial"/>
        </w:rPr>
        <w:t xml:space="preserve">sing </w:t>
      </w:r>
      <w:r w:rsidR="000F5A6F">
        <w:rPr>
          <w:rFonts w:ascii="Calibri" w:eastAsia="Calibri" w:hAnsi="Calibri" w:cs="Arial"/>
        </w:rPr>
        <w:t>statistical</w:t>
      </w:r>
      <w:r w:rsidR="00D57C06">
        <w:rPr>
          <w:rFonts w:ascii="Calibri" w:eastAsia="Calibri" w:hAnsi="Calibri" w:cs="Arial"/>
        </w:rPr>
        <w:t xml:space="preserve"> </w:t>
      </w:r>
      <w:r w:rsidR="004953BC">
        <w:rPr>
          <w:rFonts w:ascii="Calibri" w:eastAsia="Calibri" w:hAnsi="Calibri" w:cs="Arial"/>
          <w:lang w:val="en-GB"/>
        </w:rPr>
        <w:t xml:space="preserve">cluster </w:t>
      </w:r>
      <w:r w:rsidR="00DE6AA9">
        <w:rPr>
          <w:rFonts w:ascii="Calibri" w:eastAsia="Calibri" w:hAnsi="Calibri" w:cs="Arial"/>
          <w:lang w:val="en-GB"/>
        </w:rPr>
        <w:t>analysis</w:t>
      </w:r>
      <w:r>
        <w:rPr>
          <w:rFonts w:ascii="Calibri" w:eastAsia="Calibri" w:hAnsi="Calibri" w:cs="Arial"/>
        </w:rPr>
        <w:t xml:space="preserve">, </w:t>
      </w:r>
      <w:r w:rsidR="00107848">
        <w:rPr>
          <w:rFonts w:ascii="Calibri" w:eastAsia="Calibri" w:hAnsi="Calibri" w:cs="Arial"/>
        </w:rPr>
        <w:t>on</w:t>
      </w:r>
      <w:r w:rsidR="00D57C06">
        <w:rPr>
          <w:rFonts w:ascii="Calibri" w:eastAsia="Calibri" w:hAnsi="Calibri" w:cs="Arial"/>
        </w:rPr>
        <w:t xml:space="preserve"> a range of measures of national attitudes, structures and performance, the paper examines </w:t>
      </w:r>
      <w:r>
        <w:rPr>
          <w:rFonts w:ascii="Calibri" w:eastAsia="Calibri" w:hAnsi="Calibri" w:cs="Arial"/>
        </w:rPr>
        <w:t xml:space="preserve">the </w:t>
      </w:r>
      <w:r w:rsidR="007B0543">
        <w:rPr>
          <w:rFonts w:ascii="Calibri" w:eastAsia="Calibri" w:hAnsi="Calibri" w:cs="Arial"/>
        </w:rPr>
        <w:t xml:space="preserve">question whether </w:t>
      </w:r>
      <w:r>
        <w:rPr>
          <w:rFonts w:ascii="Calibri" w:eastAsia="Calibri" w:hAnsi="Calibri" w:cs="Arial"/>
        </w:rPr>
        <w:t xml:space="preserve">the conservative welfare regime should include the </w:t>
      </w:r>
      <w:r w:rsidR="007B0543">
        <w:rPr>
          <w:rFonts w:ascii="Calibri" w:eastAsia="Calibri" w:hAnsi="Calibri" w:cs="Arial"/>
        </w:rPr>
        <w:t xml:space="preserve">SE/M </w:t>
      </w:r>
      <w:r>
        <w:rPr>
          <w:rFonts w:ascii="Calibri" w:eastAsia="Calibri" w:hAnsi="Calibri" w:cs="Arial"/>
        </w:rPr>
        <w:t>countries</w:t>
      </w:r>
      <w:r w:rsidR="007B0543">
        <w:rPr>
          <w:rFonts w:ascii="Calibri" w:eastAsia="Calibri" w:hAnsi="Calibri" w:cs="Arial"/>
        </w:rPr>
        <w:t>.</w:t>
      </w:r>
      <w:r>
        <w:rPr>
          <w:rFonts w:ascii="Calibri" w:eastAsia="Calibri" w:hAnsi="Calibri" w:cs="Arial"/>
        </w:rPr>
        <w:t xml:space="preserve"> </w:t>
      </w:r>
      <w:r w:rsidR="00D57C06">
        <w:rPr>
          <w:rFonts w:ascii="Calibri" w:eastAsia="Calibri" w:hAnsi="Calibri" w:cs="Arial"/>
        </w:rPr>
        <w:t>The question, in other words, is whether there are two welfare regimes, a conservative one, and a</w:t>
      </w:r>
      <w:r w:rsidR="007B0543">
        <w:rPr>
          <w:rFonts w:ascii="Calibri" w:eastAsia="Calibri" w:hAnsi="Calibri" w:cs="Arial"/>
        </w:rPr>
        <w:t>n</w:t>
      </w:r>
      <w:r w:rsidR="00D57C06">
        <w:rPr>
          <w:rFonts w:ascii="Calibri" w:eastAsia="Calibri" w:hAnsi="Calibri" w:cs="Arial"/>
        </w:rPr>
        <w:t xml:space="preserve"> </w:t>
      </w:r>
      <w:r w:rsidR="007B0543">
        <w:rPr>
          <w:rFonts w:ascii="Calibri" w:eastAsia="Calibri" w:hAnsi="Calibri" w:cs="Arial"/>
        </w:rPr>
        <w:t>SE/M</w:t>
      </w:r>
      <w:r w:rsidR="005C7134">
        <w:rPr>
          <w:rFonts w:ascii="Calibri" w:eastAsia="Calibri" w:hAnsi="Calibri" w:cs="Arial"/>
        </w:rPr>
        <w:t xml:space="preserve"> </w:t>
      </w:r>
      <w:r w:rsidR="00E557A8">
        <w:rPr>
          <w:rFonts w:ascii="Calibri" w:eastAsia="Calibri" w:hAnsi="Calibri" w:cs="Arial"/>
        </w:rPr>
        <w:t>one</w:t>
      </w:r>
      <w:r w:rsidR="005615A0">
        <w:rPr>
          <w:rFonts w:ascii="Calibri" w:eastAsia="Calibri" w:hAnsi="Calibri" w:cs="Arial"/>
        </w:rPr>
        <w:t>.</w:t>
      </w:r>
      <w:r w:rsidR="00D57C06">
        <w:rPr>
          <w:rFonts w:ascii="Calibri" w:eastAsia="Calibri" w:hAnsi="Calibri" w:cs="Arial"/>
        </w:rPr>
        <w:t xml:space="preserve"> </w:t>
      </w:r>
      <w:r w:rsidR="00F23072">
        <w:rPr>
          <w:rFonts w:ascii="Calibri" w:eastAsia="Calibri" w:hAnsi="Calibri" w:cs="Arial"/>
        </w:rPr>
        <w:t>A</w:t>
      </w:r>
      <w:r w:rsidR="00D57C06">
        <w:rPr>
          <w:rFonts w:ascii="Calibri" w:eastAsia="Calibri" w:hAnsi="Calibri" w:cs="Arial"/>
        </w:rPr>
        <w:t xml:space="preserve"> second </w:t>
      </w:r>
      <w:r w:rsidR="00F23072">
        <w:rPr>
          <w:rFonts w:ascii="Calibri" w:eastAsia="Calibri" w:hAnsi="Calibri" w:cs="Arial"/>
        </w:rPr>
        <w:t>question follows from this.</w:t>
      </w:r>
      <w:r w:rsidR="00D57C06">
        <w:rPr>
          <w:rFonts w:ascii="Calibri" w:eastAsia="Calibri" w:hAnsi="Calibri" w:cs="Arial"/>
        </w:rPr>
        <w:t xml:space="preserve">  If the </w:t>
      </w:r>
      <w:r w:rsidR="005C7134">
        <w:rPr>
          <w:rFonts w:ascii="Calibri" w:eastAsia="Calibri" w:hAnsi="Calibri" w:cs="Arial"/>
        </w:rPr>
        <w:t xml:space="preserve">analysis of the data supports the case for a </w:t>
      </w:r>
      <w:r w:rsidR="006B3877">
        <w:rPr>
          <w:rFonts w:ascii="Calibri" w:eastAsia="Calibri" w:hAnsi="Calibri" w:cs="Arial"/>
        </w:rPr>
        <w:t>differentiation between the SE/M and the conse</w:t>
      </w:r>
      <w:r w:rsidR="00F23072">
        <w:rPr>
          <w:rFonts w:ascii="Calibri" w:eastAsia="Calibri" w:hAnsi="Calibri" w:cs="Arial"/>
        </w:rPr>
        <w:t>rvative regimes</w:t>
      </w:r>
      <w:r w:rsidR="005C7134">
        <w:rPr>
          <w:rFonts w:ascii="Calibri" w:eastAsia="Calibri" w:hAnsi="Calibri" w:cs="Arial"/>
        </w:rPr>
        <w:t>, the question then becomes which of the two regimes best fits Esping-Andersen’s definition</w:t>
      </w:r>
      <w:r w:rsidR="0060187B">
        <w:rPr>
          <w:rFonts w:ascii="Calibri" w:eastAsia="Calibri" w:hAnsi="Calibri" w:cs="Arial"/>
        </w:rPr>
        <w:t>s</w:t>
      </w:r>
      <w:r w:rsidR="005C7134">
        <w:rPr>
          <w:rFonts w:ascii="Calibri" w:eastAsia="Calibri" w:hAnsi="Calibri" w:cs="Arial"/>
        </w:rPr>
        <w:t>.</w:t>
      </w:r>
      <w:r w:rsidR="00282E10">
        <w:rPr>
          <w:rFonts w:ascii="Calibri" w:eastAsia="Calibri" w:hAnsi="Calibri" w:cs="Arial"/>
        </w:rPr>
        <w:t xml:space="preserve"> </w:t>
      </w:r>
      <w:r w:rsidR="00394A67">
        <w:rPr>
          <w:rFonts w:ascii="Calibri" w:eastAsia="Calibri" w:hAnsi="Calibri" w:cs="Arial"/>
        </w:rPr>
        <w:t xml:space="preserve">A third question is whether the SE/M and conservative clusters are more similar to one another than either is to the social democratic cluster, as would be expected from Esping-Andersen’s (1990) grouping together of Southern European countries with the conservative countries. </w:t>
      </w:r>
    </w:p>
    <w:p w:rsidR="005C7134" w:rsidRDefault="000631F3" w:rsidP="005615A0">
      <w:pPr>
        <w:spacing w:line="360" w:lineRule="auto"/>
        <w:jc w:val="both"/>
        <w:rPr>
          <w:rFonts w:ascii="Calibri" w:eastAsia="Calibri" w:hAnsi="Calibri" w:cs="Arial"/>
        </w:rPr>
      </w:pPr>
      <w:r>
        <w:rPr>
          <w:rFonts w:ascii="Calibri" w:eastAsia="Calibri" w:hAnsi="Calibri" w:cs="Arial"/>
        </w:rPr>
        <w:t xml:space="preserve">The paper </w:t>
      </w:r>
      <w:r w:rsidR="005615A0">
        <w:rPr>
          <w:rFonts w:ascii="Calibri" w:eastAsia="Calibri" w:hAnsi="Calibri" w:cs="Arial"/>
        </w:rPr>
        <w:t>is</w:t>
      </w:r>
      <w:r>
        <w:rPr>
          <w:rFonts w:ascii="Calibri" w:eastAsia="Calibri" w:hAnsi="Calibri" w:cs="Arial"/>
        </w:rPr>
        <w:t xml:space="preserve"> structured with a literature review following this introduction</w:t>
      </w:r>
      <w:r w:rsidR="000F5A6F">
        <w:rPr>
          <w:rFonts w:ascii="Calibri" w:eastAsia="Calibri" w:hAnsi="Calibri" w:cs="Arial"/>
        </w:rPr>
        <w:t xml:space="preserve">.  The next section is on the methodology, with descriptions of the data and </w:t>
      </w:r>
      <w:r w:rsidR="005615A0">
        <w:rPr>
          <w:rFonts w:ascii="Calibri" w:eastAsia="Calibri" w:hAnsi="Calibri" w:cs="Arial"/>
        </w:rPr>
        <w:t xml:space="preserve">of </w:t>
      </w:r>
      <w:r w:rsidR="000F5A6F">
        <w:rPr>
          <w:rFonts w:ascii="Calibri" w:eastAsia="Calibri" w:hAnsi="Calibri" w:cs="Arial"/>
        </w:rPr>
        <w:t>the methods used to analyse the data.  A section on results follows and the final two sections are devoted to discussion and conclusion respectively.</w:t>
      </w:r>
      <w:r>
        <w:rPr>
          <w:rFonts w:ascii="Calibri" w:eastAsia="Calibri" w:hAnsi="Calibri" w:cs="Arial"/>
        </w:rPr>
        <w:t xml:space="preserve"> </w:t>
      </w:r>
    </w:p>
    <w:p w:rsidR="00D57C06" w:rsidRPr="005C7134" w:rsidRDefault="005C7134" w:rsidP="005C7134">
      <w:pPr>
        <w:spacing w:line="360" w:lineRule="auto"/>
        <w:jc w:val="both"/>
        <w:rPr>
          <w:rFonts w:ascii="Calibri" w:eastAsia="Calibri" w:hAnsi="Calibri" w:cs="Arial"/>
          <w:b/>
          <w:bCs/>
        </w:rPr>
      </w:pPr>
      <w:r w:rsidRPr="005C7134">
        <w:rPr>
          <w:rFonts w:ascii="Calibri" w:eastAsia="Calibri" w:hAnsi="Calibri" w:cs="Arial"/>
          <w:b/>
          <w:bCs/>
        </w:rPr>
        <w:t xml:space="preserve">2 </w:t>
      </w:r>
      <w:r>
        <w:rPr>
          <w:rFonts w:ascii="Calibri" w:eastAsia="Calibri" w:hAnsi="Calibri" w:cs="Arial"/>
          <w:b/>
          <w:bCs/>
        </w:rPr>
        <w:t>L</w:t>
      </w:r>
      <w:r w:rsidRPr="005C7134">
        <w:rPr>
          <w:rFonts w:ascii="Calibri" w:eastAsia="Calibri" w:hAnsi="Calibri" w:cs="Arial"/>
          <w:b/>
          <w:bCs/>
        </w:rPr>
        <w:t xml:space="preserve">iterature </w:t>
      </w:r>
      <w:r>
        <w:rPr>
          <w:rFonts w:ascii="Calibri" w:eastAsia="Calibri" w:hAnsi="Calibri" w:cs="Arial"/>
          <w:b/>
          <w:bCs/>
        </w:rPr>
        <w:t>R</w:t>
      </w:r>
      <w:r w:rsidRPr="005C7134">
        <w:rPr>
          <w:rFonts w:ascii="Calibri" w:eastAsia="Calibri" w:hAnsi="Calibri" w:cs="Arial"/>
          <w:b/>
          <w:bCs/>
        </w:rPr>
        <w:t xml:space="preserve">eview </w:t>
      </w:r>
    </w:p>
    <w:p w:rsidR="00D479F1" w:rsidRDefault="00021EEC" w:rsidP="00107848">
      <w:pPr>
        <w:spacing w:line="360" w:lineRule="auto"/>
        <w:jc w:val="both"/>
        <w:rPr>
          <w:lang w:val="en-GB"/>
        </w:rPr>
      </w:pPr>
      <w:r w:rsidRPr="00492BD5">
        <w:t xml:space="preserve">Esping-Andersen’s (1990) </w:t>
      </w:r>
      <w:r w:rsidR="00264C96" w:rsidRPr="00264C96">
        <w:rPr>
          <w:i/>
          <w:iCs/>
        </w:rPr>
        <w:t>TWWC</w:t>
      </w:r>
      <w:r w:rsidRPr="00492BD5">
        <w:rPr>
          <w:i/>
          <w:iCs/>
        </w:rPr>
        <w:t xml:space="preserve"> </w:t>
      </w:r>
      <w:r w:rsidRPr="00492BD5">
        <w:t xml:space="preserve">is seminal in the comparative welfare state literature. </w:t>
      </w:r>
      <w:r w:rsidR="000F5A6F">
        <w:t xml:space="preserve"> </w:t>
      </w:r>
      <w:r w:rsidR="00107848">
        <w:t>It</w:t>
      </w:r>
      <w:r w:rsidR="000F5A6F">
        <w:t xml:space="preserve"> </w:t>
      </w:r>
      <w:r w:rsidR="000C7532" w:rsidRPr="00362247">
        <w:t>provides a justification for clustering welfare</w:t>
      </w:r>
      <w:r w:rsidR="00280F84">
        <w:t xml:space="preserve"> states into regime types where “regime”</w:t>
      </w:r>
      <w:r w:rsidR="000C7532" w:rsidRPr="00362247">
        <w:t xml:space="preserve"> </w:t>
      </w:r>
      <w:r w:rsidR="00107848">
        <w:t>is</w:t>
      </w:r>
      <w:r w:rsidR="000C7532" w:rsidRPr="00362247">
        <w:t xml:space="preserve"> the “systematically interwoven… complex of legal and organizational features” in the “relation between state and economy” (p.2)</w:t>
      </w:r>
      <w:r w:rsidR="000C7532">
        <w:t>.  The justification is that</w:t>
      </w:r>
      <w:r w:rsidR="000C7532" w:rsidRPr="00362247">
        <w:t xml:space="preserve"> </w:t>
      </w:r>
      <w:r w:rsidR="000C7532">
        <w:t xml:space="preserve">the </w:t>
      </w:r>
      <w:r w:rsidR="000C7532" w:rsidRPr="00362247">
        <w:t>“welfare state variations we find are… not linearly distributed, but clustered by regime-types” (p.26).</w:t>
      </w:r>
      <w:r w:rsidR="000C7532">
        <w:t xml:space="preserve"> The result is a categorisation of countries </w:t>
      </w:r>
      <w:r w:rsidR="000F5A6F" w:rsidRPr="000F5A6F">
        <w:rPr>
          <w:lang w:val="en-GB"/>
        </w:rPr>
        <w:t xml:space="preserve">into three types of welfare state, or three welfare regimes, </w:t>
      </w:r>
      <w:r w:rsidR="000F5A6F">
        <w:rPr>
          <w:lang w:val="en-GB"/>
        </w:rPr>
        <w:t>l</w:t>
      </w:r>
      <w:r w:rsidR="000F5A6F" w:rsidRPr="000F5A6F">
        <w:rPr>
          <w:lang w:val="en-GB"/>
        </w:rPr>
        <w:t xml:space="preserve">iberal, </w:t>
      </w:r>
      <w:r w:rsidR="000F5A6F">
        <w:rPr>
          <w:lang w:val="en-GB"/>
        </w:rPr>
        <w:t>s</w:t>
      </w:r>
      <w:r w:rsidR="000F5A6F" w:rsidRPr="000F5A6F">
        <w:rPr>
          <w:lang w:val="en-GB"/>
        </w:rPr>
        <w:t xml:space="preserve">ocial </w:t>
      </w:r>
      <w:r w:rsidR="000F5A6F">
        <w:rPr>
          <w:lang w:val="en-GB"/>
        </w:rPr>
        <w:t>d</w:t>
      </w:r>
      <w:r w:rsidR="000F5A6F" w:rsidRPr="000F5A6F">
        <w:rPr>
          <w:lang w:val="en-GB"/>
        </w:rPr>
        <w:t xml:space="preserve">emocratic, and </w:t>
      </w:r>
      <w:r w:rsidR="000F5A6F">
        <w:rPr>
          <w:lang w:val="en-GB"/>
        </w:rPr>
        <w:t>c</w:t>
      </w:r>
      <w:r w:rsidR="000F5A6F" w:rsidRPr="000F5A6F">
        <w:rPr>
          <w:lang w:val="en-GB"/>
        </w:rPr>
        <w:t>onservative.</w:t>
      </w:r>
      <w:r w:rsidR="000F5A6F">
        <w:rPr>
          <w:lang w:val="en-GB"/>
        </w:rPr>
        <w:t xml:space="preserve"> </w:t>
      </w:r>
    </w:p>
    <w:p w:rsidR="00021EEC" w:rsidRDefault="00021EEC" w:rsidP="000C7532">
      <w:pPr>
        <w:spacing w:line="360" w:lineRule="auto"/>
        <w:jc w:val="both"/>
      </w:pPr>
      <w:r w:rsidRPr="006D483B">
        <w:lastRenderedPageBreak/>
        <w:t xml:space="preserve">The three pillars through which </w:t>
      </w:r>
      <w:r w:rsidR="000C7532">
        <w:t xml:space="preserve">welfare </w:t>
      </w:r>
      <w:r w:rsidRPr="006D483B">
        <w:t>services are provided are the state, the market and the family.  Although all three are mentioned by Esping-Andersen (1990), only the state and the market are subject to analysis in the book.  The welfare regimes are thus defined primarily in terms of the relative importance of, and relationships between, state and market</w:t>
      </w:r>
      <w:r w:rsidR="000441ED">
        <w:t>, as reflected mainly in people’s ability to survive without working, or de-commodification</w:t>
      </w:r>
      <w:r w:rsidRPr="006D483B">
        <w:t xml:space="preserve"> (Esping-Andersen, 1990). </w:t>
      </w:r>
      <w:r w:rsidR="000441ED">
        <w:t>The greatest level of de-commodification is in the social democratic, the least in the liberal welfare regime.  The conservative is somewhere in between.</w:t>
      </w:r>
    </w:p>
    <w:p w:rsidR="00021EEC" w:rsidRPr="00492BD5" w:rsidRDefault="00021EEC" w:rsidP="00F95DA4">
      <w:pPr>
        <w:spacing w:line="360" w:lineRule="auto"/>
        <w:jc w:val="both"/>
      </w:pPr>
      <w:r w:rsidRPr="00492BD5">
        <w:t xml:space="preserve">Should Southern Europe be included in </w:t>
      </w:r>
      <w:r>
        <w:t>the</w:t>
      </w:r>
      <w:r w:rsidRPr="00492BD5">
        <w:t xml:space="preserve"> third, conservative welfare regime? Differences between Esping-Andersen and others have generated a great number of papers. </w:t>
      </w:r>
      <w:r>
        <w:t>His focus on family in his later work is to some extent a response to this literature</w:t>
      </w:r>
      <w:r w:rsidR="000C7532">
        <w:t xml:space="preserve">, though </w:t>
      </w:r>
      <w:r w:rsidR="00C02271">
        <w:t xml:space="preserve">as will be shown </w:t>
      </w:r>
      <w:r w:rsidR="000C7532">
        <w:t>he continues to argue that the SE/M countries are of the conservative welfare regime type</w:t>
      </w:r>
      <w:r>
        <w:t>.</w:t>
      </w:r>
      <w:r w:rsidR="001C4ED7">
        <w:t xml:space="preserve"> </w:t>
      </w:r>
    </w:p>
    <w:p w:rsidR="00021EEC" w:rsidRPr="00492BD5" w:rsidRDefault="005017DD" w:rsidP="00BA6E13">
      <w:pPr>
        <w:spacing w:line="360" w:lineRule="auto"/>
        <w:jc w:val="both"/>
      </w:pPr>
      <w:r>
        <w:t xml:space="preserve">Many writers, from a variety of perspectives, </w:t>
      </w:r>
      <w:r w:rsidR="00F95DA4">
        <w:t xml:space="preserve">have </w:t>
      </w:r>
      <w:r>
        <w:t xml:space="preserve">argued that </w:t>
      </w:r>
      <w:r w:rsidR="00B80EC4">
        <w:t xml:space="preserve">an </w:t>
      </w:r>
      <w:r>
        <w:t>additional regime or regimes should be added to Esping-Andersen’s three. Barlow and Duncan (1994), Ferrera (1996)</w:t>
      </w:r>
      <w:r w:rsidR="00BA6E13">
        <w:t xml:space="preserve">, Castles and Ferrera (1996) and </w:t>
      </w:r>
      <w:r>
        <w:t>Bonoli (1997)</w:t>
      </w:r>
      <w:r w:rsidR="00BA6E13">
        <w:t>,</w:t>
      </w:r>
      <w:r w:rsidR="009D3FDB">
        <w:t xml:space="preserve"> among many others, all provided evidence, using various methodologies, to show that the SE/M should be an additional welfare regime.  </w:t>
      </w:r>
      <w:r w:rsidR="00B80EC4">
        <w:t>A key factor in this is the importance of the family pillar in welfare provision in the SE/M countries.</w:t>
      </w:r>
    </w:p>
    <w:p w:rsidR="00021EEC" w:rsidRPr="00F66AB1" w:rsidRDefault="00D737E4" w:rsidP="00B80EC4">
      <w:pPr>
        <w:spacing w:line="360" w:lineRule="auto"/>
        <w:jc w:val="both"/>
      </w:pPr>
      <w:r>
        <w:t xml:space="preserve">In response to the focus on family among his critics, </w:t>
      </w:r>
      <w:r w:rsidR="00021EEC" w:rsidRPr="00F66AB1">
        <w:t xml:space="preserve">Esping-Andersen seems to </w:t>
      </w:r>
      <w:r>
        <w:t>revise</w:t>
      </w:r>
      <w:r w:rsidR="00021EEC" w:rsidRPr="00F66AB1">
        <w:t xml:space="preserve"> his analytical framework in various ways.  In a 1995 working paper, for example, he begins to pay more attention to the family and “familialism”</w:t>
      </w:r>
      <w:r w:rsidR="00D536E6">
        <w:t>.</w:t>
      </w:r>
      <w:r w:rsidR="00021EEC" w:rsidRPr="00F66AB1">
        <w:t xml:space="preserve">  </w:t>
      </w:r>
      <w:r w:rsidR="00B80EC4">
        <w:t>And in this paper he does distinguish between Germany “</w:t>
      </w:r>
      <w:r w:rsidR="00021EEC" w:rsidRPr="00F66AB1">
        <w:t>(as the leading and most comprehensive exponent of the social insurance approach), and Italy (as an example of a less complete and unusually ‘familialistic’ welfare state)” (Esping-Andersen, 1995, p.1).  The paper thus expresses the tension between, on the one hand, including Southern European countries within the conservative welfare regime type and, on the other, differentiating them from that type.</w:t>
      </w:r>
    </w:p>
    <w:p w:rsidR="00021EEC" w:rsidRPr="00F66AB1" w:rsidRDefault="00021EEC" w:rsidP="00021EEC">
      <w:pPr>
        <w:spacing w:line="360" w:lineRule="auto"/>
        <w:jc w:val="both"/>
      </w:pPr>
      <w:r w:rsidRPr="00F66AB1">
        <w:t>Esping-Andersen (1997) further expresses this tension when he includes himself among those who have questioned, on the basis of religion and familialism, the appropriateness of considering Southern Europe as an additional regime type.  In the context of a discussion about various arguments as to why Southern Europe might be considered to be a welfare regime type in addition to his original three, he writes: “others (including myself) point to the Catholic imprint and familialism” (1997, p.180).</w:t>
      </w:r>
    </w:p>
    <w:p w:rsidR="00021EEC" w:rsidRPr="00F66AB1" w:rsidRDefault="00021EEC" w:rsidP="00C563A4">
      <w:pPr>
        <w:spacing w:line="360" w:lineRule="auto"/>
        <w:jc w:val="both"/>
      </w:pPr>
      <w:r w:rsidRPr="00F66AB1">
        <w:t xml:space="preserve">By the end of the decade, Esping-Andersen’s (1999) analytical framework has undergone significant change. Wincott (2001) shows that, in </w:t>
      </w:r>
      <w:r w:rsidRPr="00F66AB1">
        <w:rPr>
          <w:i/>
          <w:iCs/>
        </w:rPr>
        <w:t>Social Foundations</w:t>
      </w:r>
      <w:r w:rsidR="00C563A4">
        <w:rPr>
          <w:i/>
          <w:iCs/>
        </w:rPr>
        <w:t xml:space="preserve"> of Postindustrial Capitalism </w:t>
      </w:r>
      <w:r w:rsidR="00C563A4" w:rsidRPr="00C563A4">
        <w:t>(</w:t>
      </w:r>
      <w:r w:rsidR="00264C96" w:rsidRPr="00264C96">
        <w:rPr>
          <w:i/>
          <w:iCs/>
        </w:rPr>
        <w:t>SFPC</w:t>
      </w:r>
      <w:r w:rsidR="00C563A4">
        <w:t>)</w:t>
      </w:r>
      <w:r w:rsidRPr="00F66AB1">
        <w:t xml:space="preserve">, Esping-Andersen admits to errors in his earlier approach.  In </w:t>
      </w:r>
      <w:r w:rsidR="00264C96" w:rsidRPr="00264C96">
        <w:rPr>
          <w:i/>
          <w:iCs/>
        </w:rPr>
        <w:t>SFPC</w:t>
      </w:r>
      <w:r w:rsidRPr="00F66AB1">
        <w:t xml:space="preserve">, for example, Esping-Andersen acknowledges that “his approach [in </w:t>
      </w:r>
      <w:r w:rsidR="00264C96" w:rsidRPr="00264C96">
        <w:rPr>
          <w:i/>
          <w:iCs/>
        </w:rPr>
        <w:t>TWWC</w:t>
      </w:r>
      <w:r w:rsidRPr="00F66AB1">
        <w:t xml:space="preserve">] was too narrowly focused on income maintenance… </w:t>
      </w:r>
      <w:r w:rsidRPr="00F66AB1">
        <w:lastRenderedPageBreak/>
        <w:t xml:space="preserve">and… that he concentrated too much on a state-market duality and failed to take account of households and families” (Wincott, 2001, p.411).    </w:t>
      </w:r>
    </w:p>
    <w:p w:rsidR="00021EEC" w:rsidRPr="00F66AB1" w:rsidRDefault="00021EEC" w:rsidP="00C563A4">
      <w:pPr>
        <w:spacing w:line="360" w:lineRule="auto"/>
        <w:jc w:val="both"/>
      </w:pPr>
      <w:r w:rsidRPr="00F66AB1">
        <w:t xml:space="preserve">This change in approach is reflected in a different focus in the identification of the three types of welfare regime.  In the introduction to </w:t>
      </w:r>
      <w:r w:rsidR="00264C96" w:rsidRPr="00264C96">
        <w:rPr>
          <w:i/>
          <w:iCs/>
        </w:rPr>
        <w:t>SFPC</w:t>
      </w:r>
      <w:r w:rsidRPr="00F66AB1">
        <w:t xml:space="preserve">, in the context of a discussion about the crisis of the welfare state, Esping-Andersen (1999) states that the composite parts that together form the contemporary welfare regime are: </w:t>
      </w:r>
    </w:p>
    <w:p w:rsidR="00021EEC" w:rsidRPr="00F66AB1" w:rsidRDefault="00021EEC" w:rsidP="00021EEC">
      <w:pPr>
        <w:spacing w:line="360" w:lineRule="auto"/>
        <w:ind w:left="567" w:right="567"/>
        <w:jc w:val="both"/>
      </w:pPr>
      <w:r w:rsidRPr="00F66AB1">
        <w:t xml:space="preserve">labour markets, the family, and, as a third partner, the welfare </w:t>
      </w:r>
      <w:r w:rsidRPr="00F66AB1">
        <w:rPr>
          <w:i/>
          <w:iCs/>
        </w:rPr>
        <w:t>state</w:t>
      </w:r>
      <w:r w:rsidRPr="00F66AB1">
        <w:t>. We should not forget that the sum-total of societal welfare derives from how inputs from these three institutions are combined. Some regimes, in particular the liberal, Anglo-Saxon, are market-biased; others, especially the Southern European or the Japanese, are powerfully familialistic. And still others put the accent on state delivery of welfare (pp.4-5).</w:t>
      </w:r>
    </w:p>
    <w:p w:rsidR="00021EEC" w:rsidRPr="00F66AB1" w:rsidRDefault="00021EEC" w:rsidP="00021EEC">
      <w:pPr>
        <w:spacing w:line="360" w:lineRule="auto"/>
        <w:jc w:val="both"/>
      </w:pPr>
      <w:r w:rsidRPr="00F66AB1">
        <w:t xml:space="preserve">In an interview with Esping-Andersen, published in 2000, this apparent change in focus in relation to the determination of regime-types is confirmed.  Asking about types of welfare regime, the interviewer suggests that Esping-Andersen seems to “stick to the three-fold model… first proposed in </w:t>
      </w:r>
      <w:r w:rsidRPr="00F66AB1">
        <w:rPr>
          <w:i/>
          <w:iCs/>
        </w:rPr>
        <w:t>Three Worlds</w:t>
      </w:r>
      <w:r w:rsidRPr="00F66AB1">
        <w:t xml:space="preserve">.” In a cross between a question and a statement, he adds: “In the Scandinavian model the state takes the lead, in the Liberal model it is the market and in the Continental one it is familialism which is crucial?”  Esping-Andersen’s response is in the affirmative: “That is why I find it hard to imagine four or more </w:t>
      </w:r>
      <w:r w:rsidRPr="00F66AB1">
        <w:rPr>
          <w:i/>
          <w:iCs/>
        </w:rPr>
        <w:t>distinct</w:t>
      </w:r>
      <w:r w:rsidRPr="00F66AB1">
        <w:t xml:space="preserve"> models because principally there are only three institutions relevant to and capable of welfare production.  Some add the third sector [the voluntary and community sector] but no society can function with this as the dominant welfare producer” (Esping-Andersen, 2000, p.762).   </w:t>
      </w:r>
    </w:p>
    <w:p w:rsidR="008F2856" w:rsidRDefault="00021EEC" w:rsidP="00C563A4">
      <w:pPr>
        <w:spacing w:line="360" w:lineRule="auto"/>
        <w:jc w:val="both"/>
      </w:pPr>
      <w:r w:rsidRPr="00F66AB1">
        <w:t xml:space="preserve">The change in focus is from labour de-commodification through state provision of welfare, in the social insurance/pension area, as a key factor in welfare regime typing, to dominant welfare </w:t>
      </w:r>
      <w:r w:rsidRPr="003C2CA4">
        <w:t>pillar</w:t>
      </w:r>
      <w:r w:rsidRPr="00F66AB1">
        <w:t xml:space="preserve"> as the key factor in welfare regime typing.  </w:t>
      </w:r>
      <w:r w:rsidR="00233F42">
        <w:t xml:space="preserve">This change will be used below in an argument about the nature of the three main welfare regimes.  It should be noted, however, that Powell and Barrientos (2011, p.74) disagree with this, arguing that </w:t>
      </w:r>
      <w:r w:rsidR="008F2856">
        <w:t>“</w:t>
      </w:r>
      <w:r w:rsidR="00233F42" w:rsidRPr="00233F42">
        <w:t>the development of the analysis and the changes to the formulation</w:t>
      </w:r>
      <w:r w:rsidR="00233F42">
        <w:t xml:space="preserve"> </w:t>
      </w:r>
      <w:r w:rsidR="00233F42" w:rsidRPr="00233F42">
        <w:t xml:space="preserve">of the welfare regime framework </w:t>
      </w:r>
      <w:r w:rsidR="00233F42">
        <w:t xml:space="preserve">[in </w:t>
      </w:r>
      <w:r w:rsidR="00264C96" w:rsidRPr="00264C96">
        <w:rPr>
          <w:i/>
          <w:iCs/>
        </w:rPr>
        <w:t>SFPC</w:t>
      </w:r>
      <w:r w:rsidR="00233F42">
        <w:t xml:space="preserve">] </w:t>
      </w:r>
      <w:r w:rsidR="00233F42" w:rsidRPr="00233F42">
        <w:t>do not have implications for the</w:t>
      </w:r>
      <w:r w:rsidR="00233F42">
        <w:t xml:space="preserve"> </w:t>
      </w:r>
      <w:r w:rsidR="00233F42" w:rsidRPr="00233F42">
        <w:t>clustering observed in the earlier book.</w:t>
      </w:r>
      <w:r w:rsidR="00233F42">
        <w:t xml:space="preserve">” </w:t>
      </w:r>
    </w:p>
    <w:p w:rsidR="00021EEC" w:rsidRPr="00F66AB1" w:rsidRDefault="008F2856" w:rsidP="00C563A4">
      <w:pPr>
        <w:spacing w:line="360" w:lineRule="auto"/>
        <w:jc w:val="both"/>
      </w:pPr>
      <w:r>
        <w:t>D</w:t>
      </w:r>
      <w:r w:rsidR="00021EEC" w:rsidRPr="00F66AB1">
        <w:t xml:space="preserve">e-commodification </w:t>
      </w:r>
      <w:r>
        <w:t>remains</w:t>
      </w:r>
      <w:r w:rsidR="00021EEC" w:rsidRPr="00F66AB1">
        <w:t xml:space="preserve"> important for Esping-Andersen (1999) in </w:t>
      </w:r>
      <w:r w:rsidR="00264C96" w:rsidRPr="00264C96">
        <w:rPr>
          <w:i/>
          <w:iCs/>
        </w:rPr>
        <w:t>SFPC</w:t>
      </w:r>
      <w:r>
        <w:t>,</w:t>
      </w:r>
      <w:r w:rsidR="00021EEC" w:rsidRPr="00F66AB1">
        <w:t xml:space="preserve"> but now applied in the context of family – and particularly women – in relation to the labour market.  It is related to “de-familialisation”, which refers to the entry of women into the labour market.  In a sense, de-commodification is possible for women </w:t>
      </w:r>
      <w:r w:rsidR="00AA1C16">
        <w:t xml:space="preserve">only after de-familialisation; </w:t>
      </w:r>
      <w:r w:rsidR="00021EEC" w:rsidRPr="00F66AB1">
        <w:t xml:space="preserve">female labour has to be commodified before it can be de-commodified.  </w:t>
      </w:r>
    </w:p>
    <w:p w:rsidR="00A977D4" w:rsidRPr="005D5B4A" w:rsidRDefault="00A977D4" w:rsidP="00F95DA4">
      <w:pPr>
        <w:spacing w:line="360" w:lineRule="auto"/>
        <w:jc w:val="both"/>
        <w:rPr>
          <w:rFonts w:ascii="Calibri" w:eastAsia="Calibri" w:hAnsi="Calibri" w:cs="Arial"/>
        </w:rPr>
      </w:pPr>
      <w:r w:rsidRPr="005D5B4A">
        <w:rPr>
          <w:rFonts w:ascii="Calibri" w:eastAsia="Calibri" w:hAnsi="Calibri" w:cs="Arial"/>
        </w:rPr>
        <w:lastRenderedPageBreak/>
        <w:t xml:space="preserve">Despite the ambiguities arising from the new importance of familialism in his work in the 1990s, in more recent papers he continues to </w:t>
      </w:r>
      <w:r w:rsidR="008F2856">
        <w:rPr>
          <w:rFonts w:ascii="Calibri" w:eastAsia="Calibri" w:hAnsi="Calibri" w:cs="Arial"/>
        </w:rPr>
        <w:t>posit the same trichotomy of worlds,</w:t>
      </w:r>
      <w:r w:rsidRPr="005D5B4A">
        <w:rPr>
          <w:rFonts w:ascii="Calibri" w:eastAsia="Calibri" w:hAnsi="Calibri" w:cs="Arial"/>
        </w:rPr>
        <w:t xml:space="preserve"> the social democratic</w:t>
      </w:r>
      <w:r w:rsidR="00F95DA4">
        <w:rPr>
          <w:rFonts w:ascii="Calibri" w:eastAsia="Calibri" w:hAnsi="Calibri" w:cs="Arial"/>
        </w:rPr>
        <w:t xml:space="preserve"> (Scandinavian)</w:t>
      </w:r>
      <w:r w:rsidRPr="005D5B4A">
        <w:rPr>
          <w:rFonts w:ascii="Calibri" w:eastAsia="Calibri" w:hAnsi="Calibri" w:cs="Arial"/>
        </w:rPr>
        <w:t>, the liberal welfare</w:t>
      </w:r>
      <w:r w:rsidR="00F95DA4">
        <w:rPr>
          <w:rFonts w:ascii="Calibri" w:eastAsia="Calibri" w:hAnsi="Calibri" w:cs="Arial"/>
        </w:rPr>
        <w:t xml:space="preserve"> (American)</w:t>
      </w:r>
      <w:r w:rsidRPr="005D5B4A">
        <w:rPr>
          <w:rFonts w:ascii="Calibri" w:eastAsia="Calibri" w:hAnsi="Calibri" w:cs="Arial"/>
        </w:rPr>
        <w:t>, and the conservative, corporatist</w:t>
      </w:r>
      <w:r w:rsidR="00F95DA4">
        <w:rPr>
          <w:rFonts w:ascii="Calibri" w:eastAsia="Calibri" w:hAnsi="Calibri" w:cs="Arial"/>
        </w:rPr>
        <w:t xml:space="preserve"> (Continental European</w:t>
      </w:r>
      <w:r w:rsidRPr="005D5B4A">
        <w:rPr>
          <w:rFonts w:ascii="Calibri" w:eastAsia="Calibri" w:hAnsi="Calibri" w:cs="Arial"/>
        </w:rPr>
        <w:t xml:space="preserve">) (e.g. Esping-Andersen, 2003). </w:t>
      </w:r>
      <w:r w:rsidR="00BA6E13">
        <w:rPr>
          <w:rFonts w:ascii="Calibri" w:eastAsia="Calibri" w:hAnsi="Calibri" w:cs="Arial"/>
        </w:rPr>
        <w:t>Accepting the importance of family, yet insisting on the original three worlds, has generated further criticism for Esping-Andersen.</w:t>
      </w:r>
    </w:p>
    <w:p w:rsidR="00A977D4" w:rsidRPr="003E229C" w:rsidRDefault="00A977D4" w:rsidP="004227C7">
      <w:pPr>
        <w:spacing w:line="360" w:lineRule="auto"/>
        <w:jc w:val="both"/>
        <w:rPr>
          <w:rFonts w:ascii="Calibri" w:eastAsia="Calibri" w:hAnsi="Calibri" w:cs="Arial"/>
        </w:rPr>
      </w:pPr>
      <w:r>
        <w:rPr>
          <w:rFonts w:ascii="Calibri" w:eastAsia="Calibri" w:hAnsi="Calibri" w:cs="Arial"/>
        </w:rPr>
        <w:t xml:space="preserve">One </w:t>
      </w:r>
      <w:r w:rsidRPr="003E229C">
        <w:rPr>
          <w:rFonts w:ascii="Calibri" w:eastAsia="Calibri" w:hAnsi="Calibri" w:cs="Arial"/>
        </w:rPr>
        <w:t xml:space="preserve">analyst who </w:t>
      </w:r>
      <w:r>
        <w:rPr>
          <w:rFonts w:ascii="Calibri" w:eastAsia="Calibri" w:hAnsi="Calibri" w:cs="Arial"/>
        </w:rPr>
        <w:t>has been important in arguing</w:t>
      </w:r>
      <w:r w:rsidRPr="003E229C">
        <w:rPr>
          <w:rFonts w:ascii="Calibri" w:eastAsia="Calibri" w:hAnsi="Calibri" w:cs="Arial"/>
        </w:rPr>
        <w:t xml:space="preserve"> that the SE/M constitutes an additional welfare regime is Allen (2006).  </w:t>
      </w:r>
      <w:r>
        <w:rPr>
          <w:rFonts w:ascii="Calibri" w:eastAsia="Calibri" w:hAnsi="Calibri" w:cs="Arial"/>
        </w:rPr>
        <w:t xml:space="preserve">She focuses mainly on what she calls the </w:t>
      </w:r>
      <w:r w:rsidRPr="003E229C">
        <w:rPr>
          <w:rFonts w:ascii="Calibri" w:eastAsia="Calibri" w:hAnsi="Calibri" w:cs="Arial"/>
        </w:rPr>
        <w:t xml:space="preserve">“missing family” (2006, p.257) in Esping-Andersen (1990).  She shows that the type of clientelism and patronage discussed by Ferrara (1996) as characteristic of the SE/M is closely related to the extended family.   The clientelist system, she writes, “allows extended families to derive revenue through access to the state and means that family-based support networks offer an alternative to widening the range and scope of the welfare state” (Allen, 2006, p.267). She also associates this relationship between the extended family and the clientelist system with patriarchy: “patronage reinforces patriarchal power relations within families because access is mediated through the male heads of extended families” (Allen, 2006, p.268). </w:t>
      </w:r>
    </w:p>
    <w:p w:rsidR="00A977D4" w:rsidRPr="003E229C" w:rsidRDefault="00A977D4" w:rsidP="00BA6E13">
      <w:pPr>
        <w:spacing w:line="360" w:lineRule="auto"/>
        <w:jc w:val="both"/>
        <w:rPr>
          <w:rFonts w:ascii="Calibri" w:eastAsia="Calibri" w:hAnsi="Calibri" w:cs="Arial"/>
        </w:rPr>
      </w:pPr>
      <w:r w:rsidRPr="003E229C">
        <w:rPr>
          <w:rFonts w:ascii="Calibri" w:eastAsia="Calibri" w:hAnsi="Calibri" w:cs="Arial"/>
        </w:rPr>
        <w:t xml:space="preserve">Allen’s (2006) approach is in some ways similar to Esping-Andersen (1999) in </w:t>
      </w:r>
      <w:r w:rsidR="00264C96" w:rsidRPr="00264C96">
        <w:rPr>
          <w:rFonts w:ascii="Calibri" w:eastAsia="Calibri" w:hAnsi="Calibri" w:cs="Arial"/>
          <w:i/>
          <w:iCs/>
        </w:rPr>
        <w:t>SFPC</w:t>
      </w:r>
      <w:r w:rsidR="00BA6E13">
        <w:rPr>
          <w:rFonts w:ascii="Calibri" w:eastAsia="Calibri" w:hAnsi="Calibri" w:cs="Arial"/>
        </w:rPr>
        <w:t xml:space="preserve">.  There (in </w:t>
      </w:r>
      <w:r w:rsidR="00BA6E13">
        <w:rPr>
          <w:rFonts w:ascii="Calibri" w:eastAsia="Calibri" w:hAnsi="Calibri" w:cs="Arial"/>
          <w:i/>
          <w:iCs/>
        </w:rPr>
        <w:t>SFPC</w:t>
      </w:r>
      <w:r w:rsidR="00BA6E13" w:rsidRPr="00BA6E13">
        <w:rPr>
          <w:rFonts w:ascii="Calibri" w:eastAsia="Calibri" w:hAnsi="Calibri" w:cs="Arial"/>
        </w:rPr>
        <w:t>)</w:t>
      </w:r>
      <w:r w:rsidR="00BA6E13">
        <w:rPr>
          <w:rFonts w:ascii="Calibri" w:eastAsia="Calibri" w:hAnsi="Calibri" w:cs="Arial"/>
          <w:i/>
          <w:iCs/>
        </w:rPr>
        <w:t xml:space="preserve"> </w:t>
      </w:r>
      <w:r w:rsidRPr="003E229C">
        <w:rPr>
          <w:rFonts w:ascii="Calibri" w:eastAsia="Calibri" w:hAnsi="Calibri" w:cs="Arial"/>
        </w:rPr>
        <w:t>he also emphasises male dominance and sees familialism as a reflection of a less developed social system.  The difference between Allen (2006) and Esping-Andersen (1999) is that where he continues to focus on the family within the household, she focuses on the extended family.  As she puts it, the data (from Eurostat) used to compare countries in Europe “conceptualize families as a subset of households, in contrast to the more common view in southern Europe, which sees households as component parts of a wider, extended family” (Allen, 2006, p.255).</w:t>
      </w:r>
      <w:r>
        <w:rPr>
          <w:rFonts w:ascii="Calibri" w:eastAsia="Calibri" w:hAnsi="Calibri" w:cs="Arial"/>
        </w:rPr>
        <w:t xml:space="preserve"> </w:t>
      </w:r>
    </w:p>
    <w:p w:rsidR="00A977D4" w:rsidRPr="00466C5F" w:rsidRDefault="00AD73B0" w:rsidP="00854CEB">
      <w:pPr>
        <w:spacing w:line="360" w:lineRule="auto"/>
        <w:jc w:val="both"/>
        <w:rPr>
          <w:rFonts w:ascii="Calibri" w:eastAsia="Calibri" w:hAnsi="Calibri" w:cs="Arial"/>
        </w:rPr>
      </w:pPr>
      <w:r>
        <w:rPr>
          <w:rFonts w:ascii="Calibri" w:eastAsia="Calibri" w:hAnsi="Calibri" w:cs="Arial"/>
        </w:rPr>
        <w:t xml:space="preserve">Among others who see the SE/M countries as different from the conservative welfare regime, </w:t>
      </w:r>
      <w:r w:rsidR="00A977D4" w:rsidRPr="00466C5F">
        <w:rPr>
          <w:rFonts w:ascii="Calibri" w:eastAsia="Calibri" w:hAnsi="Calibri" w:cs="Arial"/>
        </w:rPr>
        <w:t xml:space="preserve">Kääriäinen and Lehtonen (2006) use data from the ISSP (International Social Survey Programme) to compare and cluster countries on the basis of a series of social behaviours like having meals together, providing help in time of need, visiting friends and relatives, etc. They </w:t>
      </w:r>
      <w:r w:rsidR="00854CEB">
        <w:rPr>
          <w:rFonts w:ascii="Calibri" w:eastAsia="Calibri" w:hAnsi="Calibri" w:cs="Arial"/>
        </w:rPr>
        <w:t xml:space="preserve">use mean scores and confidence intervals in a number of indicators of social capital, and </w:t>
      </w:r>
      <w:r w:rsidR="00A977D4" w:rsidRPr="00466C5F">
        <w:rPr>
          <w:rFonts w:ascii="Calibri" w:eastAsia="Calibri" w:hAnsi="Calibri" w:cs="Arial"/>
        </w:rPr>
        <w:t>find that the SE/M countries</w:t>
      </w:r>
      <w:r>
        <w:rPr>
          <w:rFonts w:ascii="Calibri" w:eastAsia="Calibri" w:hAnsi="Calibri" w:cs="Arial"/>
        </w:rPr>
        <w:t xml:space="preserve"> </w:t>
      </w:r>
      <w:r w:rsidR="00A977D4" w:rsidRPr="00466C5F">
        <w:rPr>
          <w:rFonts w:ascii="Calibri" w:eastAsia="Calibri" w:hAnsi="Calibri" w:cs="Arial"/>
        </w:rPr>
        <w:t xml:space="preserve">emerge as </w:t>
      </w:r>
      <w:r w:rsidR="00854CEB">
        <w:rPr>
          <w:rFonts w:ascii="Calibri" w:eastAsia="Calibri" w:hAnsi="Calibri" w:cs="Arial"/>
        </w:rPr>
        <w:t>different</w:t>
      </w:r>
      <w:r w:rsidR="00A977D4" w:rsidRPr="00466C5F">
        <w:rPr>
          <w:rFonts w:ascii="Calibri" w:eastAsia="Calibri" w:hAnsi="Calibri" w:cs="Arial"/>
        </w:rPr>
        <w:t xml:space="preserve">, with high scores for all family-related activities.  In this, family refers to </w:t>
      </w:r>
      <w:r w:rsidR="00854CEB">
        <w:rPr>
          <w:rFonts w:ascii="Calibri" w:eastAsia="Calibri" w:hAnsi="Calibri" w:cs="Arial"/>
        </w:rPr>
        <w:t xml:space="preserve">extended family, in the sense of a </w:t>
      </w:r>
      <w:r w:rsidR="00A977D4" w:rsidRPr="00466C5F">
        <w:rPr>
          <w:rFonts w:ascii="Calibri" w:eastAsia="Calibri" w:hAnsi="Calibri" w:cs="Arial"/>
        </w:rPr>
        <w:t>variety of relatives in different households.</w:t>
      </w:r>
    </w:p>
    <w:p w:rsidR="00A977D4" w:rsidRPr="00466C5F" w:rsidRDefault="00A977D4" w:rsidP="00F95DA4">
      <w:pPr>
        <w:spacing w:line="360" w:lineRule="auto"/>
        <w:jc w:val="both"/>
        <w:rPr>
          <w:rFonts w:ascii="Calibri" w:eastAsia="Calibri" w:hAnsi="Calibri" w:cs="Arial"/>
        </w:rPr>
      </w:pPr>
      <w:r w:rsidRPr="00466C5F">
        <w:rPr>
          <w:rFonts w:ascii="Calibri" w:eastAsia="Calibri" w:hAnsi="Calibri" w:cs="Arial"/>
        </w:rPr>
        <w:t xml:space="preserve">Böhnke (2008) uses data from the European Quality of Life Survey (EQLS) </w:t>
      </w:r>
      <w:r w:rsidR="0032308B">
        <w:rPr>
          <w:rFonts w:ascii="Calibri" w:eastAsia="Calibri" w:hAnsi="Calibri" w:cs="Arial"/>
        </w:rPr>
        <w:t xml:space="preserve">in a variety of regression models </w:t>
      </w:r>
      <w:r w:rsidRPr="00466C5F">
        <w:rPr>
          <w:rFonts w:ascii="Calibri" w:eastAsia="Calibri" w:hAnsi="Calibri" w:cs="Arial"/>
        </w:rPr>
        <w:t xml:space="preserve">to </w:t>
      </w:r>
      <w:r w:rsidR="00F95DA4">
        <w:rPr>
          <w:rFonts w:ascii="Calibri" w:eastAsia="Calibri" w:hAnsi="Calibri" w:cs="Arial"/>
        </w:rPr>
        <w:t>explore</w:t>
      </w:r>
      <w:r w:rsidRPr="00466C5F">
        <w:rPr>
          <w:rFonts w:ascii="Calibri" w:eastAsia="Calibri" w:hAnsi="Calibri" w:cs="Arial"/>
        </w:rPr>
        <w:t xml:space="preserve"> whether the social integration of the poor is significantly different in different clusters of European countries.  The SE/M emerges as distinct from the others, and in particular from the other Continental countries, because of the much greater importance of </w:t>
      </w:r>
      <w:r w:rsidR="00854CEB">
        <w:rPr>
          <w:rFonts w:ascii="Calibri" w:eastAsia="Calibri" w:hAnsi="Calibri" w:cs="Arial"/>
        </w:rPr>
        <w:t xml:space="preserve">extended </w:t>
      </w:r>
      <w:r w:rsidRPr="00466C5F">
        <w:rPr>
          <w:rFonts w:ascii="Calibri" w:eastAsia="Calibri" w:hAnsi="Calibri" w:cs="Arial"/>
        </w:rPr>
        <w:t>family</w:t>
      </w:r>
      <w:r w:rsidR="00F95DA4">
        <w:rPr>
          <w:rFonts w:ascii="Calibri" w:eastAsia="Calibri" w:hAnsi="Calibri" w:cs="Arial"/>
        </w:rPr>
        <w:t>.</w:t>
      </w:r>
      <w:r w:rsidRPr="00466C5F">
        <w:rPr>
          <w:rFonts w:ascii="Calibri" w:eastAsia="Calibri" w:hAnsi="Calibri" w:cs="Arial"/>
        </w:rPr>
        <w:t xml:space="preserve"> She concludes that: “The Mediterranean European countries represent a cluster, which also includes Malta and Cyprus.  The regimes in this region are characterised by the extreme importance they </w:t>
      </w:r>
      <w:r w:rsidRPr="00466C5F">
        <w:rPr>
          <w:rFonts w:ascii="Calibri" w:eastAsia="Calibri" w:hAnsi="Calibri" w:cs="Arial"/>
        </w:rPr>
        <w:lastRenderedPageBreak/>
        <w:t>attribute to family cohesion and intergenerational solidarity, and by an only rudimentary provision of social benefits [by the state]” (Böhnke, 2008, p.136).</w:t>
      </w:r>
    </w:p>
    <w:p w:rsidR="00A977D4" w:rsidRDefault="00A977D4" w:rsidP="00466C5F">
      <w:pPr>
        <w:spacing w:line="360" w:lineRule="auto"/>
        <w:jc w:val="both"/>
        <w:rPr>
          <w:rFonts w:ascii="Calibri" w:eastAsia="Calibri" w:hAnsi="Calibri" w:cs="Arial"/>
        </w:rPr>
      </w:pPr>
      <w:r w:rsidRPr="00466C5F">
        <w:rPr>
          <w:rFonts w:ascii="Calibri" w:eastAsia="Calibri" w:hAnsi="Calibri" w:cs="Arial"/>
        </w:rPr>
        <w:t>Gal (2010)</w:t>
      </w:r>
      <w:r w:rsidR="008303E5">
        <w:rPr>
          <w:rFonts w:ascii="Calibri" w:eastAsia="Calibri" w:hAnsi="Calibri" w:cs="Arial"/>
        </w:rPr>
        <w:t>, arguing on the basis of contrasting bar charts,</w:t>
      </w:r>
      <w:r w:rsidRPr="00466C5F">
        <w:rPr>
          <w:rFonts w:ascii="Calibri" w:eastAsia="Calibri" w:hAnsi="Calibri" w:cs="Arial"/>
        </w:rPr>
        <w:t xml:space="preserve"> similarly finds family to be important.  He adds Israel and Turkey to the European SE/M countries and concludes that three themes are important in differentiating these countries from other welfare states: religion, family and clientelism.  Like </w:t>
      </w:r>
      <w:r w:rsidR="00805B11">
        <w:rPr>
          <w:rFonts w:ascii="Calibri" w:eastAsia="Calibri" w:hAnsi="Calibri" w:cs="Arial"/>
        </w:rPr>
        <w:t xml:space="preserve">Allen (2006), </w:t>
      </w:r>
      <w:r w:rsidRPr="00466C5F">
        <w:rPr>
          <w:rFonts w:ascii="Calibri" w:eastAsia="Calibri" w:hAnsi="Calibri" w:cs="Arial"/>
        </w:rPr>
        <w:t>Kääriäinen and Lehtonen (2006) and Böhnke (2008), Gal is explicit about family in this context being the extended family</w:t>
      </w:r>
      <w:r w:rsidR="009B783E">
        <w:rPr>
          <w:rFonts w:ascii="Calibri" w:eastAsia="Calibri" w:hAnsi="Calibri" w:cs="Arial"/>
        </w:rPr>
        <w:t>, not just the nuclear family.</w:t>
      </w:r>
    </w:p>
    <w:p w:rsidR="009168C0" w:rsidRDefault="00E67FF7" w:rsidP="007463E6">
      <w:pPr>
        <w:spacing w:line="360" w:lineRule="auto"/>
        <w:jc w:val="both"/>
        <w:rPr>
          <w:rFonts w:ascii="Calibri" w:eastAsia="Calibri" w:hAnsi="Calibri" w:cs="Arial"/>
        </w:rPr>
      </w:pPr>
      <w:r>
        <w:rPr>
          <w:rFonts w:ascii="Calibri" w:eastAsia="Calibri" w:hAnsi="Calibri" w:cs="Arial"/>
        </w:rPr>
        <w:t>I</w:t>
      </w:r>
      <w:r w:rsidR="002E5FE3">
        <w:rPr>
          <w:rFonts w:ascii="Calibri" w:eastAsia="Calibri" w:hAnsi="Calibri" w:cs="Arial"/>
        </w:rPr>
        <w:t xml:space="preserve">n a contribution to the Eurostat Methodologies and Working Paper series, </w:t>
      </w:r>
      <w:r>
        <w:rPr>
          <w:rFonts w:ascii="Calibri" w:eastAsia="Calibri" w:hAnsi="Calibri" w:cs="Arial"/>
        </w:rPr>
        <w:t xml:space="preserve">Iacovou and Skew (2010) </w:t>
      </w:r>
      <w:r w:rsidR="002E5FE3">
        <w:rPr>
          <w:rFonts w:ascii="Calibri" w:eastAsia="Calibri" w:hAnsi="Calibri" w:cs="Arial"/>
        </w:rPr>
        <w:t xml:space="preserve">argue that a variety of family-related variables, rather than strictly defined welfare regime types, can be used to cluster countries. </w:t>
      </w:r>
      <w:r w:rsidR="00F0479F">
        <w:rPr>
          <w:rFonts w:ascii="Calibri" w:eastAsia="Calibri" w:hAnsi="Calibri" w:cs="Arial"/>
        </w:rPr>
        <w:t>This raises the “ideal” type versus “real” type argument</w:t>
      </w:r>
      <w:r w:rsidR="00826B23">
        <w:rPr>
          <w:rFonts w:ascii="Calibri" w:eastAsia="Calibri" w:hAnsi="Calibri" w:cs="Arial"/>
        </w:rPr>
        <w:t xml:space="preserve"> (see in particular, Powell and Barrientos, 2011)</w:t>
      </w:r>
      <w:r w:rsidR="00F0479F">
        <w:rPr>
          <w:rFonts w:ascii="Calibri" w:eastAsia="Calibri" w:hAnsi="Calibri" w:cs="Arial"/>
        </w:rPr>
        <w:t xml:space="preserve">.  However, </w:t>
      </w:r>
      <w:r w:rsidR="00005349">
        <w:rPr>
          <w:rFonts w:ascii="Calibri" w:eastAsia="Calibri" w:hAnsi="Calibri" w:cs="Arial"/>
        </w:rPr>
        <w:t xml:space="preserve">the </w:t>
      </w:r>
      <w:r w:rsidR="00F0479F">
        <w:rPr>
          <w:rFonts w:ascii="Calibri" w:eastAsia="Calibri" w:hAnsi="Calibri" w:cs="Arial"/>
        </w:rPr>
        <w:t>argument of Aspalte</w:t>
      </w:r>
      <w:r w:rsidR="00005349">
        <w:rPr>
          <w:rFonts w:ascii="Calibri" w:eastAsia="Calibri" w:hAnsi="Calibri" w:cs="Arial"/>
        </w:rPr>
        <w:t>r (2011) is accepted here, namely that</w:t>
      </w:r>
      <w:r w:rsidR="00F0479F">
        <w:rPr>
          <w:rFonts w:ascii="Calibri" w:eastAsia="Calibri" w:hAnsi="Calibri" w:cs="Arial"/>
        </w:rPr>
        <w:t xml:space="preserve"> </w:t>
      </w:r>
      <w:r w:rsidR="00005349">
        <w:rPr>
          <w:rFonts w:ascii="Calibri" w:eastAsia="Calibri" w:hAnsi="Calibri" w:cs="Arial"/>
        </w:rPr>
        <w:t xml:space="preserve">real typical and ideal typical comparisons are not substitutes but complements; both are necessary. </w:t>
      </w:r>
      <w:r w:rsidR="002E5FE3">
        <w:rPr>
          <w:rFonts w:ascii="Calibri" w:eastAsia="Calibri" w:hAnsi="Calibri" w:cs="Arial"/>
        </w:rPr>
        <w:t>Using principal components analysis</w:t>
      </w:r>
      <w:r w:rsidR="006E55A0">
        <w:rPr>
          <w:rFonts w:ascii="Calibri" w:eastAsia="Calibri" w:hAnsi="Calibri" w:cs="Arial"/>
        </w:rPr>
        <w:t xml:space="preserve"> in an empirically clustering framework,</w:t>
      </w:r>
      <w:r w:rsidR="002E5FE3">
        <w:rPr>
          <w:rFonts w:ascii="Calibri" w:eastAsia="Calibri" w:hAnsi="Calibri" w:cs="Arial"/>
        </w:rPr>
        <w:t xml:space="preserve"> </w:t>
      </w:r>
      <w:r w:rsidR="00005349">
        <w:rPr>
          <w:rFonts w:ascii="Calibri" w:eastAsia="Calibri" w:hAnsi="Calibri" w:cs="Arial"/>
        </w:rPr>
        <w:t xml:space="preserve">Iacovou and Skew (2010) </w:t>
      </w:r>
      <w:r w:rsidR="002E5FE3">
        <w:rPr>
          <w:rFonts w:ascii="Calibri" w:eastAsia="Calibri" w:hAnsi="Calibri" w:cs="Arial"/>
        </w:rPr>
        <w:t>show that with family variables</w:t>
      </w:r>
      <w:r w:rsidR="006E55A0">
        <w:rPr>
          <w:rFonts w:ascii="Calibri" w:eastAsia="Calibri" w:hAnsi="Calibri" w:cs="Arial"/>
        </w:rPr>
        <w:t>,</w:t>
      </w:r>
      <w:r w:rsidR="002E5FE3">
        <w:rPr>
          <w:rFonts w:ascii="Calibri" w:eastAsia="Calibri" w:hAnsi="Calibri" w:cs="Arial"/>
        </w:rPr>
        <w:t xml:space="preserve"> Cyprus, Spain, Greece, Italy and Portugal clearly emerge as separate from the other EU countries. (Malta </w:t>
      </w:r>
      <w:r w:rsidR="00080D69">
        <w:rPr>
          <w:rFonts w:ascii="Calibri" w:eastAsia="Calibri" w:hAnsi="Calibri" w:cs="Arial"/>
        </w:rPr>
        <w:t xml:space="preserve">is </w:t>
      </w:r>
      <w:r w:rsidR="002E5FE3">
        <w:rPr>
          <w:rFonts w:ascii="Calibri" w:eastAsia="Calibri" w:hAnsi="Calibri" w:cs="Arial"/>
        </w:rPr>
        <w:t>excluded</w:t>
      </w:r>
      <w:r w:rsidR="00080D69">
        <w:rPr>
          <w:rFonts w:ascii="Calibri" w:eastAsia="Calibri" w:hAnsi="Calibri" w:cs="Arial"/>
        </w:rPr>
        <w:t xml:space="preserve"> because of absence of data</w:t>
      </w:r>
      <w:r w:rsidR="002E5FE3">
        <w:rPr>
          <w:rFonts w:ascii="Calibri" w:eastAsia="Calibri" w:hAnsi="Calibri" w:cs="Arial"/>
        </w:rPr>
        <w:t>.)</w:t>
      </w:r>
      <w:r w:rsidR="00F0479F">
        <w:rPr>
          <w:rFonts w:ascii="Calibri" w:eastAsia="Calibri" w:hAnsi="Calibri" w:cs="Arial"/>
        </w:rPr>
        <w:t xml:space="preserve"> </w:t>
      </w:r>
    </w:p>
    <w:p w:rsidR="008E24C4" w:rsidRDefault="008F2856" w:rsidP="001748A0">
      <w:pPr>
        <w:spacing w:line="360" w:lineRule="auto"/>
        <w:jc w:val="both"/>
        <w:rPr>
          <w:rFonts w:ascii="Calibri" w:eastAsia="Calibri" w:hAnsi="Calibri" w:cs="Arial"/>
        </w:rPr>
      </w:pPr>
      <w:r>
        <w:rPr>
          <w:rFonts w:ascii="Calibri" w:eastAsia="Calibri" w:hAnsi="Calibri" w:cs="Arial"/>
        </w:rPr>
        <w:t>U</w:t>
      </w:r>
      <w:r w:rsidR="009168C0">
        <w:rPr>
          <w:rFonts w:ascii="Calibri" w:eastAsia="Calibri" w:hAnsi="Calibri" w:cs="Arial"/>
        </w:rPr>
        <w:t xml:space="preserve">sing some techniques also used in </w:t>
      </w:r>
      <w:r w:rsidR="001748A0">
        <w:rPr>
          <w:rFonts w:ascii="Calibri" w:eastAsia="Calibri" w:hAnsi="Calibri" w:cs="Arial"/>
        </w:rPr>
        <w:t>this</w:t>
      </w:r>
      <w:r w:rsidR="009168C0">
        <w:rPr>
          <w:rFonts w:ascii="Calibri" w:eastAsia="Calibri" w:hAnsi="Calibri" w:cs="Arial"/>
        </w:rPr>
        <w:t xml:space="preserve"> paper –</w:t>
      </w:r>
      <w:r w:rsidR="00C9440D">
        <w:rPr>
          <w:rFonts w:ascii="Calibri" w:eastAsia="Calibri" w:hAnsi="Calibri" w:cs="Arial"/>
        </w:rPr>
        <w:t xml:space="preserve"> hierarchical and K-means clustering </w:t>
      </w:r>
      <w:r w:rsidR="009168C0">
        <w:rPr>
          <w:rFonts w:ascii="Calibri" w:eastAsia="Calibri" w:hAnsi="Calibri" w:cs="Arial"/>
        </w:rPr>
        <w:t xml:space="preserve">– with policy </w:t>
      </w:r>
      <w:r w:rsidR="00C9440D">
        <w:rPr>
          <w:rFonts w:ascii="Calibri" w:eastAsia="Calibri" w:hAnsi="Calibri" w:cs="Arial"/>
        </w:rPr>
        <w:t xml:space="preserve">variables, </w:t>
      </w:r>
      <w:r>
        <w:rPr>
          <w:rFonts w:ascii="Calibri" w:eastAsia="Calibri" w:hAnsi="Calibri" w:cs="Arial"/>
        </w:rPr>
        <w:t xml:space="preserve">Castles and Obinger (2008) </w:t>
      </w:r>
      <w:r w:rsidR="00C9440D">
        <w:rPr>
          <w:rFonts w:ascii="Calibri" w:eastAsia="Calibri" w:hAnsi="Calibri" w:cs="Arial"/>
        </w:rPr>
        <w:t xml:space="preserve">show that </w:t>
      </w:r>
      <w:r w:rsidR="00DF3039">
        <w:rPr>
          <w:rFonts w:ascii="Calibri" w:eastAsia="Calibri" w:hAnsi="Calibri" w:cs="Arial"/>
        </w:rPr>
        <w:t xml:space="preserve">if </w:t>
      </w:r>
      <w:r w:rsidR="00C9440D">
        <w:rPr>
          <w:rFonts w:ascii="Calibri" w:eastAsia="Calibri" w:hAnsi="Calibri" w:cs="Arial"/>
        </w:rPr>
        <w:t xml:space="preserve">the SE/M countries are a separate grouping they </w:t>
      </w:r>
      <w:r w:rsidR="00DF3039">
        <w:rPr>
          <w:rFonts w:ascii="Calibri" w:eastAsia="Calibri" w:hAnsi="Calibri" w:cs="Arial"/>
        </w:rPr>
        <w:t>are</w:t>
      </w:r>
      <w:r w:rsidR="00C9440D">
        <w:rPr>
          <w:rFonts w:ascii="Calibri" w:eastAsia="Calibri" w:hAnsi="Calibri" w:cs="Arial"/>
        </w:rPr>
        <w:t xml:space="preserve"> decreasingly so: “…</w:t>
      </w:r>
      <w:r w:rsidR="00C9440D" w:rsidRPr="00C9440D">
        <w:rPr>
          <w:rFonts w:ascii="Calibri" w:eastAsia="Calibri" w:hAnsi="Calibri" w:cs="Arial"/>
        </w:rPr>
        <w:t>families of nations have, if anything, become</w:t>
      </w:r>
      <w:r w:rsidR="00C9440D">
        <w:rPr>
          <w:rFonts w:ascii="Calibri" w:eastAsia="Calibri" w:hAnsi="Calibri" w:cs="Arial"/>
        </w:rPr>
        <w:t xml:space="preserve"> </w:t>
      </w:r>
      <w:r w:rsidR="00C9440D" w:rsidRPr="00C9440D">
        <w:rPr>
          <w:rFonts w:ascii="Calibri" w:eastAsia="Calibri" w:hAnsi="Calibri" w:cs="Arial"/>
        </w:rPr>
        <w:t>more distinct with the passage of time, with only the diminishing</w:t>
      </w:r>
      <w:r w:rsidR="00C9440D">
        <w:rPr>
          <w:rFonts w:ascii="Calibri" w:eastAsia="Calibri" w:hAnsi="Calibri" w:cs="Arial"/>
        </w:rPr>
        <w:t xml:space="preserve"> </w:t>
      </w:r>
      <w:r w:rsidR="00C9440D" w:rsidRPr="00C9440D">
        <w:rPr>
          <w:rFonts w:ascii="Calibri" w:eastAsia="Calibri" w:hAnsi="Calibri" w:cs="Arial"/>
        </w:rPr>
        <w:t>distinctiveness of continental and Southern European outcomes patterns</w:t>
      </w:r>
      <w:r w:rsidR="00C9440D">
        <w:rPr>
          <w:rFonts w:ascii="Calibri" w:eastAsia="Calibri" w:hAnsi="Calibri" w:cs="Arial"/>
        </w:rPr>
        <w:t xml:space="preserve"> </w:t>
      </w:r>
      <w:r w:rsidR="00C9440D" w:rsidRPr="00C9440D">
        <w:rPr>
          <w:rFonts w:ascii="Calibri" w:eastAsia="Calibri" w:hAnsi="Calibri" w:cs="Arial"/>
        </w:rPr>
        <w:t>suggestive of a blurring of cluster boundaries</w:t>
      </w:r>
      <w:r w:rsidR="00C9440D">
        <w:rPr>
          <w:rFonts w:ascii="Calibri" w:eastAsia="Calibri" w:hAnsi="Calibri" w:cs="Arial"/>
        </w:rPr>
        <w:t>…” (p.339).</w:t>
      </w:r>
      <w:r w:rsidR="00DF3039">
        <w:rPr>
          <w:rFonts w:ascii="Calibri" w:eastAsia="Calibri" w:hAnsi="Calibri" w:cs="Arial"/>
        </w:rPr>
        <w:t xml:space="preserve"> While for the 1960s and 1970s Southern Europe emerge</w:t>
      </w:r>
      <w:r w:rsidR="00490C38">
        <w:rPr>
          <w:rFonts w:ascii="Calibri" w:eastAsia="Calibri" w:hAnsi="Calibri" w:cs="Arial"/>
        </w:rPr>
        <w:t>s</w:t>
      </w:r>
      <w:r w:rsidR="00DF3039">
        <w:rPr>
          <w:rFonts w:ascii="Calibri" w:eastAsia="Calibri" w:hAnsi="Calibri" w:cs="Arial"/>
        </w:rPr>
        <w:t xml:space="preserve"> in their dendogram (Fig. 1) as a separate cluster, for the early 2000s their dendogram (Fig. 2) is much more congruent with Esping-Andersen’s (1990) three worlds.</w:t>
      </w:r>
      <w:r w:rsidR="003F5204">
        <w:rPr>
          <w:rFonts w:ascii="Calibri" w:eastAsia="Calibri" w:hAnsi="Calibri" w:cs="Arial"/>
        </w:rPr>
        <w:t xml:space="preserve"> </w:t>
      </w:r>
    </w:p>
    <w:p w:rsidR="008D76D8" w:rsidRDefault="008D76D8" w:rsidP="008C2A54">
      <w:pPr>
        <w:spacing w:line="360" w:lineRule="auto"/>
        <w:jc w:val="both"/>
        <w:rPr>
          <w:rFonts w:ascii="Calibri" w:eastAsia="Calibri" w:hAnsi="Calibri" w:cs="Arial"/>
        </w:rPr>
      </w:pPr>
      <w:r>
        <w:rPr>
          <w:rFonts w:ascii="Calibri" w:eastAsia="Calibri" w:hAnsi="Calibri" w:cs="Arial"/>
        </w:rPr>
        <w:t xml:space="preserve">Esping-Andersen (1990; 1999) is not alone in the “three worlds” camp.  </w:t>
      </w:r>
      <w:r w:rsidR="00853D6F" w:rsidRPr="00853D6F">
        <w:rPr>
          <w:rFonts w:ascii="Calibri" w:eastAsia="Calibri" w:hAnsi="Calibri" w:cs="Arial"/>
        </w:rPr>
        <w:t>Guillen and Alvarez (2001</w:t>
      </w:r>
      <w:r w:rsidR="00853D6F">
        <w:rPr>
          <w:rFonts w:ascii="Calibri" w:eastAsia="Calibri" w:hAnsi="Calibri" w:cs="Arial"/>
        </w:rPr>
        <w:t xml:space="preserve">), for example, reject the argument that the SE/M countries constitute a separate welfare regime.  They accept that there are differences between the SE/M and the conservative countries, particularly in relation to familialism, but argue that these are insufficient to justify </w:t>
      </w:r>
      <w:r w:rsidR="008C2A54">
        <w:rPr>
          <w:rFonts w:ascii="Calibri" w:eastAsia="Calibri" w:hAnsi="Calibri" w:cs="Arial"/>
        </w:rPr>
        <w:t>differentiation as a</w:t>
      </w:r>
      <w:r w:rsidR="00853D6F">
        <w:rPr>
          <w:rFonts w:ascii="Calibri" w:eastAsia="Calibri" w:hAnsi="Calibri" w:cs="Arial"/>
        </w:rPr>
        <w:t xml:space="preserve"> fourth welfare regime</w:t>
      </w:r>
      <w:r w:rsidR="008C2A54">
        <w:rPr>
          <w:rFonts w:ascii="Calibri" w:eastAsia="Calibri" w:hAnsi="Calibri" w:cs="Arial"/>
        </w:rPr>
        <w:t>.</w:t>
      </w:r>
    </w:p>
    <w:p w:rsidR="00A977D4" w:rsidRDefault="00080D69" w:rsidP="009C47C7">
      <w:pPr>
        <w:spacing w:line="360" w:lineRule="auto"/>
        <w:jc w:val="both"/>
        <w:rPr>
          <w:rFonts w:ascii="Calibri" w:eastAsia="Calibri" w:hAnsi="Calibri" w:cs="Arial"/>
        </w:rPr>
      </w:pPr>
      <w:r>
        <w:rPr>
          <w:rFonts w:ascii="Calibri" w:eastAsia="Calibri" w:hAnsi="Calibri" w:cs="Arial"/>
        </w:rPr>
        <w:t>B</w:t>
      </w:r>
      <w:r w:rsidR="008F2856">
        <w:rPr>
          <w:rFonts w:ascii="Calibri" w:eastAsia="Calibri" w:hAnsi="Calibri" w:cs="Arial"/>
        </w:rPr>
        <w:t xml:space="preserve">ecause of different approaches, different variables and different time periods, there is no consensus as to whether the </w:t>
      </w:r>
      <w:r w:rsidR="00A977D4" w:rsidRPr="00466C5F">
        <w:rPr>
          <w:rFonts w:ascii="Calibri" w:eastAsia="Calibri" w:hAnsi="Calibri" w:cs="Arial"/>
        </w:rPr>
        <w:t xml:space="preserve">SE/M </w:t>
      </w:r>
      <w:r w:rsidR="008F2856">
        <w:rPr>
          <w:rFonts w:ascii="Calibri" w:eastAsia="Calibri" w:hAnsi="Calibri" w:cs="Arial"/>
        </w:rPr>
        <w:t xml:space="preserve">countries are part of, or separate from, the </w:t>
      </w:r>
      <w:r w:rsidR="00A977D4" w:rsidRPr="00466C5F">
        <w:rPr>
          <w:rFonts w:ascii="Calibri" w:eastAsia="Calibri" w:hAnsi="Calibri" w:cs="Arial"/>
        </w:rPr>
        <w:t xml:space="preserve">conservative group of </w:t>
      </w:r>
      <w:r w:rsidR="00391EFF">
        <w:rPr>
          <w:rFonts w:ascii="Calibri" w:eastAsia="Calibri" w:hAnsi="Calibri" w:cs="Arial"/>
        </w:rPr>
        <w:t xml:space="preserve">European </w:t>
      </w:r>
      <w:r w:rsidR="00A977D4" w:rsidRPr="00466C5F">
        <w:rPr>
          <w:rFonts w:ascii="Calibri" w:eastAsia="Calibri" w:hAnsi="Calibri" w:cs="Arial"/>
        </w:rPr>
        <w:t>countries</w:t>
      </w:r>
      <w:r w:rsidR="00391EFF">
        <w:rPr>
          <w:rFonts w:ascii="Calibri" w:eastAsia="Calibri" w:hAnsi="Calibri" w:cs="Arial"/>
        </w:rPr>
        <w:t>.</w:t>
      </w:r>
      <w:r w:rsidR="00A977D4" w:rsidRPr="00466C5F">
        <w:rPr>
          <w:rFonts w:ascii="Calibri" w:eastAsia="Calibri" w:hAnsi="Calibri" w:cs="Arial"/>
        </w:rPr>
        <w:t xml:space="preserve"> </w:t>
      </w:r>
      <w:r w:rsidR="00AA3EC5">
        <w:rPr>
          <w:rFonts w:ascii="Calibri" w:eastAsia="Calibri" w:hAnsi="Calibri" w:cs="Arial"/>
        </w:rPr>
        <w:t xml:space="preserve">The absence of consensus </w:t>
      </w:r>
      <w:r w:rsidR="00A977D4">
        <w:rPr>
          <w:rFonts w:ascii="Calibri" w:eastAsia="Calibri" w:hAnsi="Calibri" w:cs="Arial"/>
        </w:rPr>
        <w:t xml:space="preserve">suggests </w:t>
      </w:r>
      <w:r w:rsidR="00AA3EC5">
        <w:rPr>
          <w:rFonts w:ascii="Calibri" w:eastAsia="Calibri" w:hAnsi="Calibri" w:cs="Arial"/>
        </w:rPr>
        <w:t>a continuing</w:t>
      </w:r>
      <w:r w:rsidR="00A977D4">
        <w:rPr>
          <w:rFonts w:ascii="Calibri" w:eastAsia="Calibri" w:hAnsi="Calibri" w:cs="Arial"/>
        </w:rPr>
        <w:t xml:space="preserve"> need to </w:t>
      </w:r>
      <w:r w:rsidR="00204408">
        <w:rPr>
          <w:rFonts w:ascii="Calibri" w:eastAsia="Calibri" w:hAnsi="Calibri" w:cs="Arial"/>
        </w:rPr>
        <w:t xml:space="preserve">find ways of determining </w:t>
      </w:r>
      <w:r w:rsidR="00A977D4">
        <w:rPr>
          <w:rFonts w:ascii="Calibri" w:eastAsia="Calibri" w:hAnsi="Calibri" w:cs="Arial"/>
        </w:rPr>
        <w:t xml:space="preserve">whether or not the SE/M countries belong with the conservative countries in the same welfare regime type.  In the next section of the paper the statistical methods to be used are described.  Here it remains </w:t>
      </w:r>
      <w:r>
        <w:rPr>
          <w:rFonts w:ascii="Calibri" w:eastAsia="Calibri" w:hAnsi="Calibri" w:cs="Arial"/>
        </w:rPr>
        <w:t>to summarise</w:t>
      </w:r>
      <w:r w:rsidR="00A977D4">
        <w:rPr>
          <w:rFonts w:ascii="Calibri" w:eastAsia="Calibri" w:hAnsi="Calibri" w:cs="Arial"/>
        </w:rPr>
        <w:t xml:space="preserve"> the choice of issues on which to focus in the differentiation between regime types.</w:t>
      </w:r>
    </w:p>
    <w:p w:rsidR="00A977D4" w:rsidRPr="005C1CEB" w:rsidRDefault="00A977D4" w:rsidP="001748A0">
      <w:pPr>
        <w:spacing w:line="360" w:lineRule="auto"/>
        <w:jc w:val="both"/>
        <w:rPr>
          <w:rFonts w:ascii="Calibri" w:eastAsia="Calibri" w:hAnsi="Calibri" w:cs="Arial"/>
        </w:rPr>
      </w:pPr>
      <w:r>
        <w:rPr>
          <w:rFonts w:ascii="Calibri" w:eastAsia="Calibri" w:hAnsi="Calibri" w:cs="Arial"/>
        </w:rPr>
        <w:lastRenderedPageBreak/>
        <w:t>T</w:t>
      </w:r>
      <w:r w:rsidRPr="004227C7">
        <w:rPr>
          <w:rFonts w:ascii="Calibri" w:eastAsia="Calibri" w:hAnsi="Calibri" w:cs="Arial"/>
        </w:rPr>
        <w:t xml:space="preserve">he factors contributing to why the SE/M should be differentiated from the conservative welfare regime are broadly agreed upon by most analysts.  They include in particular family as an important welfare pillar – and, by implication, a lower penetration of the state in welfare provision </w:t>
      </w:r>
      <w:r w:rsidR="00017A24">
        <w:rPr>
          <w:rFonts w:ascii="Calibri" w:eastAsia="Calibri" w:hAnsi="Calibri" w:cs="Arial"/>
        </w:rPr>
        <w:t>–</w:t>
      </w:r>
      <w:r w:rsidR="001748A0">
        <w:rPr>
          <w:rFonts w:ascii="Calibri" w:eastAsia="Calibri" w:hAnsi="Calibri" w:cs="Arial"/>
        </w:rPr>
        <w:t xml:space="preserve"> and relative</w:t>
      </w:r>
      <w:r w:rsidRPr="004227C7">
        <w:rPr>
          <w:rFonts w:ascii="Calibri" w:eastAsia="Calibri" w:hAnsi="Calibri" w:cs="Arial"/>
        </w:rPr>
        <w:t xml:space="preserve"> significance of religion (e.g</w:t>
      </w:r>
      <w:r>
        <w:rPr>
          <w:rFonts w:ascii="Calibri" w:eastAsia="Calibri" w:hAnsi="Calibri" w:cs="Arial"/>
        </w:rPr>
        <w:t>.</w:t>
      </w:r>
      <w:r w:rsidRPr="004227C7">
        <w:rPr>
          <w:rFonts w:ascii="Calibri" w:eastAsia="Calibri" w:hAnsi="Calibri" w:cs="Arial"/>
        </w:rPr>
        <w:t xml:space="preserve"> Ferrara, 1996).  Gal (2010) concurs with Ferrara (1996) </w:t>
      </w:r>
      <w:r>
        <w:rPr>
          <w:rFonts w:ascii="Calibri" w:eastAsia="Calibri" w:hAnsi="Calibri" w:cs="Arial"/>
        </w:rPr>
        <w:t xml:space="preserve">and Allen (2006) </w:t>
      </w:r>
      <w:r w:rsidRPr="004227C7">
        <w:rPr>
          <w:rFonts w:ascii="Calibri" w:eastAsia="Calibri" w:hAnsi="Calibri" w:cs="Arial"/>
        </w:rPr>
        <w:t xml:space="preserve">that clientelism is also present to a greater extent in the SE/M countries than elsewhere.  </w:t>
      </w:r>
      <w:r w:rsidR="009C47C7">
        <w:rPr>
          <w:rFonts w:ascii="Calibri" w:eastAsia="Calibri" w:hAnsi="Calibri" w:cs="Arial"/>
        </w:rPr>
        <w:t>The literature review thus suggests that t</w:t>
      </w:r>
      <w:r>
        <w:rPr>
          <w:rFonts w:ascii="Calibri" w:eastAsia="Calibri" w:hAnsi="Calibri" w:cs="Arial"/>
        </w:rPr>
        <w:t xml:space="preserve">he data required to test whether and to what extent the SE/M countries </w:t>
      </w:r>
      <w:r w:rsidR="009C47C7">
        <w:rPr>
          <w:rFonts w:ascii="Calibri" w:eastAsia="Calibri" w:hAnsi="Calibri" w:cs="Arial"/>
        </w:rPr>
        <w:t>are</w:t>
      </w:r>
      <w:r>
        <w:rPr>
          <w:rFonts w:ascii="Calibri" w:eastAsia="Calibri" w:hAnsi="Calibri" w:cs="Arial"/>
        </w:rPr>
        <w:t xml:space="preserve"> a separate welfare regime</w:t>
      </w:r>
      <w:r w:rsidR="009C47C7">
        <w:rPr>
          <w:rFonts w:ascii="Calibri" w:eastAsia="Calibri" w:hAnsi="Calibri" w:cs="Arial"/>
        </w:rPr>
        <w:t>,</w:t>
      </w:r>
      <w:r>
        <w:rPr>
          <w:rFonts w:ascii="Calibri" w:eastAsia="Calibri" w:hAnsi="Calibri" w:cs="Arial"/>
        </w:rPr>
        <w:t xml:space="preserve"> should provide measures of the four dimensions, family, state vs market, religion and clientelism.  </w:t>
      </w:r>
    </w:p>
    <w:p w:rsidR="00E7359A" w:rsidRDefault="00E7359A" w:rsidP="00E7359A">
      <w:pPr>
        <w:spacing w:line="360" w:lineRule="auto"/>
        <w:jc w:val="both"/>
        <w:rPr>
          <w:rFonts w:ascii="Calibri" w:eastAsia="Calibri" w:hAnsi="Calibri" w:cs="Arial"/>
          <w:b/>
          <w:bCs/>
        </w:rPr>
      </w:pPr>
      <w:r>
        <w:rPr>
          <w:rFonts w:ascii="Calibri" w:eastAsia="Calibri" w:hAnsi="Calibri" w:cs="Arial"/>
          <w:b/>
          <w:bCs/>
        </w:rPr>
        <w:t>3 Methodology</w:t>
      </w:r>
    </w:p>
    <w:p w:rsidR="00A977D4" w:rsidRDefault="00DE3D75" w:rsidP="00FC3EF5">
      <w:pPr>
        <w:spacing w:line="360" w:lineRule="auto"/>
        <w:jc w:val="both"/>
        <w:rPr>
          <w:rFonts w:ascii="Calibri" w:eastAsia="Calibri" w:hAnsi="Calibri" w:cs="Arial"/>
          <w:b/>
          <w:bCs/>
        </w:rPr>
      </w:pPr>
      <w:r>
        <w:rPr>
          <w:rFonts w:ascii="Calibri" w:eastAsia="Calibri" w:hAnsi="Calibri" w:cs="Arial"/>
          <w:b/>
          <w:bCs/>
        </w:rPr>
        <w:t>3</w:t>
      </w:r>
      <w:r w:rsidR="00A977D4">
        <w:rPr>
          <w:rFonts w:ascii="Calibri" w:eastAsia="Calibri" w:hAnsi="Calibri" w:cs="Arial"/>
          <w:b/>
          <w:bCs/>
        </w:rPr>
        <w:t>.1 Data description</w:t>
      </w:r>
    </w:p>
    <w:p w:rsidR="00A977D4" w:rsidRDefault="00A977D4" w:rsidP="00FA1375">
      <w:pPr>
        <w:spacing w:line="360" w:lineRule="auto"/>
        <w:jc w:val="both"/>
        <w:rPr>
          <w:rFonts w:ascii="Calibri" w:eastAsia="Calibri" w:hAnsi="Calibri" w:cs="Arial"/>
        </w:rPr>
      </w:pPr>
      <w:r>
        <w:rPr>
          <w:rFonts w:ascii="Calibri" w:eastAsia="Calibri" w:hAnsi="Calibri" w:cs="Arial"/>
        </w:rPr>
        <w:t xml:space="preserve">To undertake the type of analysis required to cluster countries into groups, the first requirement is to select the countries to be included, and the second is to determine the variables to be used in the clustering process.  The selection of countries for this paper follows from the key aim of the paper, namely to consider whether the SE/M countries constitute a different grouping from the conservative European countries.  To test this, the SE/M and the conservative European countries both had to be included.  </w:t>
      </w:r>
      <w:r w:rsidR="00386EFC">
        <w:rPr>
          <w:rFonts w:ascii="Calibri" w:eastAsia="Calibri" w:hAnsi="Calibri" w:cs="Arial"/>
        </w:rPr>
        <w:t>The focus is on Europe and for reasons of da</w:t>
      </w:r>
      <w:r w:rsidR="00FA1375">
        <w:rPr>
          <w:rFonts w:ascii="Calibri" w:eastAsia="Calibri" w:hAnsi="Calibri" w:cs="Arial"/>
        </w:rPr>
        <w:t>ta availability and consistency</w:t>
      </w:r>
      <w:r w:rsidR="00386EFC">
        <w:rPr>
          <w:rFonts w:ascii="Calibri" w:eastAsia="Calibri" w:hAnsi="Calibri" w:cs="Arial"/>
        </w:rPr>
        <w:t xml:space="preserve"> it was decided to limit the selection to EU countries and to use mainly Eurostat data so the prototypical liberal country, the USA, is excluded</w:t>
      </w:r>
      <w:r w:rsidR="00FA1375">
        <w:rPr>
          <w:rFonts w:ascii="Calibri" w:eastAsia="Calibri" w:hAnsi="Calibri" w:cs="Arial"/>
        </w:rPr>
        <w:t xml:space="preserve">, as well as non-EU countries like Switzerland, usually considered to be in the conservative group, and Israel and Turkey among SE/M countries.  </w:t>
      </w:r>
      <w:r w:rsidR="00386EFC">
        <w:rPr>
          <w:rFonts w:ascii="Calibri" w:eastAsia="Calibri" w:hAnsi="Calibri" w:cs="Arial"/>
        </w:rPr>
        <w:t xml:space="preserve">Given the focus on SE/M and the conservative regime countries, there was also no need to include new </w:t>
      </w:r>
      <w:r>
        <w:rPr>
          <w:rFonts w:ascii="Calibri" w:eastAsia="Calibri" w:hAnsi="Calibri" w:cs="Arial"/>
        </w:rPr>
        <w:t xml:space="preserve">East European </w:t>
      </w:r>
      <w:r w:rsidR="00386EFC">
        <w:rPr>
          <w:rFonts w:ascii="Calibri" w:eastAsia="Calibri" w:hAnsi="Calibri" w:cs="Arial"/>
        </w:rPr>
        <w:t>EU members.</w:t>
      </w:r>
      <w:r>
        <w:rPr>
          <w:rFonts w:ascii="Calibri" w:eastAsia="Calibri" w:hAnsi="Calibri" w:cs="Arial"/>
        </w:rPr>
        <w:t xml:space="preserve"> </w:t>
      </w:r>
    </w:p>
    <w:p w:rsidR="00914A07" w:rsidRDefault="00A977D4" w:rsidP="00FA1375">
      <w:pPr>
        <w:spacing w:line="360" w:lineRule="auto"/>
        <w:jc w:val="both"/>
        <w:rPr>
          <w:rFonts w:ascii="Calibri" w:eastAsia="Calibri" w:hAnsi="Calibri" w:cs="Arial"/>
        </w:rPr>
      </w:pPr>
      <w:r>
        <w:rPr>
          <w:rFonts w:ascii="Calibri" w:eastAsia="Calibri" w:hAnsi="Calibri" w:cs="Arial"/>
        </w:rPr>
        <w:t>At best, however, this would help to determine which countries should be included in which group.</w:t>
      </w:r>
      <w:r>
        <w:rPr>
          <w:rStyle w:val="EndnoteReference"/>
          <w:rFonts w:ascii="Calibri" w:eastAsia="Calibri" w:hAnsi="Calibri"/>
        </w:rPr>
        <w:endnoteReference w:id="1"/>
      </w:r>
      <w:r>
        <w:rPr>
          <w:rFonts w:ascii="Calibri" w:eastAsia="Calibri" w:hAnsi="Calibri" w:cs="Arial"/>
        </w:rPr>
        <w:t xml:space="preserve"> </w:t>
      </w:r>
      <w:r w:rsidR="00914A07">
        <w:rPr>
          <w:rFonts w:ascii="Calibri" w:eastAsia="Calibri" w:hAnsi="Calibri" w:cs="Arial"/>
        </w:rPr>
        <w:t>It is possible that as a result of the analysis, the differences between the SE/M grouping and the conservative grouping would be small, smaller for example than the difference</w:t>
      </w:r>
      <w:r w:rsidR="00FA1375">
        <w:rPr>
          <w:rFonts w:ascii="Calibri" w:eastAsia="Calibri" w:hAnsi="Calibri" w:cs="Arial"/>
        </w:rPr>
        <w:t>/</w:t>
      </w:r>
      <w:r w:rsidR="00914A07">
        <w:rPr>
          <w:rFonts w:ascii="Calibri" w:eastAsia="Calibri" w:hAnsi="Calibri" w:cs="Arial"/>
        </w:rPr>
        <w:t>distance between either of these groups and the social democratic group.  This could lead to the conclusion that although different from each other, the SE/M and conservative European countries are similar enough to be included in the same welfare regime type.  To answer the question of relative differences it was necessary to include countries known to be in a different group from either the SE/M or the conservative countries.  Given the decision to limit the study to EU members, this meant the inclusion of the Scandinavian countries.  The final list of countries i</w:t>
      </w:r>
      <w:r w:rsidR="009C47C7">
        <w:rPr>
          <w:rFonts w:ascii="Calibri" w:eastAsia="Calibri" w:hAnsi="Calibri" w:cs="Arial"/>
        </w:rPr>
        <w:t>n the study is shown in Table 1.</w:t>
      </w:r>
      <w:r w:rsidR="00914A07">
        <w:rPr>
          <w:rFonts w:ascii="Calibri" w:eastAsia="Calibri" w:hAnsi="Calibri" w:cs="Arial"/>
        </w:rPr>
        <w:t xml:space="preserve"> </w:t>
      </w:r>
    </w:p>
    <w:p w:rsidR="006F4D8E" w:rsidRDefault="00914A07" w:rsidP="004B367A">
      <w:pPr>
        <w:spacing w:line="360" w:lineRule="auto"/>
        <w:jc w:val="both"/>
        <w:rPr>
          <w:rFonts w:ascii="Calibri" w:eastAsia="Calibri" w:hAnsi="Calibri" w:cs="Arial"/>
        </w:rPr>
      </w:pPr>
      <w:r>
        <w:rPr>
          <w:rFonts w:ascii="Calibri" w:eastAsia="Calibri" w:hAnsi="Calibri" w:cs="Arial"/>
        </w:rPr>
        <w:t xml:space="preserve">The dimensions to be used, in a sense as criteria for determining the </w:t>
      </w:r>
      <w:r w:rsidR="004B367A">
        <w:rPr>
          <w:rFonts w:ascii="Calibri" w:eastAsia="Calibri" w:hAnsi="Calibri" w:cs="Arial"/>
        </w:rPr>
        <w:t>cluster</w:t>
      </w:r>
      <w:r>
        <w:rPr>
          <w:rFonts w:ascii="Calibri" w:eastAsia="Calibri" w:hAnsi="Calibri" w:cs="Arial"/>
        </w:rPr>
        <w:t xml:space="preserve"> into which each of the countries should fall, follow from the literature.  The conclusion from the review of the literature above is that there are four dimensions important for present purposes: family, state vs market, religion and clientelism. </w:t>
      </w:r>
    </w:p>
    <w:p w:rsidR="00FF7B7E" w:rsidRPr="00BB65AD" w:rsidRDefault="00FF7B7E" w:rsidP="00FF7B7E">
      <w:pPr>
        <w:rPr>
          <w:b/>
          <w:bCs/>
        </w:rPr>
      </w:pPr>
      <w:r w:rsidRPr="00BB65AD">
        <w:rPr>
          <w:b/>
          <w:bCs/>
        </w:rPr>
        <w:lastRenderedPageBreak/>
        <w:t>Table 1: Countries included in the study classified according to Esping-Andersen (1990, Table 2.2)</w:t>
      </w:r>
    </w:p>
    <w:tbl>
      <w:tblPr>
        <w:tblW w:w="7982" w:type="dxa"/>
        <w:tblLook w:val="04A0" w:firstRow="1" w:lastRow="0" w:firstColumn="1" w:lastColumn="0" w:noHBand="0" w:noVBand="1"/>
      </w:tblPr>
      <w:tblGrid>
        <w:gridCol w:w="2180"/>
        <w:gridCol w:w="2180"/>
        <w:gridCol w:w="2180"/>
        <w:gridCol w:w="1442"/>
      </w:tblGrid>
      <w:tr w:rsidR="00FF7B7E" w:rsidRPr="00BB65AD" w:rsidTr="002D2E50">
        <w:trPr>
          <w:trHeight w:val="300"/>
        </w:trPr>
        <w:tc>
          <w:tcPr>
            <w:tcW w:w="7982" w:type="dxa"/>
            <w:gridSpan w:val="4"/>
            <w:tcBorders>
              <w:top w:val="single" w:sz="4" w:space="0" w:color="auto"/>
              <w:left w:val="nil"/>
              <w:bottom w:val="nil"/>
              <w:right w:val="nil"/>
            </w:tcBorders>
            <w:shd w:val="clear" w:color="auto" w:fill="auto"/>
            <w:noWrap/>
            <w:vAlign w:val="bottom"/>
            <w:hideMark/>
          </w:tcPr>
          <w:p w:rsidR="00FF7B7E" w:rsidRPr="00BB65AD" w:rsidRDefault="00FF7B7E" w:rsidP="002D2E50">
            <w:pPr>
              <w:rPr>
                <w:b/>
                <w:i/>
                <w:iCs/>
                <w:lang w:val="en-US"/>
              </w:rPr>
            </w:pPr>
            <w:r w:rsidRPr="00BB65AD">
              <w:rPr>
                <w:b/>
                <w:i/>
                <w:iCs/>
                <w:lang w:val="en-US"/>
              </w:rPr>
              <w:t>Welfare Regimes</w:t>
            </w:r>
          </w:p>
        </w:tc>
      </w:tr>
      <w:tr w:rsidR="00FF7B7E" w:rsidRPr="00BB65AD" w:rsidTr="002D2E50">
        <w:trPr>
          <w:trHeight w:val="300"/>
        </w:trPr>
        <w:tc>
          <w:tcPr>
            <w:tcW w:w="2180" w:type="dxa"/>
            <w:tcBorders>
              <w:top w:val="nil"/>
              <w:left w:val="nil"/>
              <w:bottom w:val="single" w:sz="4" w:space="0" w:color="auto"/>
              <w:right w:val="nil"/>
            </w:tcBorders>
            <w:shd w:val="clear" w:color="auto" w:fill="auto"/>
            <w:noWrap/>
            <w:vAlign w:val="bottom"/>
            <w:hideMark/>
          </w:tcPr>
          <w:p w:rsidR="00FF7B7E" w:rsidRPr="00BB65AD" w:rsidRDefault="00FF7B7E" w:rsidP="002D2E50">
            <w:pPr>
              <w:rPr>
                <w:b/>
                <w:i/>
                <w:iCs/>
                <w:lang w:val="el-GR"/>
              </w:rPr>
            </w:pPr>
            <w:r w:rsidRPr="00BB65AD">
              <w:rPr>
                <w:b/>
                <w:i/>
                <w:iCs/>
                <w:lang w:val="el-GR"/>
              </w:rPr>
              <w:t>Conservative</w:t>
            </w:r>
          </w:p>
        </w:tc>
        <w:tc>
          <w:tcPr>
            <w:tcW w:w="2180" w:type="dxa"/>
            <w:tcBorders>
              <w:top w:val="nil"/>
              <w:left w:val="nil"/>
              <w:bottom w:val="single" w:sz="4" w:space="0" w:color="auto"/>
              <w:right w:val="nil"/>
            </w:tcBorders>
            <w:shd w:val="clear" w:color="auto" w:fill="auto"/>
            <w:noWrap/>
            <w:vAlign w:val="bottom"/>
            <w:hideMark/>
          </w:tcPr>
          <w:p w:rsidR="00FF7B7E" w:rsidRPr="00BB65AD" w:rsidRDefault="00FF7B7E" w:rsidP="002D2E50">
            <w:pPr>
              <w:rPr>
                <w:b/>
                <w:i/>
                <w:iCs/>
                <w:lang w:val="el-GR"/>
              </w:rPr>
            </w:pPr>
            <w:r w:rsidRPr="00BB65AD">
              <w:rPr>
                <w:b/>
                <w:i/>
                <w:iCs/>
                <w:lang w:val="el-GR"/>
              </w:rPr>
              <w:t>Social Democratic</w:t>
            </w:r>
          </w:p>
        </w:tc>
        <w:tc>
          <w:tcPr>
            <w:tcW w:w="2180" w:type="dxa"/>
            <w:tcBorders>
              <w:top w:val="nil"/>
              <w:left w:val="nil"/>
              <w:bottom w:val="single" w:sz="4" w:space="0" w:color="auto"/>
              <w:right w:val="nil"/>
            </w:tcBorders>
            <w:shd w:val="clear" w:color="auto" w:fill="auto"/>
            <w:noWrap/>
            <w:vAlign w:val="bottom"/>
            <w:hideMark/>
          </w:tcPr>
          <w:p w:rsidR="00FF7B7E" w:rsidRPr="00BB65AD" w:rsidRDefault="00FF7B7E" w:rsidP="002D2E50">
            <w:pPr>
              <w:rPr>
                <w:b/>
                <w:i/>
                <w:iCs/>
                <w:lang w:val="el-GR"/>
              </w:rPr>
            </w:pPr>
            <w:r w:rsidRPr="00BB65AD">
              <w:rPr>
                <w:b/>
                <w:i/>
                <w:iCs/>
                <w:lang w:val="el-GR"/>
              </w:rPr>
              <w:t>Liberal</w:t>
            </w:r>
          </w:p>
        </w:tc>
        <w:tc>
          <w:tcPr>
            <w:tcW w:w="1442" w:type="dxa"/>
            <w:tcBorders>
              <w:top w:val="nil"/>
              <w:left w:val="nil"/>
              <w:bottom w:val="single" w:sz="4" w:space="0" w:color="auto"/>
              <w:right w:val="nil"/>
            </w:tcBorders>
            <w:shd w:val="clear" w:color="auto" w:fill="auto"/>
            <w:noWrap/>
            <w:vAlign w:val="bottom"/>
            <w:hideMark/>
          </w:tcPr>
          <w:p w:rsidR="00FF7B7E" w:rsidRPr="00BB65AD" w:rsidRDefault="00FF7B7E" w:rsidP="002D2E50">
            <w:pPr>
              <w:rPr>
                <w:b/>
                <w:i/>
                <w:iCs/>
                <w:lang w:val="el-GR"/>
              </w:rPr>
            </w:pPr>
            <w:r w:rsidRPr="00BB65AD">
              <w:rPr>
                <w:b/>
                <w:i/>
                <w:iCs/>
                <w:lang w:val="el-GR"/>
              </w:rPr>
              <w:t>Unclassified</w:t>
            </w:r>
          </w:p>
        </w:tc>
      </w:tr>
      <w:tr w:rsidR="00FF7B7E" w:rsidRPr="00BB65AD" w:rsidTr="002D2E50">
        <w:trPr>
          <w:trHeight w:val="300"/>
        </w:trPr>
        <w:tc>
          <w:tcPr>
            <w:tcW w:w="2180" w:type="dxa"/>
            <w:tcBorders>
              <w:top w:val="nil"/>
              <w:left w:val="nil"/>
              <w:bottom w:val="nil"/>
              <w:right w:val="nil"/>
            </w:tcBorders>
            <w:shd w:val="clear" w:color="auto" w:fill="auto"/>
            <w:noWrap/>
            <w:vAlign w:val="center"/>
            <w:hideMark/>
          </w:tcPr>
          <w:p w:rsidR="00FF7B7E" w:rsidRPr="00BB65AD" w:rsidRDefault="00FF7B7E" w:rsidP="002D2E50">
            <w:pPr>
              <w:rPr>
                <w:lang w:val="el-GR"/>
              </w:rPr>
            </w:pPr>
            <w:r w:rsidRPr="00BB65AD">
              <w:t>Finland</w:t>
            </w:r>
          </w:p>
        </w:tc>
        <w:tc>
          <w:tcPr>
            <w:tcW w:w="2180" w:type="dxa"/>
            <w:tcBorders>
              <w:top w:val="nil"/>
              <w:left w:val="nil"/>
              <w:bottom w:val="nil"/>
              <w:right w:val="nil"/>
            </w:tcBorders>
            <w:shd w:val="clear" w:color="auto" w:fill="auto"/>
            <w:noWrap/>
            <w:vAlign w:val="center"/>
            <w:hideMark/>
          </w:tcPr>
          <w:p w:rsidR="00FF7B7E" w:rsidRPr="00BB65AD" w:rsidRDefault="00FF7B7E" w:rsidP="002D2E50">
            <w:pPr>
              <w:rPr>
                <w:lang w:val="el-GR"/>
              </w:rPr>
            </w:pPr>
            <w:r w:rsidRPr="00BB65AD">
              <w:t>Austria</w:t>
            </w:r>
          </w:p>
        </w:tc>
        <w:tc>
          <w:tcPr>
            <w:tcW w:w="2180"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United Kingdom</w:t>
            </w:r>
          </w:p>
        </w:tc>
        <w:tc>
          <w:tcPr>
            <w:tcW w:w="1442" w:type="dxa"/>
            <w:tcBorders>
              <w:top w:val="nil"/>
              <w:left w:val="nil"/>
              <w:bottom w:val="nil"/>
              <w:right w:val="nil"/>
            </w:tcBorders>
            <w:shd w:val="clear" w:color="auto" w:fill="auto"/>
            <w:noWrap/>
            <w:vAlign w:val="center"/>
            <w:hideMark/>
          </w:tcPr>
          <w:p w:rsidR="00FF7B7E" w:rsidRPr="00BB65AD" w:rsidRDefault="00FF7B7E" w:rsidP="002D2E50">
            <w:pPr>
              <w:rPr>
                <w:lang w:val="el-GR"/>
              </w:rPr>
            </w:pPr>
            <w:r w:rsidRPr="00BB65AD">
              <w:t>Cyprus</w:t>
            </w:r>
          </w:p>
        </w:tc>
      </w:tr>
      <w:tr w:rsidR="00FF7B7E" w:rsidRPr="00BB65AD" w:rsidTr="002D2E50">
        <w:trPr>
          <w:trHeight w:val="300"/>
        </w:trPr>
        <w:tc>
          <w:tcPr>
            <w:tcW w:w="2180"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France</w:t>
            </w:r>
          </w:p>
        </w:tc>
        <w:tc>
          <w:tcPr>
            <w:tcW w:w="2180" w:type="dxa"/>
            <w:tcBorders>
              <w:top w:val="nil"/>
              <w:left w:val="nil"/>
              <w:bottom w:val="nil"/>
              <w:right w:val="nil"/>
            </w:tcBorders>
            <w:shd w:val="clear" w:color="auto" w:fill="auto"/>
            <w:noWrap/>
            <w:vAlign w:val="center"/>
            <w:hideMark/>
          </w:tcPr>
          <w:p w:rsidR="00FF7B7E" w:rsidRPr="00BB65AD" w:rsidRDefault="00FF7B7E" w:rsidP="002D2E50">
            <w:pPr>
              <w:rPr>
                <w:lang w:val="el-GR"/>
              </w:rPr>
            </w:pPr>
            <w:r w:rsidRPr="00BB65AD">
              <w:t>Belgium</w:t>
            </w:r>
          </w:p>
        </w:tc>
        <w:tc>
          <w:tcPr>
            <w:tcW w:w="2180"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Ireland</w:t>
            </w:r>
          </w:p>
        </w:tc>
        <w:tc>
          <w:tcPr>
            <w:tcW w:w="1442"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Greece</w:t>
            </w:r>
          </w:p>
        </w:tc>
      </w:tr>
      <w:tr w:rsidR="00FF7B7E" w:rsidRPr="00BB65AD" w:rsidTr="002D2E50">
        <w:trPr>
          <w:trHeight w:val="300"/>
        </w:trPr>
        <w:tc>
          <w:tcPr>
            <w:tcW w:w="2180"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Germany</w:t>
            </w:r>
          </w:p>
        </w:tc>
        <w:tc>
          <w:tcPr>
            <w:tcW w:w="2180"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Netherlands</w:t>
            </w:r>
          </w:p>
        </w:tc>
        <w:tc>
          <w:tcPr>
            <w:tcW w:w="2180" w:type="dxa"/>
            <w:tcBorders>
              <w:top w:val="nil"/>
              <w:left w:val="nil"/>
              <w:bottom w:val="nil"/>
              <w:right w:val="nil"/>
            </w:tcBorders>
            <w:shd w:val="clear" w:color="auto" w:fill="auto"/>
            <w:noWrap/>
            <w:vAlign w:val="bottom"/>
            <w:hideMark/>
          </w:tcPr>
          <w:p w:rsidR="00FF7B7E" w:rsidRPr="00BB65AD" w:rsidRDefault="00FF7B7E" w:rsidP="002D2E50">
            <w:pPr>
              <w:rPr>
                <w:lang w:val="el-GR"/>
              </w:rPr>
            </w:pPr>
          </w:p>
        </w:tc>
        <w:tc>
          <w:tcPr>
            <w:tcW w:w="1442"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Luxembourg</w:t>
            </w:r>
          </w:p>
        </w:tc>
      </w:tr>
      <w:tr w:rsidR="00FF7B7E" w:rsidRPr="00BB65AD" w:rsidTr="002D2E50">
        <w:trPr>
          <w:trHeight w:val="300"/>
        </w:trPr>
        <w:tc>
          <w:tcPr>
            <w:tcW w:w="2180"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Italy</w:t>
            </w:r>
          </w:p>
        </w:tc>
        <w:tc>
          <w:tcPr>
            <w:tcW w:w="2180" w:type="dxa"/>
            <w:tcBorders>
              <w:top w:val="nil"/>
              <w:left w:val="nil"/>
              <w:bottom w:val="nil"/>
              <w:right w:val="nil"/>
            </w:tcBorders>
            <w:shd w:val="clear" w:color="auto" w:fill="auto"/>
            <w:noWrap/>
            <w:vAlign w:val="center"/>
            <w:hideMark/>
          </w:tcPr>
          <w:p w:rsidR="00FF7B7E" w:rsidRPr="00BB65AD" w:rsidRDefault="00FF7B7E" w:rsidP="002D2E50">
            <w:pPr>
              <w:rPr>
                <w:lang w:val="el-GR"/>
              </w:rPr>
            </w:pPr>
            <w:r w:rsidRPr="00BB65AD">
              <w:t>Denmark</w:t>
            </w:r>
          </w:p>
        </w:tc>
        <w:tc>
          <w:tcPr>
            <w:tcW w:w="2180" w:type="dxa"/>
            <w:tcBorders>
              <w:top w:val="nil"/>
              <w:left w:val="nil"/>
              <w:bottom w:val="nil"/>
              <w:right w:val="nil"/>
            </w:tcBorders>
            <w:shd w:val="clear" w:color="auto" w:fill="auto"/>
            <w:noWrap/>
            <w:vAlign w:val="bottom"/>
            <w:hideMark/>
          </w:tcPr>
          <w:p w:rsidR="00FF7B7E" w:rsidRPr="00BB65AD" w:rsidRDefault="00FF7B7E" w:rsidP="002D2E50">
            <w:pPr>
              <w:rPr>
                <w:lang w:val="el-GR"/>
              </w:rPr>
            </w:pPr>
          </w:p>
        </w:tc>
        <w:tc>
          <w:tcPr>
            <w:tcW w:w="1442"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Malta</w:t>
            </w:r>
          </w:p>
        </w:tc>
      </w:tr>
      <w:tr w:rsidR="00FF7B7E" w:rsidRPr="00BB65AD" w:rsidTr="002D2E50">
        <w:trPr>
          <w:trHeight w:val="300"/>
        </w:trPr>
        <w:tc>
          <w:tcPr>
            <w:tcW w:w="2180" w:type="dxa"/>
            <w:tcBorders>
              <w:top w:val="nil"/>
              <w:left w:val="nil"/>
              <w:bottom w:val="nil"/>
              <w:right w:val="nil"/>
            </w:tcBorders>
            <w:shd w:val="clear" w:color="auto" w:fill="auto"/>
            <w:noWrap/>
            <w:vAlign w:val="bottom"/>
            <w:hideMark/>
          </w:tcPr>
          <w:p w:rsidR="00FF7B7E" w:rsidRPr="00BB65AD" w:rsidRDefault="00FF7B7E" w:rsidP="002D2E50">
            <w:pPr>
              <w:rPr>
                <w:lang w:val="el-GR"/>
              </w:rPr>
            </w:pPr>
          </w:p>
        </w:tc>
        <w:tc>
          <w:tcPr>
            <w:tcW w:w="2180"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Sweden</w:t>
            </w:r>
          </w:p>
        </w:tc>
        <w:tc>
          <w:tcPr>
            <w:tcW w:w="2180" w:type="dxa"/>
            <w:tcBorders>
              <w:top w:val="nil"/>
              <w:left w:val="nil"/>
              <w:bottom w:val="nil"/>
              <w:right w:val="nil"/>
            </w:tcBorders>
            <w:shd w:val="clear" w:color="auto" w:fill="auto"/>
            <w:vAlign w:val="center"/>
            <w:hideMark/>
          </w:tcPr>
          <w:p w:rsidR="00FF7B7E" w:rsidRPr="00BB65AD" w:rsidRDefault="00FF7B7E" w:rsidP="002D2E50">
            <w:pPr>
              <w:rPr>
                <w:lang w:val="el-GR"/>
              </w:rPr>
            </w:pPr>
          </w:p>
        </w:tc>
        <w:tc>
          <w:tcPr>
            <w:tcW w:w="1442"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Portugal</w:t>
            </w:r>
          </w:p>
        </w:tc>
      </w:tr>
      <w:tr w:rsidR="00FF7B7E" w:rsidRPr="00BB65AD" w:rsidTr="002D2E50">
        <w:trPr>
          <w:trHeight w:val="300"/>
        </w:trPr>
        <w:tc>
          <w:tcPr>
            <w:tcW w:w="2180" w:type="dxa"/>
            <w:tcBorders>
              <w:top w:val="nil"/>
              <w:left w:val="nil"/>
              <w:bottom w:val="single" w:sz="4" w:space="0" w:color="auto"/>
              <w:right w:val="nil"/>
            </w:tcBorders>
            <w:shd w:val="clear" w:color="auto" w:fill="auto"/>
            <w:noWrap/>
            <w:vAlign w:val="bottom"/>
            <w:hideMark/>
          </w:tcPr>
          <w:p w:rsidR="00FF7B7E" w:rsidRPr="00BB65AD" w:rsidRDefault="00FF7B7E" w:rsidP="002D2E50">
            <w:pPr>
              <w:rPr>
                <w:lang w:val="el-GR"/>
              </w:rPr>
            </w:pPr>
            <w:r w:rsidRPr="00BB65AD">
              <w:rPr>
                <w:lang w:val="el-GR"/>
              </w:rPr>
              <w:t> </w:t>
            </w:r>
          </w:p>
        </w:tc>
        <w:tc>
          <w:tcPr>
            <w:tcW w:w="2180" w:type="dxa"/>
            <w:tcBorders>
              <w:top w:val="nil"/>
              <w:left w:val="nil"/>
              <w:bottom w:val="single" w:sz="4" w:space="0" w:color="auto"/>
              <w:right w:val="nil"/>
            </w:tcBorders>
            <w:shd w:val="clear" w:color="auto" w:fill="auto"/>
            <w:noWrap/>
            <w:vAlign w:val="bottom"/>
            <w:hideMark/>
          </w:tcPr>
          <w:p w:rsidR="00FF7B7E" w:rsidRPr="00BB65AD" w:rsidRDefault="00FF7B7E" w:rsidP="002D2E50">
            <w:pPr>
              <w:rPr>
                <w:lang w:val="el-GR"/>
              </w:rPr>
            </w:pPr>
            <w:r w:rsidRPr="00BB65AD">
              <w:rPr>
                <w:lang w:val="el-GR"/>
              </w:rPr>
              <w:t> </w:t>
            </w:r>
          </w:p>
        </w:tc>
        <w:tc>
          <w:tcPr>
            <w:tcW w:w="2180" w:type="dxa"/>
            <w:tcBorders>
              <w:top w:val="nil"/>
              <w:left w:val="nil"/>
              <w:bottom w:val="single" w:sz="4" w:space="0" w:color="auto"/>
              <w:right w:val="nil"/>
            </w:tcBorders>
            <w:shd w:val="clear" w:color="auto" w:fill="auto"/>
            <w:noWrap/>
            <w:vAlign w:val="bottom"/>
            <w:hideMark/>
          </w:tcPr>
          <w:p w:rsidR="00FF7B7E" w:rsidRPr="00BB65AD" w:rsidRDefault="00FF7B7E" w:rsidP="002D2E50">
            <w:pPr>
              <w:rPr>
                <w:lang w:val="el-GR"/>
              </w:rPr>
            </w:pPr>
            <w:r w:rsidRPr="00BB65AD">
              <w:rPr>
                <w:lang w:val="el-GR"/>
              </w:rPr>
              <w:t> </w:t>
            </w:r>
          </w:p>
        </w:tc>
        <w:tc>
          <w:tcPr>
            <w:tcW w:w="1442" w:type="dxa"/>
            <w:tcBorders>
              <w:top w:val="nil"/>
              <w:left w:val="nil"/>
              <w:bottom w:val="single" w:sz="4" w:space="0" w:color="auto"/>
              <w:right w:val="nil"/>
            </w:tcBorders>
            <w:shd w:val="clear" w:color="auto" w:fill="auto"/>
            <w:vAlign w:val="center"/>
            <w:hideMark/>
          </w:tcPr>
          <w:p w:rsidR="00FF7B7E" w:rsidRPr="00BB65AD" w:rsidRDefault="00FF7B7E" w:rsidP="002D2E50">
            <w:pPr>
              <w:rPr>
                <w:lang w:val="el-GR"/>
              </w:rPr>
            </w:pPr>
            <w:r w:rsidRPr="00BB65AD">
              <w:t>Spain</w:t>
            </w:r>
          </w:p>
        </w:tc>
      </w:tr>
    </w:tbl>
    <w:p w:rsidR="00FF7B7E" w:rsidRPr="00BB65AD" w:rsidRDefault="00FF7B7E" w:rsidP="00FF7B7E">
      <w:r w:rsidRPr="00BB65AD">
        <w:t xml:space="preserve"> </w:t>
      </w:r>
    </w:p>
    <w:p w:rsidR="00914A07" w:rsidRDefault="00914A07" w:rsidP="001A667B">
      <w:pPr>
        <w:spacing w:line="360" w:lineRule="auto"/>
        <w:jc w:val="both"/>
        <w:rPr>
          <w:rFonts w:ascii="Calibri" w:eastAsia="Calibri" w:hAnsi="Calibri" w:cs="Arial"/>
        </w:rPr>
      </w:pPr>
      <w:r>
        <w:rPr>
          <w:rFonts w:ascii="Calibri" w:eastAsia="Calibri" w:hAnsi="Calibri" w:cs="Arial"/>
        </w:rPr>
        <w:t>The variables chosen as indicative of family</w:t>
      </w:r>
      <w:r w:rsidR="008C2A54">
        <w:rPr>
          <w:rStyle w:val="EndnoteReference"/>
          <w:rFonts w:ascii="Calibri" w:eastAsia="Calibri" w:hAnsi="Calibri" w:cs="Arial"/>
        </w:rPr>
        <w:endnoteReference w:id="2"/>
      </w:r>
      <w:r>
        <w:rPr>
          <w:rFonts w:ascii="Calibri" w:eastAsia="Calibri" w:hAnsi="Calibri" w:cs="Arial"/>
        </w:rPr>
        <w:t xml:space="preserve"> were People per Household and Age of Leaving Home, for men and women (all from Eurostat, </w:t>
      </w:r>
      <w:hyperlink r:id="rId8" w:history="1">
        <w:r w:rsidRPr="004E53C9">
          <w:rPr>
            <w:rStyle w:val="Hyperlink"/>
            <w:rFonts w:ascii="Calibri" w:eastAsia="Calibri" w:hAnsi="Calibri" w:cs="Arial"/>
          </w:rPr>
          <w:t>www.eurostat.eu</w:t>
        </w:r>
      </w:hyperlink>
      <w:r>
        <w:rPr>
          <w:rFonts w:ascii="Calibri" w:eastAsia="Calibri" w:hAnsi="Calibri" w:cs="Arial"/>
        </w:rPr>
        <w:t>).</w:t>
      </w:r>
      <w:r w:rsidR="006F4D8E">
        <w:rPr>
          <w:rFonts w:ascii="Calibri" w:eastAsia="Calibri" w:hAnsi="Calibri" w:cs="Arial"/>
        </w:rPr>
        <w:t xml:space="preserve"> The values of each of these variables should increase as the importance of family in society increases. </w:t>
      </w:r>
    </w:p>
    <w:p w:rsidR="00914A07" w:rsidRDefault="00914A07" w:rsidP="0064051C">
      <w:pPr>
        <w:spacing w:line="360" w:lineRule="auto"/>
        <w:jc w:val="both"/>
        <w:rPr>
          <w:rFonts w:ascii="Calibri" w:eastAsia="Calibri" w:hAnsi="Calibri" w:cs="Arial"/>
        </w:rPr>
      </w:pPr>
      <w:r>
        <w:rPr>
          <w:rFonts w:ascii="Calibri" w:eastAsia="Calibri" w:hAnsi="Calibri" w:cs="Arial"/>
        </w:rPr>
        <w:t xml:space="preserve">For state vs market the variables chosen were </w:t>
      </w:r>
      <w:r w:rsidR="00BB0B99" w:rsidRPr="00BB0B99">
        <w:rPr>
          <w:rFonts w:ascii="Calibri" w:eastAsia="Calibri" w:hAnsi="Calibri" w:cs="Arial"/>
        </w:rPr>
        <w:t>Expen</w:t>
      </w:r>
      <w:r w:rsidR="00BB0B99">
        <w:rPr>
          <w:rFonts w:ascii="Calibri" w:eastAsia="Calibri" w:hAnsi="Calibri" w:cs="Arial"/>
        </w:rPr>
        <w:t>diture on Social Protection as a percentage</w:t>
      </w:r>
      <w:r w:rsidR="00BB0B99" w:rsidRPr="00BB0B99">
        <w:rPr>
          <w:rFonts w:ascii="Calibri" w:eastAsia="Calibri" w:hAnsi="Calibri" w:cs="Arial"/>
        </w:rPr>
        <w:t xml:space="preserve"> of GDP</w:t>
      </w:r>
      <w:r w:rsidR="0064051C">
        <w:rPr>
          <w:rFonts w:ascii="Calibri" w:eastAsia="Calibri" w:hAnsi="Calibri" w:cs="Arial"/>
        </w:rPr>
        <w:t xml:space="preserve"> (ESP</w:t>
      </w:r>
      <w:r w:rsidR="00592760">
        <w:rPr>
          <w:rFonts w:ascii="Calibri" w:eastAsia="Calibri" w:hAnsi="Calibri" w:cs="Arial"/>
        </w:rPr>
        <w:t>/GDP</w:t>
      </w:r>
      <w:r w:rsidR="0064051C">
        <w:rPr>
          <w:rFonts w:ascii="Calibri" w:eastAsia="Calibri" w:hAnsi="Calibri" w:cs="Arial"/>
        </w:rPr>
        <w:t>)</w:t>
      </w:r>
      <w:r>
        <w:rPr>
          <w:rFonts w:ascii="Calibri" w:eastAsia="Calibri" w:hAnsi="Calibri" w:cs="Arial"/>
        </w:rPr>
        <w:t xml:space="preserve">, and General Government </w:t>
      </w:r>
      <w:r w:rsidR="00BB0B99">
        <w:rPr>
          <w:rFonts w:ascii="Calibri" w:eastAsia="Calibri" w:hAnsi="Calibri" w:cs="Arial"/>
        </w:rPr>
        <w:t>C</w:t>
      </w:r>
      <w:r w:rsidR="00BB0B99" w:rsidRPr="00BB0B99">
        <w:rPr>
          <w:rFonts w:ascii="Calibri" w:eastAsia="Calibri" w:hAnsi="Calibri" w:cs="Arial"/>
        </w:rPr>
        <w:t xml:space="preserve">ontributions to </w:t>
      </w:r>
      <w:r w:rsidR="00BB0B99">
        <w:rPr>
          <w:rFonts w:ascii="Calibri" w:eastAsia="Calibri" w:hAnsi="Calibri" w:cs="Arial"/>
        </w:rPr>
        <w:t>R</w:t>
      </w:r>
      <w:r w:rsidR="00BB0B99" w:rsidRPr="00BB0B99">
        <w:rPr>
          <w:rFonts w:ascii="Calibri" w:eastAsia="Calibri" w:hAnsi="Calibri" w:cs="Arial"/>
        </w:rPr>
        <w:t xml:space="preserve">eceipts of </w:t>
      </w:r>
      <w:r w:rsidR="00BB0B99">
        <w:rPr>
          <w:rFonts w:ascii="Calibri" w:eastAsia="Calibri" w:hAnsi="Calibri" w:cs="Arial"/>
        </w:rPr>
        <w:t>Social P</w:t>
      </w:r>
      <w:r w:rsidR="00BB0B99" w:rsidRPr="00BB0B99">
        <w:rPr>
          <w:rFonts w:ascii="Calibri" w:eastAsia="Calibri" w:hAnsi="Calibri" w:cs="Arial"/>
        </w:rPr>
        <w:t xml:space="preserve">rotection </w:t>
      </w:r>
      <w:r w:rsidR="00BB0B99">
        <w:rPr>
          <w:rFonts w:ascii="Calibri" w:eastAsia="Calibri" w:hAnsi="Calibri" w:cs="Arial"/>
        </w:rPr>
        <w:t>S</w:t>
      </w:r>
      <w:r w:rsidR="00BB0B99" w:rsidRPr="00BB0B99">
        <w:rPr>
          <w:rFonts w:ascii="Calibri" w:eastAsia="Calibri" w:hAnsi="Calibri" w:cs="Arial"/>
        </w:rPr>
        <w:t xml:space="preserve">chemes </w:t>
      </w:r>
      <w:r>
        <w:rPr>
          <w:rFonts w:ascii="Calibri" w:eastAsia="Calibri" w:hAnsi="Calibri" w:cs="Arial"/>
        </w:rPr>
        <w:t xml:space="preserve">as a percentage of GDP </w:t>
      </w:r>
      <w:r w:rsidR="0064051C">
        <w:rPr>
          <w:rFonts w:ascii="Calibri" w:eastAsia="Calibri" w:hAnsi="Calibri" w:cs="Arial"/>
        </w:rPr>
        <w:t>(GGC</w:t>
      </w:r>
      <w:r w:rsidR="00592760">
        <w:rPr>
          <w:rFonts w:ascii="Calibri" w:eastAsia="Calibri" w:hAnsi="Calibri" w:cs="Arial"/>
        </w:rPr>
        <w:t>/GDP</w:t>
      </w:r>
      <w:r w:rsidR="0064051C">
        <w:rPr>
          <w:rFonts w:ascii="Calibri" w:eastAsia="Calibri" w:hAnsi="Calibri" w:cs="Arial"/>
        </w:rPr>
        <w:t>)</w:t>
      </w:r>
      <w:r w:rsidR="0064051C">
        <w:rPr>
          <w:rStyle w:val="EndnoteReference"/>
          <w:rFonts w:ascii="Calibri" w:eastAsia="Calibri" w:hAnsi="Calibri" w:cs="Arial"/>
        </w:rPr>
        <w:endnoteReference w:id="3"/>
      </w:r>
      <w:r w:rsidR="0064051C">
        <w:rPr>
          <w:rFonts w:ascii="Calibri" w:eastAsia="Calibri" w:hAnsi="Calibri" w:cs="Arial"/>
        </w:rPr>
        <w:t xml:space="preserve"> </w:t>
      </w:r>
      <w:r>
        <w:rPr>
          <w:rFonts w:ascii="Calibri" w:eastAsia="Calibri" w:hAnsi="Calibri" w:cs="Arial"/>
        </w:rPr>
        <w:t xml:space="preserve">(from Eurostat).  The logic is that the greater the values of these variables, the greater the importance of the state in the provision of welfare.  </w:t>
      </w:r>
    </w:p>
    <w:p w:rsidR="00D67C65" w:rsidRDefault="00914A07" w:rsidP="00B76026">
      <w:pPr>
        <w:spacing w:line="360" w:lineRule="auto"/>
        <w:jc w:val="both"/>
        <w:rPr>
          <w:rFonts w:ascii="Calibri" w:eastAsia="Calibri" w:hAnsi="Calibri" w:cs="Arial"/>
        </w:rPr>
      </w:pPr>
      <w:r>
        <w:rPr>
          <w:rFonts w:ascii="Calibri" w:eastAsia="Calibri" w:hAnsi="Calibri" w:cs="Arial"/>
        </w:rPr>
        <w:t>In relation to religion, no data are gathered or presented by Eurostat.  There are other sources, including the World Values Survey (</w:t>
      </w:r>
      <w:hyperlink r:id="rId9" w:history="1">
        <w:r w:rsidRPr="004E53C9">
          <w:rPr>
            <w:rStyle w:val="Hyperlink"/>
            <w:rFonts w:ascii="Calibri" w:eastAsia="Calibri" w:hAnsi="Calibri" w:cs="Arial"/>
          </w:rPr>
          <w:t>www.worldvaluessurvey.org</w:t>
        </w:r>
      </w:hyperlink>
      <w:r>
        <w:rPr>
          <w:rFonts w:ascii="Calibri" w:eastAsia="Calibri" w:hAnsi="Calibri" w:cs="Arial"/>
        </w:rPr>
        <w:t xml:space="preserve">) and the European Social </w:t>
      </w:r>
      <w:r w:rsidR="00CD26C3">
        <w:rPr>
          <w:rFonts w:ascii="Calibri" w:eastAsia="Calibri" w:hAnsi="Calibri" w:cs="Arial"/>
        </w:rPr>
        <w:t xml:space="preserve">Survey </w:t>
      </w:r>
      <w:r>
        <w:rPr>
          <w:rFonts w:ascii="Calibri" w:eastAsia="Calibri" w:hAnsi="Calibri" w:cs="Arial"/>
        </w:rPr>
        <w:t>(</w:t>
      </w:r>
      <w:hyperlink r:id="rId10" w:history="1">
        <w:r w:rsidRPr="004E53C9">
          <w:rPr>
            <w:rStyle w:val="Hyperlink"/>
            <w:rFonts w:ascii="Calibri" w:eastAsia="Calibri" w:hAnsi="Calibri" w:cs="Arial"/>
          </w:rPr>
          <w:t>www.europeansocialsurvey.org</w:t>
        </w:r>
      </w:hyperlink>
      <w:r>
        <w:rPr>
          <w:rFonts w:ascii="Calibri" w:eastAsia="Calibri" w:hAnsi="Calibri" w:cs="Arial"/>
        </w:rPr>
        <w:t xml:space="preserve">). Unfortunately data could not be obtained from either of these sources that were complete for all our countries or reasonably up to date. </w:t>
      </w:r>
      <w:r w:rsidR="00D90800">
        <w:rPr>
          <w:rFonts w:ascii="Calibri" w:eastAsia="Calibri" w:hAnsi="Calibri" w:cs="Arial"/>
        </w:rPr>
        <w:t>ESS data on Frequency of Attendance at Religious Services were used, with f</w:t>
      </w:r>
      <w:r w:rsidR="00D67C65">
        <w:rPr>
          <w:rFonts w:ascii="Calibri" w:eastAsia="Calibri" w:hAnsi="Calibri" w:cs="Arial"/>
        </w:rPr>
        <w:t>igures for missing countries imputed using data for other years.</w:t>
      </w:r>
      <w:r>
        <w:rPr>
          <w:rFonts w:ascii="Calibri" w:eastAsia="Calibri" w:hAnsi="Calibri" w:cs="Arial"/>
        </w:rPr>
        <w:t xml:space="preserve"> </w:t>
      </w:r>
    </w:p>
    <w:p w:rsidR="00914A07" w:rsidRDefault="00914A07" w:rsidP="00624FA3">
      <w:pPr>
        <w:spacing w:line="360" w:lineRule="auto"/>
        <w:jc w:val="both"/>
        <w:rPr>
          <w:rFonts w:ascii="Calibri" w:eastAsia="Calibri" w:hAnsi="Calibri" w:cs="Arial"/>
        </w:rPr>
      </w:pPr>
      <w:r>
        <w:rPr>
          <w:rFonts w:ascii="Calibri" w:eastAsia="Calibri" w:hAnsi="Calibri" w:cs="Arial"/>
        </w:rPr>
        <w:t xml:space="preserve">On clientelism, too, data are not available from Eurostat.  Clientelism is in general difficult to measure, but the </w:t>
      </w:r>
      <w:r w:rsidRPr="00897156">
        <w:rPr>
          <w:rFonts w:ascii="Calibri" w:eastAsia="Calibri" w:hAnsi="Calibri" w:cs="Arial"/>
          <w:i/>
          <w:iCs/>
        </w:rPr>
        <w:t>Eurobarometer Corruption Report</w:t>
      </w:r>
      <w:r>
        <w:rPr>
          <w:rFonts w:ascii="Calibri" w:eastAsia="Calibri" w:hAnsi="Calibri" w:cs="Arial"/>
          <w:i/>
          <w:iCs/>
        </w:rPr>
        <w:t xml:space="preserve"> </w:t>
      </w:r>
      <w:r w:rsidR="00B633E8">
        <w:rPr>
          <w:rFonts w:ascii="Calibri" w:eastAsia="Calibri" w:hAnsi="Calibri" w:cs="Arial"/>
        </w:rPr>
        <w:t>(2011</w:t>
      </w:r>
      <w:r w:rsidR="00CD26C3">
        <w:rPr>
          <w:rFonts w:ascii="Calibri" w:eastAsia="Calibri" w:hAnsi="Calibri" w:cs="Arial"/>
        </w:rPr>
        <w:t>) provides</w:t>
      </w:r>
      <w:r>
        <w:rPr>
          <w:rFonts w:ascii="Calibri" w:eastAsia="Calibri" w:hAnsi="Calibri" w:cs="Arial"/>
        </w:rPr>
        <w:t xml:space="preserve"> data on the extent to which corruption is believed to exist, in general in each country, and in business, </w:t>
      </w:r>
      <w:r w:rsidR="00CD26C3">
        <w:rPr>
          <w:rFonts w:ascii="Calibri" w:eastAsia="Calibri" w:hAnsi="Calibri" w:cs="Arial"/>
        </w:rPr>
        <w:t xml:space="preserve">and this </w:t>
      </w:r>
      <w:r>
        <w:rPr>
          <w:rFonts w:ascii="Calibri" w:eastAsia="Calibri" w:hAnsi="Calibri" w:cs="Arial"/>
        </w:rPr>
        <w:t xml:space="preserve">is a reasonable proxy for clientelism.  </w:t>
      </w:r>
      <w:r w:rsidR="003B79A1">
        <w:rPr>
          <w:rFonts w:ascii="Calibri" w:eastAsia="Calibri" w:hAnsi="Calibri" w:cs="Arial"/>
        </w:rPr>
        <w:t xml:space="preserve">Support for perception of corruption as a proxy for clientelism is provided by Singer (2009).  He demonstrates that if clientelism is the provision by politicians of goods or services in return for political support, and if corruption </w:t>
      </w:r>
      <w:r w:rsidR="00624FA3">
        <w:rPr>
          <w:rFonts w:ascii="Calibri" w:eastAsia="Calibri" w:hAnsi="Calibri" w:cs="Arial"/>
        </w:rPr>
        <w:t>is the exploitation of public office for private gain, then, using data for 88 countries, “</w:t>
      </w:r>
      <w:r w:rsidR="00624FA3" w:rsidRPr="00624FA3">
        <w:rPr>
          <w:rFonts w:ascii="Calibri" w:eastAsia="Calibri" w:hAnsi="Calibri" w:cs="Arial"/>
        </w:rPr>
        <w:t>clientelism is</w:t>
      </w:r>
      <w:r w:rsidR="00624FA3">
        <w:rPr>
          <w:rFonts w:ascii="Calibri" w:eastAsia="Calibri" w:hAnsi="Calibri" w:cs="Arial"/>
        </w:rPr>
        <w:t>…</w:t>
      </w:r>
      <w:r w:rsidR="00624FA3" w:rsidRPr="00624FA3">
        <w:rPr>
          <w:rFonts w:ascii="Calibri" w:eastAsia="Calibri" w:hAnsi="Calibri" w:cs="Arial"/>
        </w:rPr>
        <w:t xml:space="preserve"> associated </w:t>
      </w:r>
      <w:r w:rsidR="00624FA3">
        <w:rPr>
          <w:rFonts w:ascii="Calibri" w:eastAsia="Calibri" w:hAnsi="Calibri" w:cs="Arial"/>
        </w:rPr>
        <w:t xml:space="preserve">[among other things] </w:t>
      </w:r>
      <w:r w:rsidR="00624FA3" w:rsidRPr="00624FA3">
        <w:rPr>
          <w:rFonts w:ascii="Calibri" w:eastAsia="Calibri" w:hAnsi="Calibri" w:cs="Arial"/>
        </w:rPr>
        <w:t>with the level of corruption experienced</w:t>
      </w:r>
      <w:r w:rsidR="00624FA3">
        <w:rPr>
          <w:rFonts w:ascii="Calibri" w:eastAsia="Calibri" w:hAnsi="Calibri" w:cs="Arial"/>
        </w:rPr>
        <w:t xml:space="preserve"> </w:t>
      </w:r>
      <w:r w:rsidR="00624FA3" w:rsidRPr="00624FA3">
        <w:rPr>
          <w:rFonts w:ascii="Calibri" w:eastAsia="Calibri" w:hAnsi="Calibri" w:cs="Arial"/>
        </w:rPr>
        <w:t xml:space="preserve">by businesses in their interactions with government officials who set policy </w:t>
      </w:r>
      <w:r w:rsidR="00624FA3" w:rsidRPr="00624FA3">
        <w:rPr>
          <w:rFonts w:ascii="Calibri" w:eastAsia="Calibri" w:hAnsi="Calibri" w:cs="Arial"/>
        </w:rPr>
        <w:lastRenderedPageBreak/>
        <w:t>and distribute</w:t>
      </w:r>
      <w:r w:rsidR="00624FA3">
        <w:rPr>
          <w:rFonts w:ascii="Calibri" w:eastAsia="Calibri" w:hAnsi="Calibri" w:cs="Arial"/>
        </w:rPr>
        <w:t xml:space="preserve"> </w:t>
      </w:r>
      <w:r w:rsidR="00624FA3" w:rsidRPr="00624FA3">
        <w:rPr>
          <w:rFonts w:ascii="Calibri" w:eastAsia="Calibri" w:hAnsi="Calibri" w:cs="Arial"/>
        </w:rPr>
        <w:t>contracts</w:t>
      </w:r>
      <w:r w:rsidR="00624FA3">
        <w:rPr>
          <w:rFonts w:ascii="Calibri" w:eastAsia="Calibri" w:hAnsi="Calibri" w:cs="Arial"/>
        </w:rPr>
        <w:t xml:space="preserve">” (p.1). Others using and justifying perception of corruption as a proxy for clientelism include Treisman (2007) and Keefer (2007).  </w:t>
      </w:r>
    </w:p>
    <w:p w:rsidR="00914A07" w:rsidRDefault="00914A07" w:rsidP="001A667B">
      <w:pPr>
        <w:spacing w:line="360" w:lineRule="auto"/>
        <w:jc w:val="both"/>
        <w:rPr>
          <w:rFonts w:ascii="Calibri" w:eastAsia="Calibri" w:hAnsi="Calibri" w:cs="Arial"/>
        </w:rPr>
      </w:pPr>
      <w:r>
        <w:rPr>
          <w:rFonts w:ascii="Calibri" w:eastAsia="Calibri" w:hAnsi="Calibri" w:cs="Arial"/>
        </w:rPr>
        <w:t xml:space="preserve">For </w:t>
      </w:r>
      <w:r w:rsidR="00EC1D1C">
        <w:rPr>
          <w:rFonts w:ascii="Calibri" w:eastAsia="Calibri" w:hAnsi="Calibri" w:cs="Arial"/>
        </w:rPr>
        <w:t>most</w:t>
      </w:r>
      <w:r>
        <w:rPr>
          <w:rFonts w:ascii="Calibri" w:eastAsia="Calibri" w:hAnsi="Calibri" w:cs="Arial"/>
        </w:rPr>
        <w:t xml:space="preserve"> variables </w:t>
      </w:r>
      <w:r w:rsidR="00416FE3">
        <w:rPr>
          <w:rFonts w:ascii="Calibri" w:eastAsia="Calibri" w:hAnsi="Calibri" w:cs="Arial"/>
        </w:rPr>
        <w:t xml:space="preserve">the </w:t>
      </w:r>
      <w:r>
        <w:rPr>
          <w:rFonts w:ascii="Calibri" w:eastAsia="Calibri" w:hAnsi="Calibri" w:cs="Arial"/>
        </w:rPr>
        <w:t xml:space="preserve">most recent </w:t>
      </w:r>
      <w:r w:rsidR="00806506">
        <w:rPr>
          <w:rFonts w:ascii="Calibri" w:eastAsia="Calibri" w:hAnsi="Calibri" w:cs="Arial"/>
        </w:rPr>
        <w:t>year</w:t>
      </w:r>
      <w:r>
        <w:rPr>
          <w:rFonts w:ascii="Calibri" w:eastAsia="Calibri" w:hAnsi="Calibri" w:cs="Arial"/>
        </w:rPr>
        <w:t xml:space="preserve"> available</w:t>
      </w:r>
      <w:r w:rsidR="00806506">
        <w:rPr>
          <w:rFonts w:ascii="Calibri" w:eastAsia="Calibri" w:hAnsi="Calibri" w:cs="Arial"/>
        </w:rPr>
        <w:t xml:space="preserve"> is</w:t>
      </w:r>
      <w:r>
        <w:rPr>
          <w:rFonts w:ascii="Calibri" w:eastAsia="Calibri" w:hAnsi="Calibri" w:cs="Arial"/>
        </w:rPr>
        <w:t xml:space="preserve"> </w:t>
      </w:r>
      <w:r w:rsidR="001A667B">
        <w:rPr>
          <w:rFonts w:ascii="Calibri" w:eastAsia="Calibri" w:hAnsi="Calibri" w:cs="Arial"/>
        </w:rPr>
        <w:t xml:space="preserve">2010 or </w:t>
      </w:r>
      <w:r>
        <w:rPr>
          <w:rFonts w:ascii="Calibri" w:eastAsia="Calibri" w:hAnsi="Calibri" w:cs="Arial"/>
        </w:rPr>
        <w:t xml:space="preserve">2011.  </w:t>
      </w:r>
      <w:r w:rsidR="00806506">
        <w:rPr>
          <w:rFonts w:ascii="Calibri" w:eastAsia="Calibri" w:hAnsi="Calibri" w:cs="Arial"/>
        </w:rPr>
        <w:t xml:space="preserve">For Age Leaving Home, because of changes in definitions the most recent year available is 2007.  </w:t>
      </w:r>
      <w:r>
        <w:rPr>
          <w:rFonts w:ascii="Calibri" w:eastAsia="Calibri" w:hAnsi="Calibri" w:cs="Arial"/>
        </w:rPr>
        <w:t>Table 2 provides a summary of the dimensions, variables and sources.</w:t>
      </w:r>
    </w:p>
    <w:p w:rsidR="00FF7B7E" w:rsidRPr="00BB65AD" w:rsidRDefault="00FF7B7E" w:rsidP="00FF7B7E">
      <w:pPr>
        <w:rPr>
          <w:b/>
          <w:bCs/>
        </w:rPr>
      </w:pPr>
      <w:r w:rsidRPr="00BB65AD">
        <w:rPr>
          <w:b/>
          <w:bCs/>
        </w:rPr>
        <w:t>Table 2: Dimensions, variables and sources</w:t>
      </w:r>
    </w:p>
    <w:tbl>
      <w:tblPr>
        <w:tblW w:w="8970" w:type="dxa"/>
        <w:tblInd w:w="93" w:type="dxa"/>
        <w:tblLook w:val="04A0" w:firstRow="1" w:lastRow="0" w:firstColumn="1" w:lastColumn="0" w:noHBand="0" w:noVBand="1"/>
      </w:tblPr>
      <w:tblGrid>
        <w:gridCol w:w="1206"/>
        <w:gridCol w:w="5071"/>
        <w:gridCol w:w="1591"/>
        <w:gridCol w:w="1102"/>
      </w:tblGrid>
      <w:tr w:rsidR="00FF7B7E" w:rsidRPr="00BB65AD" w:rsidTr="002D2E50">
        <w:trPr>
          <w:trHeight w:val="300"/>
        </w:trPr>
        <w:tc>
          <w:tcPr>
            <w:tcW w:w="1206" w:type="dxa"/>
            <w:tcBorders>
              <w:top w:val="single" w:sz="4" w:space="0" w:color="auto"/>
              <w:left w:val="nil"/>
              <w:bottom w:val="single" w:sz="4" w:space="0" w:color="auto"/>
              <w:right w:val="nil"/>
            </w:tcBorders>
            <w:shd w:val="clear" w:color="auto" w:fill="auto"/>
            <w:vAlign w:val="center"/>
            <w:hideMark/>
          </w:tcPr>
          <w:p w:rsidR="00FF7B7E" w:rsidRPr="00BB65AD" w:rsidRDefault="00FF7B7E" w:rsidP="00FF7B7E">
            <w:pPr>
              <w:spacing w:line="240" w:lineRule="auto"/>
              <w:rPr>
                <w:b/>
                <w:bCs/>
                <w:i/>
                <w:iCs/>
                <w:lang w:val="el-GR"/>
              </w:rPr>
            </w:pPr>
            <w:r w:rsidRPr="00BB65AD">
              <w:rPr>
                <w:b/>
                <w:bCs/>
                <w:i/>
                <w:iCs/>
              </w:rPr>
              <w:t>Dimension</w:t>
            </w:r>
          </w:p>
        </w:tc>
        <w:tc>
          <w:tcPr>
            <w:tcW w:w="5071" w:type="dxa"/>
            <w:tcBorders>
              <w:top w:val="single" w:sz="4" w:space="0" w:color="auto"/>
              <w:left w:val="nil"/>
              <w:bottom w:val="single" w:sz="4" w:space="0" w:color="auto"/>
              <w:right w:val="nil"/>
            </w:tcBorders>
            <w:shd w:val="clear" w:color="auto" w:fill="auto"/>
            <w:vAlign w:val="center"/>
            <w:hideMark/>
          </w:tcPr>
          <w:p w:rsidR="00FF7B7E" w:rsidRPr="00BB65AD" w:rsidRDefault="00FF7B7E" w:rsidP="00FF7B7E">
            <w:pPr>
              <w:spacing w:line="240" w:lineRule="auto"/>
              <w:rPr>
                <w:b/>
                <w:bCs/>
                <w:i/>
                <w:iCs/>
                <w:lang w:val="el-GR"/>
              </w:rPr>
            </w:pPr>
            <w:r w:rsidRPr="00BB65AD">
              <w:rPr>
                <w:b/>
                <w:bCs/>
                <w:i/>
                <w:iCs/>
              </w:rPr>
              <w:t>Variables</w:t>
            </w:r>
          </w:p>
        </w:tc>
        <w:tc>
          <w:tcPr>
            <w:tcW w:w="1591" w:type="dxa"/>
            <w:tcBorders>
              <w:top w:val="single" w:sz="4" w:space="0" w:color="auto"/>
              <w:left w:val="nil"/>
              <w:bottom w:val="single" w:sz="4" w:space="0" w:color="auto"/>
              <w:right w:val="nil"/>
            </w:tcBorders>
            <w:shd w:val="clear" w:color="auto" w:fill="auto"/>
            <w:vAlign w:val="center"/>
            <w:hideMark/>
          </w:tcPr>
          <w:p w:rsidR="00FF7B7E" w:rsidRPr="00BB65AD" w:rsidRDefault="00FF7B7E" w:rsidP="002D2E50">
            <w:pPr>
              <w:rPr>
                <w:b/>
                <w:bCs/>
                <w:i/>
                <w:iCs/>
                <w:lang w:val="el-GR"/>
              </w:rPr>
            </w:pPr>
            <w:r w:rsidRPr="00BB65AD">
              <w:rPr>
                <w:b/>
                <w:bCs/>
                <w:i/>
                <w:iCs/>
              </w:rPr>
              <w:t>Source</w:t>
            </w:r>
          </w:p>
        </w:tc>
        <w:tc>
          <w:tcPr>
            <w:tcW w:w="1102" w:type="dxa"/>
            <w:tcBorders>
              <w:top w:val="single" w:sz="4" w:space="0" w:color="auto"/>
              <w:left w:val="nil"/>
              <w:bottom w:val="single" w:sz="4" w:space="0" w:color="auto"/>
              <w:right w:val="nil"/>
            </w:tcBorders>
            <w:shd w:val="clear" w:color="auto" w:fill="auto"/>
            <w:vAlign w:val="center"/>
            <w:hideMark/>
          </w:tcPr>
          <w:p w:rsidR="00FF7B7E" w:rsidRPr="00BB65AD" w:rsidRDefault="00FF7B7E" w:rsidP="002D2E50">
            <w:pPr>
              <w:rPr>
                <w:b/>
                <w:bCs/>
                <w:i/>
                <w:iCs/>
                <w:lang w:val="el-GR"/>
              </w:rPr>
            </w:pPr>
            <w:r w:rsidRPr="00BB65AD">
              <w:rPr>
                <w:b/>
                <w:bCs/>
                <w:i/>
                <w:iCs/>
                <w:lang w:val="el-GR"/>
              </w:rPr>
              <w:t>Year</w:t>
            </w:r>
          </w:p>
        </w:tc>
      </w:tr>
      <w:tr w:rsidR="00FF7B7E" w:rsidRPr="00BB65AD" w:rsidTr="002D2E50">
        <w:trPr>
          <w:trHeight w:val="300"/>
        </w:trPr>
        <w:tc>
          <w:tcPr>
            <w:tcW w:w="1206" w:type="dxa"/>
            <w:tcBorders>
              <w:top w:val="nil"/>
              <w:left w:val="nil"/>
              <w:bottom w:val="nil"/>
              <w:right w:val="nil"/>
            </w:tcBorders>
            <w:shd w:val="clear" w:color="auto" w:fill="auto"/>
            <w:vAlign w:val="center"/>
            <w:hideMark/>
          </w:tcPr>
          <w:p w:rsidR="00FF7B7E" w:rsidRPr="00BB65AD" w:rsidRDefault="00FF7B7E" w:rsidP="00FF7B7E">
            <w:pPr>
              <w:spacing w:line="240" w:lineRule="auto"/>
              <w:rPr>
                <w:lang w:val="el-GR"/>
              </w:rPr>
            </w:pPr>
            <w:r w:rsidRPr="00BB65AD">
              <w:t>Family</w:t>
            </w:r>
          </w:p>
        </w:tc>
        <w:tc>
          <w:tcPr>
            <w:tcW w:w="5071" w:type="dxa"/>
            <w:tcBorders>
              <w:top w:val="nil"/>
              <w:left w:val="nil"/>
              <w:bottom w:val="nil"/>
              <w:right w:val="nil"/>
            </w:tcBorders>
            <w:shd w:val="clear" w:color="auto" w:fill="auto"/>
            <w:vAlign w:val="center"/>
            <w:hideMark/>
          </w:tcPr>
          <w:p w:rsidR="00FF7B7E" w:rsidRPr="00BB65AD" w:rsidRDefault="00FF7B7E" w:rsidP="00FF7B7E">
            <w:pPr>
              <w:spacing w:line="240" w:lineRule="auto"/>
              <w:rPr>
                <w:lang w:val="el-GR"/>
              </w:rPr>
            </w:pPr>
            <w:r w:rsidRPr="00BB65AD">
              <w:t>People per Household</w:t>
            </w:r>
          </w:p>
        </w:tc>
        <w:tc>
          <w:tcPr>
            <w:tcW w:w="1591"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Eurostat</w:t>
            </w:r>
          </w:p>
        </w:tc>
        <w:tc>
          <w:tcPr>
            <w:tcW w:w="1102" w:type="dxa"/>
            <w:tcBorders>
              <w:top w:val="nil"/>
              <w:left w:val="nil"/>
              <w:bottom w:val="nil"/>
              <w:right w:val="nil"/>
            </w:tcBorders>
            <w:shd w:val="clear" w:color="auto" w:fill="auto"/>
            <w:noWrap/>
            <w:vAlign w:val="bottom"/>
            <w:hideMark/>
          </w:tcPr>
          <w:p w:rsidR="00FF7B7E" w:rsidRPr="00BB65AD" w:rsidRDefault="00FF7B7E" w:rsidP="002D2E50">
            <w:pPr>
              <w:rPr>
                <w:lang w:val="el-GR"/>
              </w:rPr>
            </w:pPr>
            <w:r w:rsidRPr="00BB65AD">
              <w:rPr>
                <w:lang w:val="el-GR"/>
              </w:rPr>
              <w:t>2011</w:t>
            </w:r>
          </w:p>
        </w:tc>
      </w:tr>
      <w:tr w:rsidR="00FF7B7E" w:rsidRPr="00BB65AD" w:rsidTr="002D2E50">
        <w:trPr>
          <w:trHeight w:val="300"/>
        </w:trPr>
        <w:tc>
          <w:tcPr>
            <w:tcW w:w="1206" w:type="dxa"/>
            <w:tcBorders>
              <w:top w:val="nil"/>
              <w:left w:val="nil"/>
              <w:bottom w:val="nil"/>
              <w:right w:val="nil"/>
            </w:tcBorders>
            <w:shd w:val="clear" w:color="auto" w:fill="auto"/>
            <w:vAlign w:val="center"/>
            <w:hideMark/>
          </w:tcPr>
          <w:p w:rsidR="00FF7B7E" w:rsidRPr="00BB65AD" w:rsidRDefault="00FF7B7E" w:rsidP="00FF7B7E">
            <w:pPr>
              <w:spacing w:line="240" w:lineRule="auto"/>
              <w:rPr>
                <w:lang w:val="el-GR"/>
              </w:rPr>
            </w:pPr>
          </w:p>
        </w:tc>
        <w:tc>
          <w:tcPr>
            <w:tcW w:w="5071" w:type="dxa"/>
            <w:tcBorders>
              <w:top w:val="nil"/>
              <w:left w:val="nil"/>
              <w:bottom w:val="nil"/>
              <w:right w:val="nil"/>
            </w:tcBorders>
            <w:shd w:val="clear" w:color="auto" w:fill="auto"/>
            <w:vAlign w:val="center"/>
            <w:hideMark/>
          </w:tcPr>
          <w:p w:rsidR="00FF7B7E" w:rsidRPr="00BB65AD" w:rsidRDefault="00FF7B7E" w:rsidP="00FF7B7E">
            <w:pPr>
              <w:spacing w:line="240" w:lineRule="auto"/>
              <w:rPr>
                <w:vertAlign w:val="superscript"/>
                <w:lang w:val="en-US"/>
              </w:rPr>
            </w:pPr>
            <w:r w:rsidRPr="00BB65AD">
              <w:t>Age Leaving Home (Male)</w:t>
            </w:r>
            <w:r w:rsidRPr="00BB65AD">
              <w:rPr>
                <w:vertAlign w:val="superscript"/>
              </w:rPr>
              <w:t>a</w:t>
            </w:r>
          </w:p>
        </w:tc>
        <w:tc>
          <w:tcPr>
            <w:tcW w:w="1591"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Eurostat</w:t>
            </w:r>
          </w:p>
        </w:tc>
        <w:tc>
          <w:tcPr>
            <w:tcW w:w="1102" w:type="dxa"/>
            <w:tcBorders>
              <w:top w:val="nil"/>
              <w:left w:val="nil"/>
              <w:bottom w:val="nil"/>
              <w:right w:val="nil"/>
            </w:tcBorders>
            <w:shd w:val="clear" w:color="auto" w:fill="auto"/>
            <w:noWrap/>
            <w:vAlign w:val="bottom"/>
            <w:hideMark/>
          </w:tcPr>
          <w:p w:rsidR="00FF7B7E" w:rsidRPr="00BB65AD" w:rsidRDefault="00FF7B7E" w:rsidP="002D2E50">
            <w:pPr>
              <w:rPr>
                <w:lang w:val="el-GR"/>
              </w:rPr>
            </w:pPr>
            <w:r w:rsidRPr="00BB65AD">
              <w:rPr>
                <w:lang w:val="el-GR"/>
              </w:rPr>
              <w:t>2007</w:t>
            </w:r>
          </w:p>
        </w:tc>
      </w:tr>
      <w:tr w:rsidR="00FF7B7E" w:rsidRPr="00BB65AD" w:rsidTr="002D2E50">
        <w:trPr>
          <w:trHeight w:val="300"/>
        </w:trPr>
        <w:tc>
          <w:tcPr>
            <w:tcW w:w="1206" w:type="dxa"/>
            <w:tcBorders>
              <w:top w:val="nil"/>
              <w:left w:val="nil"/>
              <w:bottom w:val="single" w:sz="4" w:space="0" w:color="auto"/>
              <w:right w:val="nil"/>
            </w:tcBorders>
            <w:shd w:val="clear" w:color="auto" w:fill="auto"/>
            <w:vAlign w:val="center"/>
            <w:hideMark/>
          </w:tcPr>
          <w:p w:rsidR="00FF7B7E" w:rsidRPr="00BB65AD" w:rsidRDefault="00FF7B7E" w:rsidP="00FF7B7E">
            <w:pPr>
              <w:spacing w:line="240" w:lineRule="auto"/>
              <w:rPr>
                <w:lang w:val="el-GR"/>
              </w:rPr>
            </w:pPr>
          </w:p>
        </w:tc>
        <w:tc>
          <w:tcPr>
            <w:tcW w:w="5071" w:type="dxa"/>
            <w:tcBorders>
              <w:top w:val="nil"/>
              <w:left w:val="nil"/>
              <w:bottom w:val="single" w:sz="4" w:space="0" w:color="auto"/>
              <w:right w:val="nil"/>
            </w:tcBorders>
            <w:shd w:val="clear" w:color="auto" w:fill="auto"/>
            <w:vAlign w:val="center"/>
            <w:hideMark/>
          </w:tcPr>
          <w:p w:rsidR="00FF7B7E" w:rsidRPr="00BB65AD" w:rsidRDefault="00FF7B7E" w:rsidP="00FF7B7E">
            <w:pPr>
              <w:spacing w:line="240" w:lineRule="auto"/>
              <w:rPr>
                <w:lang w:val="en-US"/>
              </w:rPr>
            </w:pPr>
            <w:r w:rsidRPr="00BB65AD">
              <w:t>Age Leaving Home (Female)</w:t>
            </w:r>
            <w:r w:rsidRPr="00BB65AD">
              <w:rPr>
                <w:vertAlign w:val="superscript"/>
              </w:rPr>
              <w:t>a</w:t>
            </w:r>
          </w:p>
        </w:tc>
        <w:tc>
          <w:tcPr>
            <w:tcW w:w="1591" w:type="dxa"/>
            <w:tcBorders>
              <w:top w:val="nil"/>
              <w:left w:val="nil"/>
              <w:bottom w:val="single" w:sz="4" w:space="0" w:color="auto"/>
              <w:right w:val="nil"/>
            </w:tcBorders>
            <w:shd w:val="clear" w:color="auto" w:fill="auto"/>
            <w:vAlign w:val="center"/>
            <w:hideMark/>
          </w:tcPr>
          <w:p w:rsidR="00FF7B7E" w:rsidRPr="00BB65AD" w:rsidRDefault="00FF7B7E" w:rsidP="002D2E50">
            <w:pPr>
              <w:rPr>
                <w:lang w:val="el-GR"/>
              </w:rPr>
            </w:pPr>
            <w:r w:rsidRPr="00BB65AD">
              <w:t>Eurostat</w:t>
            </w:r>
          </w:p>
        </w:tc>
        <w:tc>
          <w:tcPr>
            <w:tcW w:w="1102" w:type="dxa"/>
            <w:tcBorders>
              <w:top w:val="nil"/>
              <w:left w:val="nil"/>
              <w:bottom w:val="single" w:sz="4" w:space="0" w:color="auto"/>
              <w:right w:val="nil"/>
            </w:tcBorders>
            <w:shd w:val="clear" w:color="auto" w:fill="auto"/>
            <w:noWrap/>
            <w:vAlign w:val="bottom"/>
            <w:hideMark/>
          </w:tcPr>
          <w:p w:rsidR="00FF7B7E" w:rsidRPr="00BB65AD" w:rsidRDefault="00FF7B7E" w:rsidP="002D2E50">
            <w:pPr>
              <w:rPr>
                <w:lang w:val="el-GR"/>
              </w:rPr>
            </w:pPr>
            <w:r w:rsidRPr="00BB65AD">
              <w:rPr>
                <w:lang w:val="el-GR"/>
              </w:rPr>
              <w:t>2007</w:t>
            </w:r>
          </w:p>
        </w:tc>
      </w:tr>
      <w:tr w:rsidR="00FF7B7E" w:rsidRPr="00BB65AD" w:rsidTr="002D2E50">
        <w:trPr>
          <w:trHeight w:val="300"/>
        </w:trPr>
        <w:tc>
          <w:tcPr>
            <w:tcW w:w="1206" w:type="dxa"/>
            <w:vMerge w:val="restart"/>
            <w:tcBorders>
              <w:top w:val="single" w:sz="4" w:space="0" w:color="auto"/>
              <w:left w:val="nil"/>
              <w:bottom w:val="single" w:sz="4" w:space="0" w:color="000000"/>
              <w:right w:val="nil"/>
            </w:tcBorders>
            <w:shd w:val="clear" w:color="auto" w:fill="auto"/>
            <w:vAlign w:val="center"/>
            <w:hideMark/>
          </w:tcPr>
          <w:p w:rsidR="00FF7B7E" w:rsidRPr="00BB65AD" w:rsidRDefault="00FF7B7E" w:rsidP="00FF7B7E">
            <w:pPr>
              <w:spacing w:line="240" w:lineRule="auto"/>
              <w:rPr>
                <w:lang w:val="el-GR"/>
              </w:rPr>
            </w:pPr>
            <w:r w:rsidRPr="00BB65AD">
              <w:t>State vs Market</w:t>
            </w:r>
          </w:p>
        </w:tc>
        <w:tc>
          <w:tcPr>
            <w:tcW w:w="5071" w:type="dxa"/>
            <w:tcBorders>
              <w:top w:val="single" w:sz="4" w:space="0" w:color="auto"/>
              <w:left w:val="nil"/>
              <w:bottom w:val="nil"/>
              <w:right w:val="nil"/>
            </w:tcBorders>
            <w:shd w:val="clear" w:color="auto" w:fill="auto"/>
            <w:vAlign w:val="center"/>
            <w:hideMark/>
          </w:tcPr>
          <w:p w:rsidR="00FF7B7E" w:rsidRPr="00BB65AD" w:rsidRDefault="00FF7B7E" w:rsidP="00FF7B7E">
            <w:pPr>
              <w:spacing w:line="240" w:lineRule="auto"/>
            </w:pPr>
            <w:r w:rsidRPr="00BB65AD">
              <w:t>Expenditure on Social Protection as % of GDP (ESP/GDP)</w:t>
            </w:r>
          </w:p>
        </w:tc>
        <w:tc>
          <w:tcPr>
            <w:tcW w:w="1591" w:type="dxa"/>
            <w:tcBorders>
              <w:top w:val="single" w:sz="4" w:space="0" w:color="auto"/>
              <w:left w:val="nil"/>
              <w:bottom w:val="nil"/>
              <w:right w:val="nil"/>
            </w:tcBorders>
            <w:shd w:val="clear" w:color="auto" w:fill="auto"/>
            <w:vAlign w:val="center"/>
            <w:hideMark/>
          </w:tcPr>
          <w:p w:rsidR="00FF7B7E" w:rsidRPr="00BB65AD" w:rsidRDefault="00FF7B7E" w:rsidP="002D2E50">
            <w:pPr>
              <w:rPr>
                <w:lang w:val="el-GR"/>
              </w:rPr>
            </w:pPr>
            <w:r w:rsidRPr="00BB65AD">
              <w:t>Eurostat</w:t>
            </w:r>
          </w:p>
        </w:tc>
        <w:tc>
          <w:tcPr>
            <w:tcW w:w="1102" w:type="dxa"/>
            <w:tcBorders>
              <w:top w:val="single" w:sz="4" w:space="0" w:color="auto"/>
              <w:left w:val="nil"/>
              <w:bottom w:val="nil"/>
              <w:right w:val="nil"/>
            </w:tcBorders>
            <w:shd w:val="clear" w:color="auto" w:fill="auto"/>
            <w:noWrap/>
            <w:vAlign w:val="bottom"/>
            <w:hideMark/>
          </w:tcPr>
          <w:p w:rsidR="00FF7B7E" w:rsidRPr="00BB65AD" w:rsidRDefault="00FF7B7E" w:rsidP="002D2E50">
            <w:pPr>
              <w:rPr>
                <w:lang w:val="en-US"/>
              </w:rPr>
            </w:pPr>
            <w:r w:rsidRPr="00BB65AD">
              <w:rPr>
                <w:lang w:val="el-GR"/>
              </w:rPr>
              <w:t>201</w:t>
            </w:r>
            <w:r w:rsidRPr="00BB65AD">
              <w:rPr>
                <w:lang w:val="en-US"/>
              </w:rPr>
              <w:t>0</w:t>
            </w:r>
          </w:p>
        </w:tc>
      </w:tr>
      <w:tr w:rsidR="00FF7B7E" w:rsidRPr="00BB65AD" w:rsidTr="002D2E50">
        <w:trPr>
          <w:trHeight w:val="300"/>
        </w:trPr>
        <w:tc>
          <w:tcPr>
            <w:tcW w:w="1206" w:type="dxa"/>
            <w:vMerge/>
            <w:tcBorders>
              <w:top w:val="nil"/>
              <w:left w:val="nil"/>
              <w:bottom w:val="single" w:sz="4" w:space="0" w:color="000000"/>
              <w:right w:val="nil"/>
            </w:tcBorders>
            <w:vAlign w:val="center"/>
            <w:hideMark/>
          </w:tcPr>
          <w:p w:rsidR="00FF7B7E" w:rsidRPr="00BB65AD" w:rsidRDefault="00FF7B7E" w:rsidP="00FF7B7E">
            <w:pPr>
              <w:spacing w:line="240" w:lineRule="auto"/>
              <w:rPr>
                <w:lang w:val="el-GR"/>
              </w:rPr>
            </w:pPr>
          </w:p>
        </w:tc>
        <w:tc>
          <w:tcPr>
            <w:tcW w:w="5071" w:type="dxa"/>
            <w:tcBorders>
              <w:top w:val="nil"/>
              <w:left w:val="nil"/>
              <w:bottom w:val="single" w:sz="4" w:space="0" w:color="auto"/>
              <w:right w:val="nil"/>
            </w:tcBorders>
            <w:shd w:val="clear" w:color="auto" w:fill="auto"/>
            <w:vAlign w:val="center"/>
            <w:hideMark/>
          </w:tcPr>
          <w:p w:rsidR="00FF7B7E" w:rsidRPr="00BB65AD" w:rsidRDefault="00FF7B7E" w:rsidP="00FF7B7E">
            <w:pPr>
              <w:spacing w:line="240" w:lineRule="auto"/>
              <w:rPr>
                <w:lang w:val="en-US"/>
              </w:rPr>
            </w:pPr>
            <w:r w:rsidRPr="00BB65AD">
              <w:t>General Government Contributions to Receipts of Social Protection Schemes as % of GDP (GGC/GDP)</w:t>
            </w:r>
          </w:p>
        </w:tc>
        <w:tc>
          <w:tcPr>
            <w:tcW w:w="1591" w:type="dxa"/>
            <w:tcBorders>
              <w:top w:val="nil"/>
              <w:left w:val="nil"/>
              <w:bottom w:val="single" w:sz="4" w:space="0" w:color="auto"/>
              <w:right w:val="nil"/>
            </w:tcBorders>
            <w:shd w:val="clear" w:color="auto" w:fill="auto"/>
            <w:vAlign w:val="center"/>
            <w:hideMark/>
          </w:tcPr>
          <w:p w:rsidR="00FF7B7E" w:rsidRPr="00BB65AD" w:rsidRDefault="00FF7B7E" w:rsidP="002D2E50">
            <w:pPr>
              <w:rPr>
                <w:lang w:val="el-GR"/>
              </w:rPr>
            </w:pPr>
            <w:r w:rsidRPr="00BB65AD">
              <w:t>Eurostat</w:t>
            </w:r>
          </w:p>
        </w:tc>
        <w:tc>
          <w:tcPr>
            <w:tcW w:w="1102" w:type="dxa"/>
            <w:tcBorders>
              <w:top w:val="nil"/>
              <w:left w:val="nil"/>
              <w:bottom w:val="single" w:sz="4" w:space="0" w:color="auto"/>
              <w:right w:val="nil"/>
            </w:tcBorders>
            <w:shd w:val="clear" w:color="auto" w:fill="auto"/>
            <w:noWrap/>
            <w:vAlign w:val="bottom"/>
            <w:hideMark/>
          </w:tcPr>
          <w:p w:rsidR="00FF7B7E" w:rsidRPr="00BB65AD" w:rsidRDefault="00FF7B7E" w:rsidP="002D2E50">
            <w:pPr>
              <w:rPr>
                <w:lang w:val="en-US"/>
              </w:rPr>
            </w:pPr>
            <w:r w:rsidRPr="00BB65AD">
              <w:rPr>
                <w:lang w:val="el-GR"/>
              </w:rPr>
              <w:t>201</w:t>
            </w:r>
            <w:r w:rsidRPr="00BB65AD">
              <w:rPr>
                <w:lang w:val="en-US"/>
              </w:rPr>
              <w:t>0</w:t>
            </w:r>
          </w:p>
        </w:tc>
      </w:tr>
      <w:tr w:rsidR="00FF7B7E" w:rsidRPr="00BB65AD" w:rsidTr="002D2E50">
        <w:trPr>
          <w:trHeight w:val="300"/>
        </w:trPr>
        <w:tc>
          <w:tcPr>
            <w:tcW w:w="1206" w:type="dxa"/>
            <w:tcBorders>
              <w:top w:val="nil"/>
              <w:left w:val="nil"/>
              <w:bottom w:val="single" w:sz="4" w:space="0" w:color="auto"/>
              <w:right w:val="nil"/>
            </w:tcBorders>
            <w:shd w:val="clear" w:color="auto" w:fill="auto"/>
            <w:vAlign w:val="center"/>
            <w:hideMark/>
          </w:tcPr>
          <w:p w:rsidR="00FF7B7E" w:rsidRPr="00BB65AD" w:rsidRDefault="00FF7B7E" w:rsidP="00FF7B7E">
            <w:pPr>
              <w:spacing w:line="240" w:lineRule="auto"/>
              <w:rPr>
                <w:lang w:val="el-GR"/>
              </w:rPr>
            </w:pPr>
            <w:r w:rsidRPr="00BB65AD">
              <w:t>Religion</w:t>
            </w:r>
          </w:p>
        </w:tc>
        <w:tc>
          <w:tcPr>
            <w:tcW w:w="5071" w:type="dxa"/>
            <w:tcBorders>
              <w:top w:val="nil"/>
              <w:left w:val="nil"/>
              <w:bottom w:val="single" w:sz="4" w:space="0" w:color="auto"/>
              <w:right w:val="nil"/>
            </w:tcBorders>
            <w:shd w:val="clear" w:color="auto" w:fill="auto"/>
            <w:vAlign w:val="center"/>
            <w:hideMark/>
          </w:tcPr>
          <w:p w:rsidR="00FF7B7E" w:rsidRPr="00BB65AD" w:rsidRDefault="00FF7B7E" w:rsidP="00FF7B7E">
            <w:pPr>
              <w:spacing w:line="240" w:lineRule="auto"/>
              <w:rPr>
                <w:lang w:val="en-US"/>
              </w:rPr>
            </w:pPr>
            <w:r w:rsidRPr="00BB65AD">
              <w:t>Attendance at Religious Service at least Once a Week</w:t>
            </w:r>
          </w:p>
        </w:tc>
        <w:tc>
          <w:tcPr>
            <w:tcW w:w="1591" w:type="dxa"/>
            <w:tcBorders>
              <w:top w:val="nil"/>
              <w:left w:val="nil"/>
              <w:bottom w:val="single" w:sz="4" w:space="0" w:color="auto"/>
              <w:right w:val="nil"/>
            </w:tcBorders>
            <w:shd w:val="clear" w:color="auto" w:fill="auto"/>
            <w:vAlign w:val="center"/>
            <w:hideMark/>
          </w:tcPr>
          <w:p w:rsidR="00FF7B7E" w:rsidRPr="00BB65AD" w:rsidRDefault="00FF7B7E" w:rsidP="002D2E50">
            <w:pPr>
              <w:rPr>
                <w:lang w:val="el-GR"/>
              </w:rPr>
            </w:pPr>
            <w:r w:rsidRPr="00BB65AD">
              <w:t>ESS</w:t>
            </w:r>
          </w:p>
        </w:tc>
        <w:tc>
          <w:tcPr>
            <w:tcW w:w="1102" w:type="dxa"/>
            <w:tcBorders>
              <w:top w:val="nil"/>
              <w:left w:val="nil"/>
              <w:bottom w:val="single" w:sz="4" w:space="0" w:color="auto"/>
              <w:right w:val="nil"/>
            </w:tcBorders>
            <w:shd w:val="clear" w:color="auto" w:fill="auto"/>
            <w:noWrap/>
            <w:vAlign w:val="bottom"/>
            <w:hideMark/>
          </w:tcPr>
          <w:p w:rsidR="00FF7B7E" w:rsidRPr="00BB65AD" w:rsidRDefault="00FF7B7E" w:rsidP="002D2E50">
            <w:pPr>
              <w:rPr>
                <w:vertAlign w:val="superscript"/>
                <w:lang w:val="en-US"/>
              </w:rPr>
            </w:pPr>
            <w:r w:rsidRPr="00BB65AD">
              <w:rPr>
                <w:lang w:val="el-GR"/>
              </w:rPr>
              <w:t>2010</w:t>
            </w:r>
            <w:r w:rsidRPr="00BB65AD">
              <w:rPr>
                <w:vertAlign w:val="superscript"/>
                <w:lang w:val="en-US"/>
              </w:rPr>
              <w:t>c</w:t>
            </w:r>
          </w:p>
        </w:tc>
      </w:tr>
      <w:tr w:rsidR="00FF7B7E" w:rsidRPr="00BB65AD" w:rsidTr="002D2E50">
        <w:trPr>
          <w:trHeight w:val="300"/>
        </w:trPr>
        <w:tc>
          <w:tcPr>
            <w:tcW w:w="1206" w:type="dxa"/>
            <w:tcBorders>
              <w:top w:val="nil"/>
              <w:left w:val="nil"/>
              <w:bottom w:val="nil"/>
              <w:right w:val="nil"/>
            </w:tcBorders>
            <w:shd w:val="clear" w:color="auto" w:fill="auto"/>
            <w:vAlign w:val="center"/>
            <w:hideMark/>
          </w:tcPr>
          <w:p w:rsidR="00FF7B7E" w:rsidRPr="00BB65AD" w:rsidRDefault="00FF7B7E" w:rsidP="00FF7B7E">
            <w:pPr>
              <w:spacing w:line="240" w:lineRule="auto"/>
              <w:rPr>
                <w:lang w:val="el-GR"/>
              </w:rPr>
            </w:pPr>
            <w:r w:rsidRPr="00BB65AD">
              <w:t>Clientelism</w:t>
            </w:r>
          </w:p>
        </w:tc>
        <w:tc>
          <w:tcPr>
            <w:tcW w:w="5071" w:type="dxa"/>
            <w:tcBorders>
              <w:top w:val="nil"/>
              <w:left w:val="nil"/>
              <w:bottom w:val="nil"/>
              <w:right w:val="nil"/>
            </w:tcBorders>
            <w:shd w:val="clear" w:color="auto" w:fill="auto"/>
            <w:vAlign w:val="center"/>
            <w:hideMark/>
          </w:tcPr>
          <w:p w:rsidR="00FF7B7E" w:rsidRPr="00BB65AD" w:rsidRDefault="00FF7B7E" w:rsidP="00FF7B7E">
            <w:pPr>
              <w:spacing w:line="240" w:lineRule="auto"/>
              <w:rPr>
                <w:vertAlign w:val="superscript"/>
                <w:lang w:val="en-US"/>
              </w:rPr>
            </w:pPr>
            <w:r w:rsidRPr="00BB65AD">
              <w:t>Perception of Corruption as Part of Business Culture</w:t>
            </w:r>
            <w:r w:rsidRPr="00BB65AD">
              <w:rPr>
                <w:vertAlign w:val="superscript"/>
              </w:rPr>
              <w:t>b</w:t>
            </w:r>
          </w:p>
        </w:tc>
        <w:tc>
          <w:tcPr>
            <w:tcW w:w="1591" w:type="dxa"/>
            <w:tcBorders>
              <w:top w:val="nil"/>
              <w:left w:val="nil"/>
              <w:bottom w:val="nil"/>
              <w:right w:val="nil"/>
            </w:tcBorders>
            <w:shd w:val="clear" w:color="auto" w:fill="auto"/>
            <w:vAlign w:val="center"/>
            <w:hideMark/>
          </w:tcPr>
          <w:p w:rsidR="00FF7B7E" w:rsidRPr="00BB65AD" w:rsidRDefault="00FF7B7E" w:rsidP="002D2E50">
            <w:pPr>
              <w:rPr>
                <w:lang w:val="el-GR"/>
              </w:rPr>
            </w:pPr>
            <w:r w:rsidRPr="00BB65AD">
              <w:t>Eurobarometer</w:t>
            </w:r>
          </w:p>
        </w:tc>
        <w:tc>
          <w:tcPr>
            <w:tcW w:w="1102" w:type="dxa"/>
            <w:tcBorders>
              <w:top w:val="nil"/>
              <w:left w:val="nil"/>
              <w:bottom w:val="nil"/>
              <w:right w:val="nil"/>
            </w:tcBorders>
            <w:shd w:val="clear" w:color="auto" w:fill="auto"/>
            <w:noWrap/>
            <w:vAlign w:val="bottom"/>
            <w:hideMark/>
          </w:tcPr>
          <w:p w:rsidR="00FF7B7E" w:rsidRPr="00BB65AD" w:rsidRDefault="00FF7B7E" w:rsidP="002D2E50">
            <w:pPr>
              <w:rPr>
                <w:lang w:val="el-GR"/>
              </w:rPr>
            </w:pPr>
            <w:r w:rsidRPr="00BB65AD">
              <w:rPr>
                <w:lang w:val="el-GR"/>
              </w:rPr>
              <w:t>2011</w:t>
            </w:r>
          </w:p>
        </w:tc>
      </w:tr>
      <w:tr w:rsidR="00FF7B7E" w:rsidRPr="00BB65AD" w:rsidTr="002D2E50">
        <w:trPr>
          <w:trHeight w:val="300"/>
        </w:trPr>
        <w:tc>
          <w:tcPr>
            <w:tcW w:w="1206" w:type="dxa"/>
            <w:tcBorders>
              <w:top w:val="nil"/>
              <w:left w:val="nil"/>
              <w:bottom w:val="single" w:sz="4" w:space="0" w:color="auto"/>
              <w:right w:val="nil"/>
            </w:tcBorders>
            <w:shd w:val="clear" w:color="auto" w:fill="auto"/>
            <w:vAlign w:val="center"/>
            <w:hideMark/>
          </w:tcPr>
          <w:p w:rsidR="00FF7B7E" w:rsidRPr="00BB65AD" w:rsidRDefault="00FF7B7E" w:rsidP="00FF7B7E">
            <w:pPr>
              <w:spacing w:line="240" w:lineRule="auto"/>
              <w:rPr>
                <w:lang w:val="el-GR"/>
              </w:rPr>
            </w:pPr>
            <w:r w:rsidRPr="00BB65AD">
              <w:rPr>
                <w:lang w:val="el-GR"/>
              </w:rPr>
              <w:t> </w:t>
            </w:r>
          </w:p>
        </w:tc>
        <w:tc>
          <w:tcPr>
            <w:tcW w:w="5071" w:type="dxa"/>
            <w:tcBorders>
              <w:top w:val="nil"/>
              <w:left w:val="nil"/>
              <w:bottom w:val="single" w:sz="4" w:space="0" w:color="auto"/>
              <w:right w:val="nil"/>
            </w:tcBorders>
            <w:shd w:val="clear" w:color="auto" w:fill="auto"/>
            <w:vAlign w:val="center"/>
            <w:hideMark/>
          </w:tcPr>
          <w:p w:rsidR="00FF7B7E" w:rsidRPr="00BB65AD" w:rsidRDefault="00FF7B7E" w:rsidP="00FF7B7E">
            <w:pPr>
              <w:spacing w:line="240" w:lineRule="auto"/>
              <w:rPr>
                <w:vertAlign w:val="superscript"/>
                <w:lang w:val="en-US"/>
              </w:rPr>
            </w:pPr>
            <w:r w:rsidRPr="00BB65AD">
              <w:t>Perception of Corruption as Major Problem</w:t>
            </w:r>
            <w:r w:rsidRPr="00BB65AD">
              <w:rPr>
                <w:vertAlign w:val="superscript"/>
              </w:rPr>
              <w:t>b</w:t>
            </w:r>
          </w:p>
        </w:tc>
        <w:tc>
          <w:tcPr>
            <w:tcW w:w="1591" w:type="dxa"/>
            <w:tcBorders>
              <w:top w:val="nil"/>
              <w:left w:val="nil"/>
              <w:bottom w:val="single" w:sz="4" w:space="0" w:color="auto"/>
              <w:right w:val="nil"/>
            </w:tcBorders>
            <w:shd w:val="clear" w:color="auto" w:fill="auto"/>
            <w:vAlign w:val="center"/>
            <w:hideMark/>
          </w:tcPr>
          <w:p w:rsidR="00FF7B7E" w:rsidRPr="00BB65AD" w:rsidRDefault="00FF7B7E" w:rsidP="002D2E50">
            <w:pPr>
              <w:rPr>
                <w:lang w:val="el-GR"/>
              </w:rPr>
            </w:pPr>
            <w:r w:rsidRPr="00BB65AD">
              <w:t>Eurobarometer</w:t>
            </w:r>
          </w:p>
        </w:tc>
        <w:tc>
          <w:tcPr>
            <w:tcW w:w="1102" w:type="dxa"/>
            <w:tcBorders>
              <w:top w:val="nil"/>
              <w:left w:val="nil"/>
              <w:bottom w:val="single" w:sz="4" w:space="0" w:color="auto"/>
              <w:right w:val="nil"/>
            </w:tcBorders>
            <w:shd w:val="clear" w:color="auto" w:fill="auto"/>
            <w:noWrap/>
            <w:vAlign w:val="bottom"/>
            <w:hideMark/>
          </w:tcPr>
          <w:p w:rsidR="00FF7B7E" w:rsidRPr="00BB65AD" w:rsidRDefault="00FF7B7E" w:rsidP="002D2E50">
            <w:pPr>
              <w:rPr>
                <w:lang w:val="el-GR"/>
              </w:rPr>
            </w:pPr>
            <w:r w:rsidRPr="00BB65AD">
              <w:rPr>
                <w:lang w:val="el-GR"/>
              </w:rPr>
              <w:t>2011</w:t>
            </w:r>
          </w:p>
        </w:tc>
      </w:tr>
    </w:tbl>
    <w:p w:rsidR="00FF7B7E" w:rsidRDefault="00FF7B7E" w:rsidP="00FF7B7E">
      <w:r w:rsidRPr="00BB65AD">
        <w:rPr>
          <w:vertAlign w:val="superscript"/>
        </w:rPr>
        <w:t>a</w:t>
      </w:r>
      <w:r w:rsidRPr="00BB65AD">
        <w:t xml:space="preserve"> In the analysis that follows, the Age Leaving Home is the average of the Males and Females.</w:t>
      </w:r>
    </w:p>
    <w:p w:rsidR="00FF7B7E" w:rsidRPr="00BB65AD" w:rsidRDefault="00FF7B7E" w:rsidP="00FF7B7E">
      <w:r w:rsidRPr="00BB65AD">
        <w:rPr>
          <w:vertAlign w:val="superscript"/>
        </w:rPr>
        <w:t xml:space="preserve">b </w:t>
      </w:r>
      <w:r w:rsidRPr="00BB65AD">
        <w:t>In the analysis that follows, the Corruption Perception is the average of the two corruption perception  percentages,  as part of business culture and as a major problem in the country.</w:t>
      </w:r>
    </w:p>
    <w:p w:rsidR="00FF7B7E" w:rsidRDefault="00FF7B7E" w:rsidP="00FF7B7E">
      <w:r w:rsidRPr="00BB65AD">
        <w:rPr>
          <w:vertAlign w:val="superscript"/>
          <w:lang w:val="en-US"/>
        </w:rPr>
        <w:t>c</w:t>
      </w:r>
      <w:r w:rsidRPr="00BB65AD">
        <w:t xml:space="preserve"> The 2010 values for Austria, Italy, Luxembourg and Malta are imputed based on the 2002 values using linear regression imputation (R</w:t>
      </w:r>
      <w:r w:rsidRPr="00BB65AD">
        <w:rPr>
          <w:vertAlign w:val="superscript"/>
        </w:rPr>
        <w:t>2</w:t>
      </w:r>
      <w:r w:rsidRPr="00BB65AD">
        <w:t>=93.7%).</w:t>
      </w:r>
    </w:p>
    <w:p w:rsidR="00914A07" w:rsidRPr="00AA73B6" w:rsidRDefault="00914A07" w:rsidP="00914A07">
      <w:pPr>
        <w:spacing w:after="0" w:line="240" w:lineRule="auto"/>
        <w:ind w:left="142" w:hanging="142"/>
        <w:jc w:val="both"/>
        <w:rPr>
          <w:rFonts w:ascii="Calibri" w:eastAsia="Calibri" w:hAnsi="Calibri" w:cs="Arial"/>
          <w:sz w:val="20"/>
          <w:vertAlign w:val="superscript"/>
        </w:rPr>
      </w:pPr>
    </w:p>
    <w:p w:rsidR="003A255E" w:rsidRDefault="00B56E20" w:rsidP="00FC3EF5">
      <w:pPr>
        <w:spacing w:line="360" w:lineRule="auto"/>
        <w:jc w:val="both"/>
        <w:rPr>
          <w:rFonts w:ascii="Calibri" w:eastAsia="Calibri" w:hAnsi="Calibri" w:cs="Arial"/>
          <w:b/>
          <w:bCs/>
        </w:rPr>
      </w:pPr>
      <w:r>
        <w:rPr>
          <w:rFonts w:ascii="Calibri" w:eastAsia="Calibri" w:hAnsi="Calibri" w:cs="Arial"/>
          <w:b/>
          <w:bCs/>
        </w:rPr>
        <w:t>3</w:t>
      </w:r>
      <w:r w:rsidR="003A255E">
        <w:rPr>
          <w:rFonts w:ascii="Calibri" w:eastAsia="Calibri" w:hAnsi="Calibri" w:cs="Arial"/>
          <w:b/>
          <w:bCs/>
        </w:rPr>
        <w:t>.2 Analytical techniques</w:t>
      </w:r>
    </w:p>
    <w:p w:rsidR="00F37F45" w:rsidRDefault="00BE58D9" w:rsidP="007B2256">
      <w:pPr>
        <w:spacing w:line="360" w:lineRule="auto"/>
        <w:jc w:val="both"/>
        <w:rPr>
          <w:rFonts w:ascii="Calibri" w:eastAsia="Calibri" w:hAnsi="Calibri" w:cs="Arial"/>
        </w:rPr>
      </w:pPr>
      <w:r>
        <w:rPr>
          <w:rFonts w:ascii="Calibri" w:eastAsia="Calibri" w:hAnsi="Calibri" w:cs="Arial"/>
        </w:rPr>
        <w:t>The main statistical technique is c</w:t>
      </w:r>
      <w:r w:rsidR="00F37F45">
        <w:rPr>
          <w:rFonts w:ascii="Calibri" w:eastAsia="Calibri" w:hAnsi="Calibri" w:cs="Arial"/>
        </w:rPr>
        <w:t>luster analysis</w:t>
      </w:r>
      <w:r>
        <w:rPr>
          <w:rFonts w:ascii="Calibri" w:eastAsia="Calibri" w:hAnsi="Calibri" w:cs="Arial"/>
        </w:rPr>
        <w:t xml:space="preserve">.  It </w:t>
      </w:r>
      <w:r w:rsidR="00F37F45">
        <w:rPr>
          <w:rFonts w:ascii="Calibri" w:eastAsia="Calibri" w:hAnsi="Calibri" w:cs="Arial"/>
        </w:rPr>
        <w:t xml:space="preserve">is </w:t>
      </w:r>
      <w:r>
        <w:rPr>
          <w:rFonts w:ascii="Calibri" w:eastAsia="Calibri" w:hAnsi="Calibri" w:cs="Arial"/>
        </w:rPr>
        <w:t xml:space="preserve">used </w:t>
      </w:r>
      <w:r w:rsidR="00F37F45">
        <w:rPr>
          <w:rFonts w:ascii="Calibri" w:eastAsia="Calibri" w:hAnsi="Calibri" w:cs="Arial"/>
        </w:rPr>
        <w:t xml:space="preserve">to classify the </w:t>
      </w:r>
      <w:r w:rsidR="00E25E25">
        <w:rPr>
          <w:rFonts w:ascii="Calibri" w:eastAsia="Calibri" w:hAnsi="Calibri" w:cs="Arial"/>
        </w:rPr>
        <w:t>statistical observations – in our case countries –</w:t>
      </w:r>
      <w:r>
        <w:rPr>
          <w:rFonts w:ascii="Calibri" w:eastAsia="Calibri" w:hAnsi="Calibri" w:cs="Arial"/>
        </w:rPr>
        <w:t xml:space="preserve"> into clusters on the basis of the relevant dimensions.  </w:t>
      </w:r>
      <w:r w:rsidR="007B2256">
        <w:rPr>
          <w:rFonts w:ascii="Calibri" w:eastAsia="Calibri" w:hAnsi="Calibri" w:cs="Arial"/>
        </w:rPr>
        <w:t xml:space="preserve">The goal is </w:t>
      </w:r>
      <w:r w:rsidR="004A29A3">
        <w:rPr>
          <w:rFonts w:ascii="Calibri" w:eastAsia="Calibri" w:hAnsi="Calibri" w:cs="Arial"/>
        </w:rPr>
        <w:t xml:space="preserve">to </w:t>
      </w:r>
      <w:r w:rsidR="007B2256">
        <w:rPr>
          <w:rFonts w:ascii="Calibri" w:eastAsia="Calibri" w:hAnsi="Calibri" w:cs="Arial"/>
        </w:rPr>
        <w:t xml:space="preserve">have countries </w:t>
      </w:r>
      <w:r w:rsidR="00E25E25">
        <w:rPr>
          <w:rFonts w:ascii="Calibri" w:eastAsia="Calibri" w:hAnsi="Calibri" w:cs="Arial"/>
        </w:rPr>
        <w:t>within</w:t>
      </w:r>
      <w:r w:rsidR="00F37F45">
        <w:rPr>
          <w:rFonts w:ascii="Calibri" w:eastAsia="Calibri" w:hAnsi="Calibri" w:cs="Arial"/>
        </w:rPr>
        <w:t xml:space="preserve"> each cluster </w:t>
      </w:r>
      <w:r w:rsidR="007B2256">
        <w:rPr>
          <w:rFonts w:ascii="Calibri" w:eastAsia="Calibri" w:hAnsi="Calibri" w:cs="Arial"/>
        </w:rPr>
        <w:t>that</w:t>
      </w:r>
      <w:r w:rsidR="00E25E25">
        <w:rPr>
          <w:rFonts w:ascii="Calibri" w:eastAsia="Calibri" w:hAnsi="Calibri" w:cs="Arial"/>
        </w:rPr>
        <w:t xml:space="preserve"> </w:t>
      </w:r>
      <w:r w:rsidR="00F37F45">
        <w:rPr>
          <w:rFonts w:ascii="Calibri" w:eastAsia="Calibri" w:hAnsi="Calibri" w:cs="Arial"/>
        </w:rPr>
        <w:t xml:space="preserve">are more similar </w:t>
      </w:r>
      <w:r w:rsidR="00E25E25">
        <w:rPr>
          <w:rFonts w:ascii="Calibri" w:eastAsia="Calibri" w:hAnsi="Calibri" w:cs="Arial"/>
        </w:rPr>
        <w:t>to</w:t>
      </w:r>
      <w:r w:rsidR="00F37F45">
        <w:rPr>
          <w:rFonts w:ascii="Calibri" w:eastAsia="Calibri" w:hAnsi="Calibri" w:cs="Arial"/>
        </w:rPr>
        <w:t xml:space="preserve"> each other than </w:t>
      </w:r>
      <w:r w:rsidR="00E25E25">
        <w:rPr>
          <w:rFonts w:ascii="Calibri" w:eastAsia="Calibri" w:hAnsi="Calibri" w:cs="Arial"/>
        </w:rPr>
        <w:t xml:space="preserve">to </w:t>
      </w:r>
      <w:r w:rsidR="007B2256">
        <w:rPr>
          <w:rFonts w:ascii="Calibri" w:eastAsia="Calibri" w:hAnsi="Calibri" w:cs="Arial"/>
        </w:rPr>
        <w:t>countries</w:t>
      </w:r>
      <w:r w:rsidR="00F37F45">
        <w:rPr>
          <w:rFonts w:ascii="Calibri" w:eastAsia="Calibri" w:hAnsi="Calibri" w:cs="Arial"/>
        </w:rPr>
        <w:t xml:space="preserve"> </w:t>
      </w:r>
      <w:r w:rsidR="00E25E25">
        <w:rPr>
          <w:rFonts w:ascii="Calibri" w:eastAsia="Calibri" w:hAnsi="Calibri" w:cs="Arial"/>
        </w:rPr>
        <w:t>in</w:t>
      </w:r>
      <w:r w:rsidR="00F37F45">
        <w:rPr>
          <w:rFonts w:ascii="Calibri" w:eastAsia="Calibri" w:hAnsi="Calibri" w:cs="Arial"/>
        </w:rPr>
        <w:t xml:space="preserve"> other clusters. Three cluster analysis methods</w:t>
      </w:r>
      <w:r w:rsidR="00E25E25">
        <w:rPr>
          <w:rFonts w:ascii="Calibri" w:eastAsia="Calibri" w:hAnsi="Calibri" w:cs="Arial"/>
        </w:rPr>
        <w:t xml:space="preserve"> are used</w:t>
      </w:r>
      <w:r w:rsidR="00F37F45">
        <w:rPr>
          <w:rFonts w:ascii="Calibri" w:eastAsia="Calibri" w:hAnsi="Calibri" w:cs="Arial"/>
        </w:rPr>
        <w:t xml:space="preserve">, </w:t>
      </w:r>
      <w:r w:rsidR="00E25E25">
        <w:rPr>
          <w:rFonts w:ascii="Calibri" w:eastAsia="Calibri" w:hAnsi="Calibri" w:cs="Arial"/>
        </w:rPr>
        <w:t>h</w:t>
      </w:r>
      <w:r w:rsidR="00F37F45">
        <w:rPr>
          <w:rFonts w:ascii="Calibri" w:eastAsia="Calibri" w:hAnsi="Calibri" w:cs="Arial"/>
        </w:rPr>
        <w:t xml:space="preserve">ierarchal cluster analysis (HCA), K-means and </w:t>
      </w:r>
      <w:r w:rsidR="00E25E25">
        <w:rPr>
          <w:rFonts w:ascii="Calibri" w:eastAsia="Calibri" w:hAnsi="Calibri" w:cs="Arial"/>
        </w:rPr>
        <w:t>p</w:t>
      </w:r>
      <w:r w:rsidR="00F37F45">
        <w:rPr>
          <w:rFonts w:ascii="Calibri" w:eastAsia="Calibri" w:hAnsi="Calibri" w:cs="Arial"/>
        </w:rPr>
        <w:t>artitioning around medoids (PAM)</w:t>
      </w:r>
      <w:r w:rsidR="00E25E25">
        <w:rPr>
          <w:rFonts w:ascii="Calibri" w:eastAsia="Calibri" w:hAnsi="Calibri" w:cs="Arial"/>
        </w:rPr>
        <w:t xml:space="preserve">. They are </w:t>
      </w:r>
      <w:r w:rsidR="00F37F45">
        <w:rPr>
          <w:rFonts w:ascii="Calibri" w:eastAsia="Calibri" w:hAnsi="Calibri" w:cs="Arial"/>
        </w:rPr>
        <w:t xml:space="preserve">applied to the data sequentially in order to </w:t>
      </w:r>
      <w:r w:rsidR="00E25E25">
        <w:rPr>
          <w:rFonts w:ascii="Calibri" w:eastAsia="Calibri" w:hAnsi="Calibri" w:cs="Arial"/>
        </w:rPr>
        <w:t xml:space="preserve">test the robustness of the clusters.  If the clusters are stable – involving the same countries in the clusters – despite the application of different statistical cluster techniques, then the results </w:t>
      </w:r>
      <w:r w:rsidR="0088319F">
        <w:rPr>
          <w:rFonts w:ascii="Calibri" w:eastAsia="Calibri" w:hAnsi="Calibri" w:cs="Arial"/>
        </w:rPr>
        <w:t>can be considered to be</w:t>
      </w:r>
      <w:r w:rsidR="00E25E25">
        <w:rPr>
          <w:rFonts w:ascii="Calibri" w:eastAsia="Calibri" w:hAnsi="Calibri" w:cs="Arial"/>
        </w:rPr>
        <w:t xml:space="preserve"> robust. </w:t>
      </w:r>
      <w:r w:rsidR="00F37F45">
        <w:rPr>
          <w:rFonts w:ascii="Calibri" w:eastAsia="Calibri" w:hAnsi="Calibri" w:cs="Arial"/>
        </w:rPr>
        <w:t xml:space="preserve">HCA and K-means have been widely used in the </w:t>
      </w:r>
      <w:r w:rsidR="00C874CE">
        <w:rPr>
          <w:rFonts w:ascii="Calibri" w:eastAsia="Calibri" w:hAnsi="Calibri" w:cs="Arial"/>
        </w:rPr>
        <w:t xml:space="preserve">welfare regime </w:t>
      </w:r>
      <w:r w:rsidR="00F37F45">
        <w:rPr>
          <w:rFonts w:ascii="Calibri" w:eastAsia="Calibri" w:hAnsi="Calibri" w:cs="Arial"/>
        </w:rPr>
        <w:t xml:space="preserve">literature </w:t>
      </w:r>
      <w:r w:rsidR="00E25E25">
        <w:rPr>
          <w:rFonts w:ascii="Calibri" w:eastAsia="Calibri" w:hAnsi="Calibri" w:cs="Arial"/>
        </w:rPr>
        <w:t xml:space="preserve">in recent </w:t>
      </w:r>
      <w:r w:rsidR="00F37F45">
        <w:rPr>
          <w:rFonts w:ascii="Calibri" w:eastAsia="Calibri" w:hAnsi="Calibri" w:cs="Arial"/>
        </w:rPr>
        <w:t>years (Gough</w:t>
      </w:r>
      <w:r w:rsidR="00904F8B">
        <w:rPr>
          <w:rFonts w:ascii="Calibri" w:eastAsia="Calibri" w:hAnsi="Calibri" w:cs="Arial"/>
        </w:rPr>
        <w:t>,</w:t>
      </w:r>
      <w:r w:rsidR="00F37F45">
        <w:rPr>
          <w:rFonts w:ascii="Calibri" w:eastAsia="Calibri" w:hAnsi="Calibri" w:cs="Arial"/>
        </w:rPr>
        <w:t xml:space="preserve"> 2001</w:t>
      </w:r>
      <w:r w:rsidR="00904F8B">
        <w:rPr>
          <w:rFonts w:ascii="Calibri" w:eastAsia="Calibri" w:hAnsi="Calibri" w:cs="Arial"/>
        </w:rPr>
        <w:t>;</w:t>
      </w:r>
      <w:r w:rsidR="00F37F45">
        <w:rPr>
          <w:rFonts w:ascii="Calibri" w:eastAsia="Calibri" w:hAnsi="Calibri" w:cs="Arial"/>
        </w:rPr>
        <w:t xml:space="preserve"> </w:t>
      </w:r>
      <w:r w:rsidR="00BD6D14">
        <w:rPr>
          <w:rFonts w:ascii="Calibri" w:eastAsia="Calibri" w:hAnsi="Calibri" w:cs="Arial"/>
        </w:rPr>
        <w:t xml:space="preserve">Saint-Arnaud and Bernard, 2003; </w:t>
      </w:r>
      <w:r w:rsidR="00095A7F">
        <w:rPr>
          <w:rFonts w:ascii="Calibri" w:eastAsia="Calibri" w:hAnsi="Calibri" w:cs="Arial"/>
        </w:rPr>
        <w:t xml:space="preserve">Powell and Barrientos, 2004; Wood and Gough, 2006; </w:t>
      </w:r>
      <w:r w:rsidR="00F37F45">
        <w:rPr>
          <w:rFonts w:ascii="Calibri" w:eastAsia="Calibri" w:hAnsi="Calibri" w:cs="Arial"/>
        </w:rPr>
        <w:lastRenderedPageBreak/>
        <w:t>Bambra</w:t>
      </w:r>
      <w:r w:rsidR="00904F8B">
        <w:rPr>
          <w:rFonts w:ascii="Calibri" w:eastAsia="Calibri" w:hAnsi="Calibri" w:cs="Arial"/>
        </w:rPr>
        <w:t>, 2007;</w:t>
      </w:r>
      <w:r w:rsidR="00F37F45">
        <w:rPr>
          <w:rFonts w:ascii="Calibri" w:eastAsia="Calibri" w:hAnsi="Calibri" w:cs="Arial"/>
        </w:rPr>
        <w:t xml:space="preserve"> Abu Sharkh and Gough 2010</w:t>
      </w:r>
      <w:r w:rsidR="00904F8B">
        <w:rPr>
          <w:rFonts w:ascii="Calibri" w:eastAsia="Calibri" w:hAnsi="Calibri" w:cs="Arial"/>
        </w:rPr>
        <w:t>;</w:t>
      </w:r>
      <w:r w:rsidR="008A58E2">
        <w:rPr>
          <w:rFonts w:ascii="Calibri" w:eastAsia="Calibri" w:hAnsi="Calibri" w:cs="Arial"/>
        </w:rPr>
        <w:t xml:space="preserve"> Stoy, 2012</w:t>
      </w:r>
      <w:r w:rsidR="00F37F45">
        <w:rPr>
          <w:rFonts w:ascii="Calibri" w:eastAsia="Calibri" w:hAnsi="Calibri" w:cs="Arial"/>
        </w:rPr>
        <w:t>)</w:t>
      </w:r>
      <w:r w:rsidR="00C874CE">
        <w:rPr>
          <w:rFonts w:ascii="Calibri" w:eastAsia="Calibri" w:hAnsi="Calibri" w:cs="Arial"/>
        </w:rPr>
        <w:t>.</w:t>
      </w:r>
      <w:r w:rsidR="00F37F45">
        <w:rPr>
          <w:rFonts w:ascii="Calibri" w:eastAsia="Calibri" w:hAnsi="Calibri" w:cs="Arial"/>
        </w:rPr>
        <w:t xml:space="preserve"> </w:t>
      </w:r>
      <w:r w:rsidR="0088319F">
        <w:rPr>
          <w:rFonts w:ascii="Calibri" w:eastAsia="Calibri" w:hAnsi="Calibri" w:cs="Arial"/>
        </w:rPr>
        <w:t>No examples of the use of PAM in the welfare regime literature have been found and therefore both in the use of PAM and in the sequential use of all three cluster techniques, this paper is original.</w:t>
      </w:r>
      <w:r w:rsidR="00862063">
        <w:rPr>
          <w:rFonts w:ascii="Calibri" w:eastAsia="Calibri" w:hAnsi="Calibri" w:cs="Arial"/>
        </w:rPr>
        <w:t xml:space="preserve"> The results generated are also original.</w:t>
      </w:r>
      <w:r w:rsidR="00BC70D3">
        <w:rPr>
          <w:rFonts w:ascii="Calibri" w:eastAsia="Calibri" w:hAnsi="Calibri" w:cs="Arial"/>
        </w:rPr>
        <w:t xml:space="preserve"> Ways of presenting the results, in particular Figures </w:t>
      </w:r>
      <w:r w:rsidR="00B76026">
        <w:rPr>
          <w:rFonts w:ascii="Calibri" w:eastAsia="Calibri" w:hAnsi="Calibri" w:cs="Arial"/>
        </w:rPr>
        <w:t xml:space="preserve">2, </w:t>
      </w:r>
      <w:r w:rsidR="00BC70D3">
        <w:rPr>
          <w:rFonts w:ascii="Calibri" w:eastAsia="Calibri" w:hAnsi="Calibri" w:cs="Arial"/>
        </w:rPr>
        <w:t>3 and 4, are also new to the welfare regime literature.</w:t>
      </w:r>
    </w:p>
    <w:p w:rsidR="00F37F45" w:rsidRDefault="00F37F45" w:rsidP="002B3961">
      <w:pPr>
        <w:spacing w:line="360" w:lineRule="auto"/>
        <w:jc w:val="both"/>
        <w:rPr>
          <w:rFonts w:ascii="Calibri" w:eastAsia="Calibri" w:hAnsi="Calibri" w:cs="Arial"/>
        </w:rPr>
      </w:pPr>
      <w:r>
        <w:rPr>
          <w:rFonts w:ascii="Calibri" w:eastAsia="Calibri" w:hAnsi="Calibri" w:cs="Arial"/>
        </w:rPr>
        <w:t xml:space="preserve">The HCA algorithm starts with each country </w:t>
      </w:r>
      <w:r w:rsidR="00F03D48">
        <w:rPr>
          <w:rFonts w:ascii="Calibri" w:eastAsia="Calibri" w:hAnsi="Calibri" w:cs="Arial"/>
        </w:rPr>
        <w:t xml:space="preserve">separate </w:t>
      </w:r>
      <w:r>
        <w:rPr>
          <w:rFonts w:ascii="Calibri" w:eastAsia="Calibri" w:hAnsi="Calibri" w:cs="Arial"/>
        </w:rPr>
        <w:t xml:space="preserve">in </w:t>
      </w:r>
      <w:r w:rsidR="00F03D48">
        <w:rPr>
          <w:rFonts w:ascii="Calibri" w:eastAsia="Calibri" w:hAnsi="Calibri" w:cs="Arial"/>
        </w:rPr>
        <w:t xml:space="preserve">its own </w:t>
      </w:r>
      <w:r>
        <w:rPr>
          <w:rFonts w:ascii="Calibri" w:eastAsia="Calibri" w:hAnsi="Calibri" w:cs="Arial"/>
        </w:rPr>
        <w:t xml:space="preserve">distinct cluster, and at each level recursively merges </w:t>
      </w:r>
      <w:r w:rsidR="00F03D48">
        <w:rPr>
          <w:rFonts w:ascii="Calibri" w:eastAsia="Calibri" w:hAnsi="Calibri" w:cs="Arial"/>
        </w:rPr>
        <w:t xml:space="preserve">the </w:t>
      </w:r>
      <w:r>
        <w:rPr>
          <w:rFonts w:ascii="Calibri" w:eastAsia="Calibri" w:hAnsi="Calibri" w:cs="Arial"/>
        </w:rPr>
        <w:t xml:space="preserve">pair of clusters with the minimum dissimilarity into a single cluster. At the final level there is only one cluster containing all the countries.  A </w:t>
      </w:r>
      <w:r w:rsidR="00383AC3">
        <w:rPr>
          <w:rFonts w:ascii="Calibri" w:eastAsia="Calibri" w:hAnsi="Calibri" w:cs="Arial"/>
        </w:rPr>
        <w:t>visual representation</w:t>
      </w:r>
      <w:r>
        <w:rPr>
          <w:rFonts w:ascii="Calibri" w:eastAsia="Calibri" w:hAnsi="Calibri" w:cs="Arial"/>
        </w:rPr>
        <w:t xml:space="preserve"> of the HCA method is provided </w:t>
      </w:r>
      <w:r w:rsidR="0088319F">
        <w:rPr>
          <w:rFonts w:ascii="Calibri" w:eastAsia="Calibri" w:hAnsi="Calibri" w:cs="Arial"/>
        </w:rPr>
        <w:t>in</w:t>
      </w:r>
      <w:r>
        <w:rPr>
          <w:rFonts w:ascii="Calibri" w:eastAsia="Calibri" w:hAnsi="Calibri" w:cs="Arial"/>
        </w:rPr>
        <w:t xml:space="preserve"> the solution’s dendrogram, which </w:t>
      </w:r>
      <w:r w:rsidR="00B55FEC">
        <w:rPr>
          <w:rFonts w:ascii="Calibri" w:eastAsia="Calibri" w:hAnsi="Calibri" w:cs="Arial"/>
        </w:rPr>
        <w:t>summarizes</w:t>
      </w:r>
      <w:r>
        <w:rPr>
          <w:rFonts w:ascii="Calibri" w:eastAsia="Calibri" w:hAnsi="Calibri" w:cs="Arial"/>
        </w:rPr>
        <w:t xml:space="preserve"> the cluster combinations in each step with a relative distance scale. The dendrogram is a helpful tool for determining the appropriate number of clusters, something that is </w:t>
      </w:r>
      <w:r w:rsidR="0088319F">
        <w:rPr>
          <w:rFonts w:ascii="Calibri" w:eastAsia="Calibri" w:hAnsi="Calibri" w:cs="Arial"/>
        </w:rPr>
        <w:t xml:space="preserve">partly </w:t>
      </w:r>
      <w:r>
        <w:rPr>
          <w:rFonts w:ascii="Calibri" w:eastAsia="Calibri" w:hAnsi="Calibri" w:cs="Arial"/>
        </w:rPr>
        <w:t xml:space="preserve">judgmental and </w:t>
      </w:r>
      <w:r w:rsidR="0088319F">
        <w:rPr>
          <w:rFonts w:ascii="Calibri" w:eastAsia="Calibri" w:hAnsi="Calibri" w:cs="Arial"/>
        </w:rPr>
        <w:t xml:space="preserve">partly </w:t>
      </w:r>
      <w:r>
        <w:rPr>
          <w:rFonts w:ascii="Calibri" w:eastAsia="Calibri" w:hAnsi="Calibri" w:cs="Arial"/>
        </w:rPr>
        <w:t xml:space="preserve">based on theoretical background. K-means and PAM methods require </w:t>
      </w:r>
      <w:r w:rsidRPr="00B55FEC">
        <w:rPr>
          <w:rFonts w:ascii="Calibri" w:eastAsia="Calibri" w:hAnsi="Calibri" w:cs="Arial"/>
          <w:i/>
          <w:iCs/>
        </w:rPr>
        <w:t>a priori</w:t>
      </w:r>
      <w:r>
        <w:rPr>
          <w:rFonts w:ascii="Calibri" w:eastAsia="Calibri" w:hAnsi="Calibri" w:cs="Arial"/>
        </w:rPr>
        <w:t xml:space="preserve"> specification of the desired number of clusters, something that might need additional analysis</w:t>
      </w:r>
      <w:r w:rsidR="002B3961">
        <w:rPr>
          <w:rFonts w:ascii="Calibri" w:eastAsia="Calibri" w:hAnsi="Calibri" w:cs="Arial"/>
        </w:rPr>
        <w:t>.</w:t>
      </w:r>
      <w:r>
        <w:rPr>
          <w:rFonts w:ascii="Calibri" w:eastAsia="Calibri" w:hAnsi="Calibri" w:cs="Arial"/>
        </w:rPr>
        <w:t xml:space="preserve"> </w:t>
      </w:r>
      <w:r w:rsidR="0088319F">
        <w:rPr>
          <w:rFonts w:ascii="Calibri" w:eastAsia="Calibri" w:hAnsi="Calibri" w:cs="Arial"/>
        </w:rPr>
        <w:t>In our case,</w:t>
      </w:r>
      <w:r>
        <w:rPr>
          <w:rFonts w:ascii="Calibri" w:eastAsia="Calibri" w:hAnsi="Calibri" w:cs="Arial"/>
        </w:rPr>
        <w:t xml:space="preserve"> the number of clusters considered is either two or three</w:t>
      </w:r>
      <w:r w:rsidR="00B55FEC">
        <w:rPr>
          <w:rFonts w:ascii="Calibri" w:eastAsia="Calibri" w:hAnsi="Calibri" w:cs="Arial"/>
        </w:rPr>
        <w:t>,</w:t>
      </w:r>
      <w:r>
        <w:rPr>
          <w:rFonts w:ascii="Calibri" w:eastAsia="Calibri" w:hAnsi="Calibri" w:cs="Arial"/>
        </w:rPr>
        <w:t xml:space="preserve"> based on the </w:t>
      </w:r>
      <w:r w:rsidR="0088319F">
        <w:rPr>
          <w:rFonts w:ascii="Calibri" w:eastAsia="Calibri" w:hAnsi="Calibri" w:cs="Arial"/>
        </w:rPr>
        <w:t>theory</w:t>
      </w:r>
      <w:r w:rsidRPr="005123DD">
        <w:rPr>
          <w:rFonts w:ascii="Calibri" w:eastAsia="Calibri" w:hAnsi="Calibri" w:cs="Arial"/>
        </w:rPr>
        <w:t xml:space="preserve"> </w:t>
      </w:r>
      <w:r w:rsidR="0088319F">
        <w:rPr>
          <w:rFonts w:ascii="Calibri" w:eastAsia="Calibri" w:hAnsi="Calibri" w:cs="Arial"/>
        </w:rPr>
        <w:t>emerging from</w:t>
      </w:r>
      <w:r w:rsidRPr="005123DD">
        <w:rPr>
          <w:rFonts w:ascii="Calibri" w:eastAsia="Calibri" w:hAnsi="Calibri" w:cs="Arial"/>
        </w:rPr>
        <w:t xml:space="preserve"> the literature review.</w:t>
      </w:r>
      <w:r>
        <w:rPr>
          <w:rFonts w:ascii="Calibri" w:eastAsia="Calibri" w:hAnsi="Calibri" w:cs="Arial"/>
        </w:rPr>
        <w:t xml:space="preserve"> Both of the algorithms start with an initial assignment of the </w:t>
      </w:r>
      <w:r w:rsidR="0088319F">
        <w:rPr>
          <w:rFonts w:ascii="Calibri" w:eastAsia="Calibri" w:hAnsi="Calibri" w:cs="Arial"/>
        </w:rPr>
        <w:t>countries into clusters;</w:t>
      </w:r>
      <w:r>
        <w:rPr>
          <w:rFonts w:ascii="Calibri" w:eastAsia="Calibri" w:hAnsi="Calibri" w:cs="Arial"/>
        </w:rPr>
        <w:t xml:space="preserve"> at each iteration every country is reassigned to the cluster with the closest cluster centre, and the iterations continue until the assignments do not change. </w:t>
      </w:r>
      <w:r w:rsidR="0088319F">
        <w:rPr>
          <w:rFonts w:ascii="Calibri" w:eastAsia="Calibri" w:hAnsi="Calibri" w:cs="Arial"/>
        </w:rPr>
        <w:t xml:space="preserve">With </w:t>
      </w:r>
      <w:r>
        <w:rPr>
          <w:rFonts w:ascii="Calibri" w:eastAsia="Calibri" w:hAnsi="Calibri" w:cs="Arial"/>
        </w:rPr>
        <w:t xml:space="preserve">the appropriate number of clusters, K-means and PAM methods are more flexible and powerful </w:t>
      </w:r>
      <w:r w:rsidR="0088319F">
        <w:rPr>
          <w:rFonts w:ascii="Calibri" w:eastAsia="Calibri" w:hAnsi="Calibri" w:cs="Arial"/>
        </w:rPr>
        <w:t>than</w:t>
      </w:r>
      <w:r>
        <w:rPr>
          <w:rFonts w:ascii="Calibri" w:eastAsia="Calibri" w:hAnsi="Calibri" w:cs="Arial"/>
        </w:rPr>
        <w:t xml:space="preserve"> HCA since they permit reclassification of a country into a different cluster in each iteration. The main difference between the K-means and PAM methods is that in the case of PAM the cluster centres, called medoids, are actual data points, i.e. countries, that </w:t>
      </w:r>
      <w:r w:rsidR="00EA250A">
        <w:rPr>
          <w:rFonts w:ascii="Calibri" w:eastAsia="Calibri" w:hAnsi="Calibri" w:cs="Arial"/>
        </w:rPr>
        <w:t>minimize</w:t>
      </w:r>
      <w:r>
        <w:rPr>
          <w:rFonts w:ascii="Calibri" w:eastAsia="Calibri" w:hAnsi="Calibri" w:cs="Arial"/>
        </w:rPr>
        <w:t xml:space="preserve"> the distances from the rest of</w:t>
      </w:r>
      <w:r w:rsidR="00EA250A">
        <w:rPr>
          <w:rFonts w:ascii="Calibri" w:eastAsia="Calibri" w:hAnsi="Calibri" w:cs="Arial"/>
        </w:rPr>
        <w:t xml:space="preserve"> the data points in the cluster;</w:t>
      </w:r>
      <w:r>
        <w:rPr>
          <w:rFonts w:ascii="Calibri" w:eastAsia="Calibri" w:hAnsi="Calibri" w:cs="Arial"/>
        </w:rPr>
        <w:t xml:space="preserve"> in the case of K-means the cluster centres are the mean values of the cluster data points. PAM is </w:t>
      </w:r>
      <w:r w:rsidR="00862063">
        <w:rPr>
          <w:rFonts w:ascii="Calibri" w:eastAsia="Calibri" w:hAnsi="Calibri" w:cs="Arial"/>
        </w:rPr>
        <w:t xml:space="preserve">also </w:t>
      </w:r>
      <w:r>
        <w:rPr>
          <w:rFonts w:ascii="Calibri" w:eastAsia="Calibri" w:hAnsi="Calibri" w:cs="Arial"/>
        </w:rPr>
        <w:t>flexible in the choice of the dissimilarity measure, something that K-means lack</w:t>
      </w:r>
      <w:r w:rsidR="00EA250A">
        <w:rPr>
          <w:rFonts w:ascii="Calibri" w:eastAsia="Calibri" w:hAnsi="Calibri" w:cs="Arial"/>
        </w:rPr>
        <w:t>s</w:t>
      </w:r>
      <w:r>
        <w:rPr>
          <w:rFonts w:ascii="Calibri" w:eastAsia="Calibri" w:hAnsi="Calibri" w:cs="Arial"/>
        </w:rPr>
        <w:t xml:space="preserve">, since the </w:t>
      </w:r>
      <w:r w:rsidR="00EA250A">
        <w:rPr>
          <w:rFonts w:ascii="Calibri" w:eastAsia="Calibri" w:hAnsi="Calibri" w:cs="Arial"/>
        </w:rPr>
        <w:t xml:space="preserve">latter </w:t>
      </w:r>
      <w:r>
        <w:rPr>
          <w:rFonts w:ascii="Calibri" w:eastAsia="Calibri" w:hAnsi="Calibri" w:cs="Arial"/>
        </w:rPr>
        <w:t xml:space="preserve">algorithm is appropriate only when the dissimilarity measure is the squared Euclidean distance. </w:t>
      </w:r>
    </w:p>
    <w:p w:rsidR="00655F2F" w:rsidRDefault="00105CF1" w:rsidP="002B3961">
      <w:pPr>
        <w:spacing w:line="360" w:lineRule="auto"/>
        <w:jc w:val="both"/>
        <w:rPr>
          <w:rFonts w:ascii="Calibri" w:eastAsia="Calibri" w:hAnsi="Calibri" w:cs="Arial"/>
        </w:rPr>
      </w:pPr>
      <w:r w:rsidRPr="00105CF1">
        <w:rPr>
          <w:rFonts w:ascii="Calibri" w:eastAsia="Calibri" w:hAnsi="Calibri" w:cs="Arial"/>
        </w:rPr>
        <w:t xml:space="preserve">All the variables used in the analysis are interval variables and they are first standardized. Euclidean distance is a suitable dissimilarity measure for this data since there are no extreme outliers in any of the variables, and therefore it is used in all of the methods. </w:t>
      </w:r>
      <w:r w:rsidR="00EA250A">
        <w:rPr>
          <w:rFonts w:ascii="Calibri" w:eastAsia="Calibri" w:hAnsi="Calibri" w:cs="Arial"/>
        </w:rPr>
        <w:t>I</w:t>
      </w:r>
      <w:r w:rsidRPr="00105CF1">
        <w:rPr>
          <w:rFonts w:ascii="Calibri" w:eastAsia="Calibri" w:hAnsi="Calibri" w:cs="Arial"/>
        </w:rPr>
        <w:t>n the case of HCA the objective function used for choosing the pair of clusters to merge at each level is the Ward’s minimum within cluster variance</w:t>
      </w:r>
      <w:r w:rsidR="002B3961">
        <w:rPr>
          <w:rFonts w:ascii="Calibri" w:eastAsia="Calibri" w:hAnsi="Calibri" w:cs="Arial"/>
        </w:rPr>
        <w:t xml:space="preserve">. </w:t>
      </w:r>
      <w:r w:rsidR="00EA250A">
        <w:rPr>
          <w:rFonts w:ascii="Calibri" w:eastAsia="Calibri" w:hAnsi="Calibri" w:cs="Arial"/>
        </w:rPr>
        <w:t>Ward’s method is also used in</w:t>
      </w:r>
      <w:r w:rsidR="00C13188" w:rsidRPr="00C13188">
        <w:rPr>
          <w:rFonts w:ascii="Arial" w:hAnsi="Arial" w:cs="Arial"/>
        </w:rPr>
        <w:t xml:space="preserve"> </w:t>
      </w:r>
      <w:r w:rsidR="00C13188" w:rsidRPr="00C13188">
        <w:rPr>
          <w:rFonts w:ascii="Calibri" w:eastAsia="Calibri" w:hAnsi="Calibri" w:cs="Arial"/>
        </w:rPr>
        <w:t>Saint-Arnaud and Bernard</w:t>
      </w:r>
      <w:r w:rsidR="00C13188">
        <w:rPr>
          <w:rFonts w:ascii="Calibri" w:eastAsia="Calibri" w:hAnsi="Calibri" w:cs="Arial"/>
        </w:rPr>
        <w:t xml:space="preserve"> </w:t>
      </w:r>
      <w:r w:rsidR="002B3961">
        <w:rPr>
          <w:rFonts w:ascii="Calibri" w:eastAsia="Calibri" w:hAnsi="Calibri" w:cs="Arial"/>
        </w:rPr>
        <w:t>(</w:t>
      </w:r>
      <w:r w:rsidR="00C13188">
        <w:rPr>
          <w:rFonts w:ascii="Calibri" w:eastAsia="Calibri" w:hAnsi="Calibri" w:cs="Arial"/>
        </w:rPr>
        <w:t>2003</w:t>
      </w:r>
      <w:r w:rsidR="002B3961">
        <w:rPr>
          <w:rFonts w:ascii="Calibri" w:eastAsia="Calibri" w:hAnsi="Calibri" w:cs="Arial"/>
        </w:rPr>
        <w:t>)</w:t>
      </w:r>
      <w:r w:rsidR="00C13188">
        <w:rPr>
          <w:rFonts w:ascii="Calibri" w:eastAsia="Calibri" w:hAnsi="Calibri" w:cs="Arial"/>
        </w:rPr>
        <w:t>,</w:t>
      </w:r>
      <w:r w:rsidR="00EA250A">
        <w:rPr>
          <w:rFonts w:ascii="Calibri" w:eastAsia="Calibri" w:hAnsi="Calibri" w:cs="Arial"/>
        </w:rPr>
        <w:t xml:space="preserve"> Powell</w:t>
      </w:r>
      <w:r w:rsidR="002B3961">
        <w:rPr>
          <w:rFonts w:ascii="Calibri" w:eastAsia="Calibri" w:hAnsi="Calibri" w:cs="Arial"/>
        </w:rPr>
        <w:t xml:space="preserve"> and Barrientos</w:t>
      </w:r>
      <w:r w:rsidR="00EA250A">
        <w:rPr>
          <w:rFonts w:ascii="Calibri" w:eastAsia="Calibri" w:hAnsi="Calibri" w:cs="Arial"/>
        </w:rPr>
        <w:t xml:space="preserve"> </w:t>
      </w:r>
      <w:r w:rsidR="002B3961">
        <w:rPr>
          <w:rFonts w:ascii="Calibri" w:eastAsia="Calibri" w:hAnsi="Calibri" w:cs="Arial"/>
        </w:rPr>
        <w:t>(</w:t>
      </w:r>
      <w:r w:rsidR="00EA250A">
        <w:rPr>
          <w:rFonts w:ascii="Calibri" w:eastAsia="Calibri" w:hAnsi="Calibri" w:cs="Arial"/>
        </w:rPr>
        <w:t>2004</w:t>
      </w:r>
      <w:r w:rsidR="002B3961">
        <w:rPr>
          <w:rFonts w:ascii="Calibri" w:eastAsia="Calibri" w:hAnsi="Calibri" w:cs="Arial"/>
        </w:rPr>
        <w:t>) and Castles and Obinger</w:t>
      </w:r>
      <w:r w:rsidR="00EA250A">
        <w:rPr>
          <w:rFonts w:ascii="Calibri" w:eastAsia="Calibri" w:hAnsi="Calibri" w:cs="Arial"/>
        </w:rPr>
        <w:t xml:space="preserve"> </w:t>
      </w:r>
      <w:r w:rsidR="002B3961">
        <w:rPr>
          <w:rFonts w:ascii="Calibri" w:eastAsia="Calibri" w:hAnsi="Calibri" w:cs="Arial"/>
        </w:rPr>
        <w:t>(</w:t>
      </w:r>
      <w:r w:rsidR="00EA250A">
        <w:rPr>
          <w:rFonts w:ascii="Calibri" w:eastAsia="Calibri" w:hAnsi="Calibri" w:cs="Arial"/>
        </w:rPr>
        <w:t>2008</w:t>
      </w:r>
      <w:r w:rsidR="002B3961">
        <w:rPr>
          <w:rFonts w:ascii="Calibri" w:eastAsia="Calibri" w:hAnsi="Calibri" w:cs="Arial"/>
        </w:rPr>
        <w:t>)</w:t>
      </w:r>
      <w:r w:rsidR="00EA250A">
        <w:rPr>
          <w:rFonts w:ascii="Calibri" w:eastAsia="Calibri" w:hAnsi="Calibri" w:cs="Arial"/>
        </w:rPr>
        <w:t>, among others</w:t>
      </w:r>
      <w:r w:rsidRPr="00105CF1">
        <w:rPr>
          <w:rFonts w:ascii="Calibri" w:eastAsia="Calibri" w:hAnsi="Calibri" w:cs="Arial"/>
        </w:rPr>
        <w:t>.</w:t>
      </w:r>
    </w:p>
    <w:p w:rsidR="000633DD" w:rsidRDefault="00105CF1" w:rsidP="00B1795B">
      <w:pPr>
        <w:spacing w:line="360" w:lineRule="auto"/>
        <w:jc w:val="both"/>
        <w:rPr>
          <w:rFonts w:ascii="Calibri" w:eastAsia="Calibri" w:hAnsi="Calibri" w:cs="Arial"/>
        </w:rPr>
      </w:pPr>
      <w:r>
        <w:rPr>
          <w:rFonts w:ascii="Calibri" w:eastAsia="Calibri" w:hAnsi="Calibri" w:cs="Arial"/>
        </w:rPr>
        <w:t>Statistical cluster a</w:t>
      </w:r>
      <w:r w:rsidRPr="00105CF1">
        <w:rPr>
          <w:rFonts w:ascii="Calibri" w:eastAsia="Calibri" w:hAnsi="Calibri" w:cs="Arial"/>
        </w:rPr>
        <w:t>nalysis is a descriptive tool with no under</w:t>
      </w:r>
      <w:r>
        <w:rPr>
          <w:rFonts w:ascii="Calibri" w:eastAsia="Calibri" w:hAnsi="Calibri" w:cs="Arial"/>
        </w:rPr>
        <w:t xml:space="preserve">lying assumptions. </w:t>
      </w:r>
      <w:r w:rsidR="00AC3F15">
        <w:rPr>
          <w:rFonts w:ascii="Calibri" w:eastAsia="Calibri" w:hAnsi="Calibri" w:cs="Arial"/>
        </w:rPr>
        <w:t xml:space="preserve">Pictorial representations of the results of cluster analysis, in addition to the dendogram of HCA, include </w:t>
      </w:r>
      <w:r>
        <w:rPr>
          <w:rFonts w:ascii="Calibri" w:eastAsia="Calibri" w:hAnsi="Calibri" w:cs="Arial"/>
        </w:rPr>
        <w:t>the</w:t>
      </w:r>
      <w:r w:rsidRPr="00105CF1">
        <w:rPr>
          <w:rFonts w:ascii="Calibri" w:eastAsia="Calibri" w:hAnsi="Calibri" w:cs="Arial"/>
        </w:rPr>
        <w:t xml:space="preserve"> scatte</w:t>
      </w:r>
      <w:r>
        <w:rPr>
          <w:rFonts w:ascii="Calibri" w:eastAsia="Calibri" w:hAnsi="Calibri" w:cs="Arial"/>
        </w:rPr>
        <w:t>r plot of the two principal components of the data and</w:t>
      </w:r>
      <w:r w:rsidRPr="00105CF1">
        <w:rPr>
          <w:rFonts w:ascii="Calibri" w:eastAsia="Calibri" w:hAnsi="Calibri" w:cs="Arial"/>
        </w:rPr>
        <w:t xml:space="preserve"> pairwise scatter plots of the variables used. </w:t>
      </w:r>
      <w:r w:rsidR="0044759A">
        <w:rPr>
          <w:rFonts w:ascii="Calibri" w:eastAsia="Calibri" w:hAnsi="Calibri" w:cs="Arial"/>
        </w:rPr>
        <w:t xml:space="preserve">Having identified the clusters it is then necessary to test the dissimilarity of each variable between the clusters.  </w:t>
      </w:r>
      <w:r w:rsidR="00804A7C" w:rsidRPr="00804A7C">
        <w:rPr>
          <w:rFonts w:ascii="Calibri" w:eastAsia="Calibri" w:hAnsi="Calibri" w:cs="Arial"/>
          <w:lang w:val="en-GB"/>
        </w:rPr>
        <w:t xml:space="preserve">The Kruskal-Wallis rank sum test identifies whether there are significant </w:t>
      </w:r>
      <w:r w:rsidR="00804A7C" w:rsidRPr="00804A7C">
        <w:rPr>
          <w:rFonts w:ascii="Calibri" w:eastAsia="Calibri" w:hAnsi="Calibri" w:cs="Arial"/>
          <w:lang w:val="en-GB"/>
        </w:rPr>
        <w:lastRenderedPageBreak/>
        <w:t>differences in the distributions between the clusters of each of the variables. It is the non-parametric equivalent of the one-way Anova test.  The Wilcoxon-Man</w:t>
      </w:r>
      <w:r w:rsidR="006F4D8E">
        <w:rPr>
          <w:rFonts w:ascii="Calibri" w:eastAsia="Calibri" w:hAnsi="Calibri" w:cs="Arial"/>
          <w:lang w:val="en-GB"/>
        </w:rPr>
        <w:t>n</w:t>
      </w:r>
      <w:r w:rsidR="00804A7C" w:rsidRPr="00804A7C">
        <w:rPr>
          <w:rFonts w:ascii="Calibri" w:eastAsia="Calibri" w:hAnsi="Calibri" w:cs="Arial"/>
          <w:lang w:val="en-GB"/>
        </w:rPr>
        <w:t xml:space="preserve">-Whitney </w:t>
      </w:r>
      <w:r w:rsidR="005716D2">
        <w:rPr>
          <w:rFonts w:ascii="Calibri" w:eastAsia="Calibri" w:hAnsi="Calibri" w:cs="Arial"/>
          <w:lang w:val="en-GB"/>
        </w:rPr>
        <w:t xml:space="preserve">(WMW) </w:t>
      </w:r>
      <w:r w:rsidR="00804A7C" w:rsidRPr="00804A7C">
        <w:rPr>
          <w:rFonts w:ascii="Calibri" w:eastAsia="Calibri" w:hAnsi="Calibri" w:cs="Arial"/>
          <w:lang w:val="en-GB"/>
        </w:rPr>
        <w:t>rank sum test compares, for each pair of clusters, the distribution of the variables. It is the non-parametric equivalent of the two independent sample t-test.  The WMW thus provides a multiple comparison of variable distributions for cluster pairs.</w:t>
      </w:r>
      <w:r w:rsidRPr="00105CF1">
        <w:rPr>
          <w:rFonts w:ascii="Calibri" w:eastAsia="Calibri" w:hAnsi="Calibri" w:cs="Arial"/>
        </w:rPr>
        <w:t xml:space="preserve"> In the case of three clusters, in order to test whether the cluster distances differ for different pairs of clusters, the WMW test is applied on the set of all the </w:t>
      </w:r>
      <w:r w:rsidR="00B55FEC">
        <w:rPr>
          <w:rFonts w:ascii="Calibri" w:eastAsia="Calibri" w:hAnsi="Calibri" w:cs="Arial"/>
        </w:rPr>
        <w:t xml:space="preserve">Euclidian </w:t>
      </w:r>
      <w:r w:rsidRPr="00105CF1">
        <w:rPr>
          <w:rFonts w:ascii="Calibri" w:eastAsia="Calibri" w:hAnsi="Calibri" w:cs="Arial"/>
        </w:rPr>
        <w:t>distances</w:t>
      </w:r>
      <w:r w:rsidR="00B55FEC">
        <w:rPr>
          <w:rFonts w:ascii="Calibri" w:eastAsia="Calibri" w:hAnsi="Calibri" w:cs="Arial"/>
        </w:rPr>
        <w:t xml:space="preserve"> (using the array of </w:t>
      </w:r>
      <w:r w:rsidR="00B11662">
        <w:rPr>
          <w:rFonts w:ascii="Calibri" w:eastAsia="Calibri" w:hAnsi="Calibri" w:cs="Arial"/>
        </w:rPr>
        <w:t xml:space="preserve">the </w:t>
      </w:r>
      <w:r w:rsidR="00B55FEC">
        <w:rPr>
          <w:rFonts w:ascii="Calibri" w:eastAsia="Calibri" w:hAnsi="Calibri" w:cs="Arial"/>
        </w:rPr>
        <w:t>six variables</w:t>
      </w:r>
      <w:r w:rsidR="00B11662">
        <w:rPr>
          <w:rFonts w:ascii="Calibri" w:eastAsia="Calibri" w:hAnsi="Calibri" w:cs="Arial"/>
        </w:rPr>
        <w:t xml:space="preserve"> shown in Table 2</w:t>
      </w:r>
      <w:r w:rsidR="00B55FEC">
        <w:rPr>
          <w:rFonts w:ascii="Calibri" w:eastAsia="Calibri" w:hAnsi="Calibri" w:cs="Arial"/>
        </w:rPr>
        <w:t>)</w:t>
      </w:r>
      <w:r w:rsidRPr="00105CF1">
        <w:rPr>
          <w:rFonts w:ascii="Calibri" w:eastAsia="Calibri" w:hAnsi="Calibri" w:cs="Arial"/>
        </w:rPr>
        <w:t xml:space="preserve"> between the countries of the two clusters in each pair</w:t>
      </w:r>
      <w:r w:rsidR="00B55FEC">
        <w:rPr>
          <w:rFonts w:ascii="Calibri" w:eastAsia="Calibri" w:hAnsi="Calibri" w:cs="Arial"/>
        </w:rPr>
        <w:t xml:space="preserve"> of clusters</w:t>
      </w:r>
      <w:r w:rsidRPr="00105CF1">
        <w:rPr>
          <w:rFonts w:ascii="Calibri" w:eastAsia="Calibri" w:hAnsi="Calibri" w:cs="Arial"/>
        </w:rPr>
        <w:t>.</w:t>
      </w:r>
      <w:r w:rsidR="00AC3F15">
        <w:rPr>
          <w:rFonts w:ascii="Calibri" w:eastAsia="Calibri" w:hAnsi="Calibri" w:cs="Arial"/>
        </w:rPr>
        <w:t xml:space="preserve"> </w:t>
      </w:r>
      <w:r w:rsidR="009D6C3F">
        <w:rPr>
          <w:rFonts w:ascii="Calibri" w:eastAsia="Calibri" w:hAnsi="Calibri" w:cs="Arial"/>
        </w:rPr>
        <w:t xml:space="preserve">Probability density estimation – with kernel smoothing – is used for a graphical representation of the distributions of these distances for each pair of clusters.  </w:t>
      </w:r>
      <w:r w:rsidR="00B55FEC" w:rsidRPr="00B55FEC">
        <w:rPr>
          <w:rFonts w:ascii="Calibri" w:eastAsia="Calibri" w:hAnsi="Calibri" w:cs="Arial"/>
        </w:rPr>
        <w:t xml:space="preserve">The analysis </w:t>
      </w:r>
      <w:r w:rsidR="00AC3F15">
        <w:rPr>
          <w:rFonts w:ascii="Calibri" w:eastAsia="Calibri" w:hAnsi="Calibri" w:cs="Arial"/>
        </w:rPr>
        <w:t xml:space="preserve">is </w:t>
      </w:r>
      <w:r w:rsidR="00B55FEC" w:rsidRPr="00B55FEC">
        <w:rPr>
          <w:rFonts w:ascii="Calibri" w:eastAsia="Calibri" w:hAnsi="Calibri" w:cs="Arial"/>
        </w:rPr>
        <w:t xml:space="preserve">performed in R, </w:t>
      </w:r>
      <w:r w:rsidR="00B55FEC">
        <w:rPr>
          <w:rFonts w:ascii="Calibri" w:eastAsia="Calibri" w:hAnsi="Calibri" w:cs="Arial"/>
        </w:rPr>
        <w:t xml:space="preserve">which </w:t>
      </w:r>
      <w:r w:rsidR="00B55FEC" w:rsidRPr="00B55FEC">
        <w:rPr>
          <w:rFonts w:ascii="Calibri" w:eastAsia="Calibri" w:hAnsi="Calibri" w:cs="Arial"/>
        </w:rPr>
        <w:t xml:space="preserve">has very flexible graphical solutions and </w:t>
      </w:r>
      <w:r w:rsidR="00B55FEC">
        <w:rPr>
          <w:rFonts w:ascii="Calibri" w:eastAsia="Calibri" w:hAnsi="Calibri" w:cs="Arial"/>
        </w:rPr>
        <w:t>a built</w:t>
      </w:r>
      <w:r w:rsidR="00B55FEC" w:rsidRPr="00B55FEC">
        <w:rPr>
          <w:rFonts w:ascii="Calibri" w:eastAsia="Calibri" w:hAnsi="Calibri" w:cs="Arial"/>
        </w:rPr>
        <w:t>-in routine for the PAM method.</w:t>
      </w:r>
    </w:p>
    <w:p w:rsidR="008E7D6A" w:rsidRPr="008E7D6A" w:rsidRDefault="00AB75DA" w:rsidP="002B3961">
      <w:pPr>
        <w:keepNext/>
        <w:keepLines/>
        <w:spacing w:line="360" w:lineRule="auto"/>
        <w:jc w:val="both"/>
        <w:rPr>
          <w:rFonts w:ascii="Calibri" w:eastAsia="Calibri" w:hAnsi="Calibri" w:cs="Arial"/>
          <w:b/>
          <w:bCs/>
        </w:rPr>
      </w:pPr>
      <w:r>
        <w:rPr>
          <w:rFonts w:ascii="Calibri" w:eastAsia="Calibri" w:hAnsi="Calibri" w:cs="Arial"/>
          <w:b/>
          <w:bCs/>
        </w:rPr>
        <w:lastRenderedPageBreak/>
        <w:t>4</w:t>
      </w:r>
      <w:r w:rsidR="008E7D6A" w:rsidRPr="008E7D6A">
        <w:rPr>
          <w:rFonts w:ascii="Calibri" w:eastAsia="Calibri" w:hAnsi="Calibri" w:cs="Arial"/>
          <w:b/>
          <w:bCs/>
        </w:rPr>
        <w:t xml:space="preserve"> Results</w:t>
      </w:r>
    </w:p>
    <w:p w:rsidR="008E7D6A" w:rsidRPr="008E7D6A" w:rsidRDefault="008E7D6A" w:rsidP="00727A9A">
      <w:pPr>
        <w:keepNext/>
        <w:keepLines/>
        <w:spacing w:line="360" w:lineRule="auto"/>
        <w:jc w:val="both"/>
        <w:rPr>
          <w:rFonts w:ascii="Calibri" w:eastAsia="Calibri" w:hAnsi="Calibri" w:cs="Arial"/>
        </w:rPr>
      </w:pPr>
      <w:r w:rsidRPr="008E7D6A">
        <w:rPr>
          <w:rFonts w:ascii="Calibri" w:eastAsia="Calibri" w:hAnsi="Calibri" w:cs="Arial"/>
        </w:rPr>
        <w:t xml:space="preserve">Using six variables from the four dimensions of interest, Age Leaving Home, People per Household, Corruption Perception, Religious Attendance, </w:t>
      </w:r>
      <w:r w:rsidR="00491CDC" w:rsidRPr="00491CDC">
        <w:rPr>
          <w:rFonts w:ascii="Calibri" w:eastAsia="Calibri" w:hAnsi="Calibri" w:cs="Arial"/>
        </w:rPr>
        <w:t>Expenditure on Social Protection as a percentage of GDP (ESP/GDP), and General Government Contributions to Receipts of Social Protection Schemes as a percentage of GDP</w:t>
      </w:r>
      <w:r w:rsidR="00491CDC">
        <w:rPr>
          <w:rFonts w:ascii="Calibri" w:eastAsia="Calibri" w:hAnsi="Calibri" w:cs="Arial"/>
        </w:rPr>
        <w:t xml:space="preserve"> (GGC/GDP)</w:t>
      </w:r>
      <w:r w:rsidRPr="008E7D6A">
        <w:rPr>
          <w:rFonts w:ascii="Calibri" w:eastAsia="Calibri" w:hAnsi="Calibri" w:cs="Arial"/>
        </w:rPr>
        <w:t xml:space="preserve">, Figure 1 is the </w:t>
      </w:r>
      <w:r w:rsidR="00727A9A">
        <w:rPr>
          <w:rFonts w:ascii="Calibri" w:eastAsia="Calibri" w:hAnsi="Calibri" w:cs="Arial"/>
        </w:rPr>
        <w:t>dendogram</w:t>
      </w:r>
      <w:r w:rsidRPr="008E7D6A">
        <w:rPr>
          <w:rFonts w:ascii="Calibri" w:eastAsia="Calibri" w:hAnsi="Calibri" w:cs="Arial"/>
        </w:rPr>
        <w:t xml:space="preserve"> produced by HCA using </w:t>
      </w:r>
      <w:r w:rsidR="00D63503">
        <w:rPr>
          <w:rFonts w:ascii="Calibri" w:eastAsia="Calibri" w:hAnsi="Calibri" w:cs="Arial"/>
        </w:rPr>
        <w:t xml:space="preserve">the </w:t>
      </w:r>
      <w:r w:rsidRPr="008E7D6A">
        <w:rPr>
          <w:rFonts w:ascii="Calibri" w:eastAsia="Calibri" w:hAnsi="Calibri" w:cs="Arial"/>
        </w:rPr>
        <w:t xml:space="preserve">Ward </w:t>
      </w:r>
      <w:r w:rsidR="00D63503">
        <w:rPr>
          <w:rFonts w:ascii="Calibri" w:eastAsia="Calibri" w:hAnsi="Calibri" w:cs="Arial"/>
        </w:rPr>
        <w:t>m</w:t>
      </w:r>
      <w:r w:rsidRPr="008E7D6A">
        <w:rPr>
          <w:rFonts w:ascii="Calibri" w:eastAsia="Calibri" w:hAnsi="Calibri" w:cs="Arial"/>
        </w:rPr>
        <w:t xml:space="preserve">ethod. The lengths of the </w:t>
      </w:r>
      <w:r w:rsidR="0044759A">
        <w:rPr>
          <w:rFonts w:ascii="Calibri" w:eastAsia="Calibri" w:hAnsi="Calibri" w:cs="Arial"/>
        </w:rPr>
        <w:t xml:space="preserve">vertical </w:t>
      </w:r>
      <w:r w:rsidRPr="008E7D6A">
        <w:rPr>
          <w:rFonts w:ascii="Calibri" w:eastAsia="Calibri" w:hAnsi="Calibri" w:cs="Arial"/>
        </w:rPr>
        <w:t>lines represent the dissimilarity of the clusters</w:t>
      </w:r>
      <w:r w:rsidR="0044759A">
        <w:rPr>
          <w:rFonts w:ascii="Calibri" w:eastAsia="Calibri" w:hAnsi="Calibri" w:cs="Arial"/>
        </w:rPr>
        <w:t xml:space="preserve">.  </w:t>
      </w:r>
      <w:r w:rsidRPr="008E7D6A">
        <w:rPr>
          <w:rFonts w:ascii="Calibri" w:eastAsia="Calibri" w:hAnsi="Calibri" w:cs="Arial"/>
        </w:rPr>
        <w:t>HCA starts with each country in a distinct cluster and merge</w:t>
      </w:r>
      <w:r w:rsidR="00E000BE">
        <w:rPr>
          <w:rFonts w:ascii="Calibri" w:eastAsia="Calibri" w:hAnsi="Calibri" w:cs="Arial"/>
        </w:rPr>
        <w:t>s</w:t>
      </w:r>
      <w:r w:rsidRPr="008E7D6A">
        <w:rPr>
          <w:rFonts w:ascii="Calibri" w:eastAsia="Calibri" w:hAnsi="Calibri" w:cs="Arial"/>
        </w:rPr>
        <w:t xml:space="preserve"> clusters sequential until all countries are cluster</w:t>
      </w:r>
      <w:r w:rsidR="00E000BE">
        <w:rPr>
          <w:rFonts w:ascii="Calibri" w:eastAsia="Calibri" w:hAnsi="Calibri" w:cs="Arial"/>
        </w:rPr>
        <w:t>ed</w:t>
      </w:r>
      <w:r w:rsidRPr="008E7D6A">
        <w:rPr>
          <w:rFonts w:ascii="Calibri" w:eastAsia="Calibri" w:hAnsi="Calibri" w:cs="Arial"/>
        </w:rPr>
        <w:t xml:space="preserve"> together. Depending on the specified number of clusters the dendrogram is partitioned into main branches. The three </w:t>
      </w:r>
      <w:r w:rsidR="00E000BE">
        <w:rPr>
          <w:rFonts w:ascii="Calibri" w:eastAsia="Calibri" w:hAnsi="Calibri" w:cs="Arial"/>
        </w:rPr>
        <w:t>solid line</w:t>
      </w:r>
      <w:r w:rsidR="00727A9A">
        <w:rPr>
          <w:rFonts w:ascii="Calibri" w:eastAsia="Calibri" w:hAnsi="Calibri" w:cs="Arial"/>
        </w:rPr>
        <w:t xml:space="preserve"> rectangles</w:t>
      </w:r>
      <w:r w:rsidR="00E000BE">
        <w:rPr>
          <w:rFonts w:ascii="Calibri" w:eastAsia="Calibri" w:hAnsi="Calibri" w:cs="Arial"/>
        </w:rPr>
        <w:t xml:space="preserve"> show the </w:t>
      </w:r>
      <w:r w:rsidR="00727A9A">
        <w:rPr>
          <w:rFonts w:ascii="Calibri" w:eastAsia="Calibri" w:hAnsi="Calibri" w:cs="Arial"/>
        </w:rPr>
        <w:t>ap</w:t>
      </w:r>
      <w:r w:rsidR="00E000BE">
        <w:rPr>
          <w:rFonts w:ascii="Calibri" w:eastAsia="Calibri" w:hAnsi="Calibri" w:cs="Arial"/>
        </w:rPr>
        <w:t>portioning</w:t>
      </w:r>
      <w:r w:rsidRPr="008E7D6A">
        <w:rPr>
          <w:rFonts w:ascii="Calibri" w:eastAsia="Calibri" w:hAnsi="Calibri" w:cs="Arial"/>
        </w:rPr>
        <w:t xml:space="preserve"> of the countries in the case of three final clusters, and the dotted line </w:t>
      </w:r>
      <w:r w:rsidR="00E000BE">
        <w:rPr>
          <w:rFonts w:ascii="Calibri" w:eastAsia="Calibri" w:hAnsi="Calibri" w:cs="Arial"/>
        </w:rPr>
        <w:t>rectangles show the</w:t>
      </w:r>
      <w:r w:rsidRPr="008E7D6A">
        <w:rPr>
          <w:rFonts w:ascii="Calibri" w:eastAsia="Calibri" w:hAnsi="Calibri" w:cs="Arial"/>
        </w:rPr>
        <w:t xml:space="preserve"> case of two final clusters. </w:t>
      </w:r>
    </w:p>
    <w:p w:rsidR="00FF7B7E" w:rsidRPr="00CC4EBD" w:rsidRDefault="00FF7B7E" w:rsidP="00FF7B7E">
      <w:pPr>
        <w:keepNext/>
        <w:keepLines/>
        <w:rPr>
          <w:b/>
          <w:bCs/>
        </w:rPr>
      </w:pPr>
      <w:r w:rsidRPr="00CC4EBD">
        <w:rPr>
          <w:b/>
          <w:bCs/>
        </w:rPr>
        <w:t>Figure 1: HCA Dendrogram based on six variables from the four dimensions, with two and three cluster indication.</w:t>
      </w:r>
    </w:p>
    <w:p w:rsidR="00FF7B7E" w:rsidRDefault="00FF7B7E" w:rsidP="00FF7B7E">
      <w:pPr>
        <w:keepNext/>
        <w:keepLines/>
      </w:pPr>
      <w:r>
        <w:object w:dxaOrig="8640" w:dyaOrig="6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45pt;height:239.1pt" o:ole="">
            <v:imagedata r:id="rId11" o:title="" croptop="7334f" cropbottom="9902f" cropleft="2973f" cropright="2533f"/>
          </v:shape>
          <o:OLEObject Type="Embed" ProgID="AcroExch.Document.11" ShapeID="_x0000_i1025" DrawAspect="Content" ObjectID="_1508579355" r:id="rId12"/>
        </w:object>
      </w:r>
    </w:p>
    <w:p w:rsidR="008E7D6A" w:rsidRPr="008E7D6A" w:rsidRDefault="008E7D6A" w:rsidP="00FF7B7E">
      <w:pPr>
        <w:spacing w:line="360" w:lineRule="auto"/>
        <w:rPr>
          <w:rFonts w:ascii="Calibri" w:eastAsia="Calibri" w:hAnsi="Calibri" w:cs="Arial"/>
        </w:rPr>
      </w:pPr>
      <w:r w:rsidRPr="008E7D6A">
        <w:rPr>
          <w:rFonts w:ascii="Calibri" w:eastAsia="Calibri" w:hAnsi="Calibri" w:cs="Arial"/>
        </w:rPr>
        <w:t xml:space="preserve">In the case of three final clusters, all methods used, HCA, </w:t>
      </w:r>
      <w:r w:rsidR="00E000BE">
        <w:rPr>
          <w:rFonts w:ascii="Calibri" w:eastAsia="Calibri" w:hAnsi="Calibri" w:cs="Arial"/>
        </w:rPr>
        <w:t xml:space="preserve">K-means and PAM, cluster the countries identically, with </w:t>
      </w:r>
      <w:r w:rsidRPr="008E7D6A">
        <w:rPr>
          <w:rFonts w:ascii="Calibri" w:eastAsia="Calibri" w:hAnsi="Calibri" w:cs="Arial"/>
        </w:rPr>
        <w:t xml:space="preserve">the SE/M and Ireland in </w:t>
      </w:r>
      <w:r w:rsidR="00901185">
        <w:rPr>
          <w:rFonts w:ascii="Calibri" w:eastAsia="Calibri" w:hAnsi="Calibri" w:cs="Arial"/>
        </w:rPr>
        <w:t>one group</w:t>
      </w:r>
      <w:r w:rsidRPr="008E7D6A">
        <w:rPr>
          <w:rFonts w:ascii="Calibri" w:eastAsia="Calibri" w:hAnsi="Calibri" w:cs="Arial"/>
        </w:rPr>
        <w:t xml:space="preserve">, </w:t>
      </w:r>
      <w:r w:rsidR="00901185">
        <w:rPr>
          <w:rFonts w:ascii="Calibri" w:eastAsia="Calibri" w:hAnsi="Calibri" w:cs="Arial"/>
        </w:rPr>
        <w:t xml:space="preserve">the social democratic countries in another group </w:t>
      </w:r>
      <w:r w:rsidRPr="008E7D6A">
        <w:rPr>
          <w:rFonts w:ascii="Calibri" w:eastAsia="Calibri" w:hAnsi="Calibri" w:cs="Arial"/>
        </w:rPr>
        <w:t xml:space="preserve">and the remaining, conservative countries in a third </w:t>
      </w:r>
      <w:r w:rsidR="00901185">
        <w:rPr>
          <w:rFonts w:ascii="Calibri" w:eastAsia="Calibri" w:hAnsi="Calibri" w:cs="Arial"/>
        </w:rPr>
        <w:t>group</w:t>
      </w:r>
      <w:r w:rsidRPr="008E7D6A">
        <w:rPr>
          <w:rFonts w:ascii="Calibri" w:eastAsia="Calibri" w:hAnsi="Calibri" w:cs="Arial"/>
        </w:rPr>
        <w:t xml:space="preserve">. In Figure 2, using the two principal components of the </w:t>
      </w:r>
      <w:r w:rsidR="00901185">
        <w:rPr>
          <w:rFonts w:ascii="Calibri" w:eastAsia="Calibri" w:hAnsi="Calibri" w:cs="Arial"/>
        </w:rPr>
        <w:t xml:space="preserve">six variables (explaining </w:t>
      </w:r>
      <w:r w:rsidR="00571EF5">
        <w:rPr>
          <w:rFonts w:ascii="Calibri" w:eastAsia="Calibri" w:hAnsi="Calibri" w:cs="Arial"/>
        </w:rPr>
        <w:t>82.04</w:t>
      </w:r>
      <w:r w:rsidR="00901185">
        <w:rPr>
          <w:rFonts w:ascii="Calibri" w:eastAsia="Calibri" w:hAnsi="Calibri" w:cs="Arial"/>
        </w:rPr>
        <w:t xml:space="preserve"> per cent</w:t>
      </w:r>
      <w:r w:rsidRPr="008E7D6A">
        <w:rPr>
          <w:rFonts w:ascii="Calibri" w:eastAsia="Calibri" w:hAnsi="Calibri" w:cs="Arial"/>
        </w:rPr>
        <w:t xml:space="preserve"> of the variability in the data), the countries </w:t>
      </w:r>
      <w:r w:rsidR="00901185">
        <w:rPr>
          <w:rFonts w:ascii="Calibri" w:eastAsia="Calibri" w:hAnsi="Calibri" w:cs="Arial"/>
        </w:rPr>
        <w:t>are</w:t>
      </w:r>
      <w:r w:rsidRPr="008E7D6A">
        <w:rPr>
          <w:rFonts w:ascii="Calibri" w:eastAsia="Calibri" w:hAnsi="Calibri" w:cs="Arial"/>
        </w:rPr>
        <w:t xml:space="preserve"> presented </w:t>
      </w:r>
      <w:r w:rsidR="00901185">
        <w:rPr>
          <w:rFonts w:ascii="Calibri" w:eastAsia="Calibri" w:hAnsi="Calibri" w:cs="Arial"/>
        </w:rPr>
        <w:t>with</w:t>
      </w:r>
      <w:r w:rsidRPr="008E7D6A">
        <w:rPr>
          <w:rFonts w:ascii="Calibri" w:eastAsia="Calibri" w:hAnsi="Calibri" w:cs="Arial"/>
        </w:rPr>
        <w:t xml:space="preserve"> each ellipse represent</w:t>
      </w:r>
      <w:r w:rsidR="00901185">
        <w:rPr>
          <w:rFonts w:ascii="Calibri" w:eastAsia="Calibri" w:hAnsi="Calibri" w:cs="Arial"/>
        </w:rPr>
        <w:t>ing</w:t>
      </w:r>
      <w:r w:rsidRPr="008E7D6A">
        <w:rPr>
          <w:rFonts w:ascii="Calibri" w:eastAsia="Calibri" w:hAnsi="Calibri" w:cs="Arial"/>
        </w:rPr>
        <w:t xml:space="preserve"> a cluster. </w:t>
      </w:r>
    </w:p>
    <w:p w:rsidR="00FF7B7E" w:rsidRDefault="008E7D6A" w:rsidP="009405AC">
      <w:pPr>
        <w:spacing w:line="360" w:lineRule="auto"/>
        <w:jc w:val="both"/>
        <w:rPr>
          <w:rFonts w:ascii="Calibri" w:eastAsia="Calibri" w:hAnsi="Calibri" w:cs="Arial"/>
          <w:lang w:val="en-US"/>
        </w:rPr>
      </w:pPr>
      <w:r w:rsidRPr="008E7D6A">
        <w:rPr>
          <w:rFonts w:ascii="Calibri" w:eastAsia="Calibri" w:hAnsi="Calibri" w:cs="Arial"/>
          <w:lang w:val="en-US"/>
        </w:rPr>
        <w:t xml:space="preserve">Part of the output of the PAM method is the medoid of each cluster, that is, the country whose average dissimilarity (Euclidean distance) to all the </w:t>
      </w:r>
      <w:r w:rsidR="00901185">
        <w:rPr>
          <w:rFonts w:ascii="Calibri" w:eastAsia="Calibri" w:hAnsi="Calibri" w:cs="Arial"/>
          <w:lang w:val="en-US"/>
        </w:rPr>
        <w:t xml:space="preserve">other </w:t>
      </w:r>
      <w:r w:rsidRPr="008E7D6A">
        <w:rPr>
          <w:rFonts w:ascii="Calibri" w:eastAsia="Calibri" w:hAnsi="Calibri" w:cs="Arial"/>
          <w:lang w:val="en-US"/>
        </w:rPr>
        <w:t xml:space="preserve">countries in the cluster is minimal. Therefore, the medoids can be considered as the central countries of each cluster. As demonstrated in Table </w:t>
      </w:r>
      <w:r w:rsidR="00901185">
        <w:rPr>
          <w:rFonts w:ascii="Calibri" w:eastAsia="Calibri" w:hAnsi="Calibri" w:cs="Arial"/>
          <w:lang w:val="en-US"/>
        </w:rPr>
        <w:t>3</w:t>
      </w:r>
      <w:r w:rsidRPr="008E7D6A">
        <w:rPr>
          <w:rFonts w:ascii="Calibri" w:eastAsia="Calibri" w:hAnsi="Calibri" w:cs="Arial"/>
          <w:lang w:val="en-US"/>
        </w:rPr>
        <w:t xml:space="preserve">, </w:t>
      </w:r>
      <w:r w:rsidR="00571EF5">
        <w:rPr>
          <w:rFonts w:ascii="Calibri" w:eastAsia="Calibri" w:hAnsi="Calibri" w:cs="Arial"/>
          <w:lang w:val="en-US"/>
        </w:rPr>
        <w:t>Belgium</w:t>
      </w:r>
      <w:r w:rsidRPr="008E7D6A">
        <w:rPr>
          <w:rFonts w:ascii="Calibri" w:eastAsia="Calibri" w:hAnsi="Calibri" w:cs="Arial"/>
          <w:lang w:val="en-US"/>
        </w:rPr>
        <w:t xml:space="preserve"> is the medoid for the </w:t>
      </w:r>
      <w:r w:rsidR="007C50D4">
        <w:rPr>
          <w:rFonts w:ascii="Calibri" w:eastAsia="Calibri" w:hAnsi="Calibri" w:cs="Arial"/>
          <w:lang w:val="en-US"/>
        </w:rPr>
        <w:t>c</w:t>
      </w:r>
      <w:r w:rsidRPr="008E7D6A">
        <w:rPr>
          <w:rFonts w:ascii="Calibri" w:eastAsia="Calibri" w:hAnsi="Calibri" w:cs="Arial"/>
          <w:lang w:val="en-US"/>
        </w:rPr>
        <w:t xml:space="preserve">onservative cluster, Portugal for the </w:t>
      </w:r>
      <w:r w:rsidR="007C50D4">
        <w:rPr>
          <w:rFonts w:ascii="Calibri" w:eastAsia="Calibri" w:hAnsi="Calibri" w:cs="Arial"/>
          <w:lang w:val="en-US"/>
        </w:rPr>
        <w:t xml:space="preserve">SE/M </w:t>
      </w:r>
      <w:r w:rsidRPr="008E7D6A">
        <w:rPr>
          <w:rFonts w:ascii="Calibri" w:eastAsia="Calibri" w:hAnsi="Calibri" w:cs="Arial"/>
          <w:lang w:val="en-US"/>
        </w:rPr>
        <w:t xml:space="preserve">cluster and </w:t>
      </w:r>
    </w:p>
    <w:p w:rsidR="00FF7B7E" w:rsidRDefault="00FF7B7E" w:rsidP="009405AC">
      <w:pPr>
        <w:spacing w:line="360" w:lineRule="auto"/>
        <w:jc w:val="both"/>
        <w:rPr>
          <w:rFonts w:ascii="Calibri" w:eastAsia="Calibri" w:hAnsi="Calibri" w:cs="Arial"/>
          <w:lang w:val="en-US"/>
        </w:rPr>
      </w:pPr>
    </w:p>
    <w:p w:rsidR="00FF7B7E" w:rsidRPr="00CC4EBD" w:rsidRDefault="00FF7B7E" w:rsidP="00FF7B7E">
      <w:pPr>
        <w:rPr>
          <w:b/>
          <w:bCs/>
        </w:rPr>
      </w:pPr>
      <w:r w:rsidRPr="00CC4EBD">
        <w:rPr>
          <w:b/>
          <w:bCs/>
        </w:rPr>
        <w:lastRenderedPageBreak/>
        <w:t>Figure 2: Principal Components Plot</w:t>
      </w:r>
      <w:r>
        <w:rPr>
          <w:b/>
          <w:bCs/>
        </w:rPr>
        <w:t xml:space="preserve">, </w:t>
      </w:r>
      <w:r w:rsidRPr="00CC4EBD">
        <w:rPr>
          <w:b/>
          <w:bCs/>
        </w:rPr>
        <w:t>based on six variables from the four dimensions, with three clusters, from all methods</w:t>
      </w:r>
    </w:p>
    <w:p w:rsidR="00FF7B7E" w:rsidRDefault="00FF7B7E" w:rsidP="00FF7B7E">
      <w:pPr>
        <w:spacing w:line="360" w:lineRule="auto"/>
        <w:jc w:val="both"/>
        <w:rPr>
          <w:rFonts w:ascii="Calibri" w:eastAsia="Calibri" w:hAnsi="Calibri" w:cs="Arial"/>
          <w:lang w:val="en-US"/>
        </w:rPr>
      </w:pPr>
      <w:r w:rsidRPr="005346B1">
        <w:rPr>
          <w:b/>
          <w:bCs/>
        </w:rPr>
        <w:object w:dxaOrig="8640" w:dyaOrig="5940">
          <v:shape id="_x0000_i1026" type="#_x0000_t75" style="width:417.5pt;height:229.45pt" o:ole="">
            <v:imagedata r:id="rId13" o:title="" croptop="8633f" cropbottom="6218f" cropright="2185f"/>
          </v:shape>
          <o:OLEObject Type="Embed" ProgID="AcroExch.Document.11" ShapeID="_x0000_i1026" DrawAspect="Content" ObjectID="_1508579356" r:id="rId14"/>
        </w:object>
      </w:r>
    </w:p>
    <w:p w:rsidR="008E7D6A" w:rsidRPr="008E7D6A" w:rsidRDefault="00571EF5" w:rsidP="009405AC">
      <w:pPr>
        <w:spacing w:line="360" w:lineRule="auto"/>
        <w:jc w:val="both"/>
        <w:rPr>
          <w:rFonts w:ascii="Calibri" w:eastAsia="Calibri" w:hAnsi="Calibri" w:cs="Arial"/>
          <w:b/>
          <w:bCs/>
        </w:rPr>
      </w:pPr>
      <w:r>
        <w:rPr>
          <w:rFonts w:ascii="Calibri" w:eastAsia="Calibri" w:hAnsi="Calibri" w:cs="Arial"/>
          <w:lang w:val="en-US"/>
        </w:rPr>
        <w:t>Sweden</w:t>
      </w:r>
      <w:r w:rsidR="008E7D6A" w:rsidRPr="008E7D6A">
        <w:rPr>
          <w:rFonts w:ascii="Calibri" w:eastAsia="Calibri" w:hAnsi="Calibri" w:cs="Arial"/>
          <w:lang w:val="en-US"/>
        </w:rPr>
        <w:t xml:space="preserve"> for the </w:t>
      </w:r>
      <w:r w:rsidR="007C50D4">
        <w:rPr>
          <w:rFonts w:ascii="Calibri" w:eastAsia="Calibri" w:hAnsi="Calibri" w:cs="Arial"/>
          <w:lang w:val="en-US"/>
        </w:rPr>
        <w:t>s</w:t>
      </w:r>
      <w:r w:rsidR="008E7D6A" w:rsidRPr="008E7D6A">
        <w:rPr>
          <w:rFonts w:ascii="Calibri" w:eastAsia="Calibri" w:hAnsi="Calibri" w:cs="Arial"/>
          <w:lang w:val="en-US"/>
        </w:rPr>
        <w:t xml:space="preserve">ocial </w:t>
      </w:r>
      <w:r w:rsidR="007C50D4">
        <w:rPr>
          <w:rFonts w:ascii="Calibri" w:eastAsia="Calibri" w:hAnsi="Calibri" w:cs="Arial"/>
          <w:lang w:val="en-US"/>
        </w:rPr>
        <w:t>d</w:t>
      </w:r>
      <w:r w:rsidR="008E7D6A" w:rsidRPr="008E7D6A">
        <w:rPr>
          <w:rFonts w:ascii="Calibri" w:eastAsia="Calibri" w:hAnsi="Calibri" w:cs="Arial"/>
          <w:lang w:val="en-US"/>
        </w:rPr>
        <w:t>emocratic</w:t>
      </w:r>
      <w:r w:rsidR="007C50D4">
        <w:rPr>
          <w:rFonts w:ascii="Calibri" w:eastAsia="Calibri" w:hAnsi="Calibri" w:cs="Arial"/>
          <w:lang w:val="en-US"/>
        </w:rPr>
        <w:t xml:space="preserve"> cluster</w:t>
      </w:r>
      <w:r w:rsidR="008E7D6A" w:rsidRPr="008E7D6A">
        <w:rPr>
          <w:rFonts w:ascii="Calibri" w:eastAsia="Calibri" w:hAnsi="Calibri" w:cs="Arial"/>
          <w:lang w:val="en-US"/>
        </w:rPr>
        <w:t xml:space="preserve">. The countries in each cluster are listed </w:t>
      </w:r>
      <w:r w:rsidR="006E192F">
        <w:rPr>
          <w:rFonts w:ascii="Calibri" w:eastAsia="Calibri" w:hAnsi="Calibri" w:cs="Arial"/>
          <w:lang w:val="en-US"/>
        </w:rPr>
        <w:t xml:space="preserve">in order of </w:t>
      </w:r>
      <w:r w:rsidR="008E7D6A" w:rsidRPr="008E7D6A">
        <w:rPr>
          <w:rFonts w:ascii="Calibri" w:eastAsia="Calibri" w:hAnsi="Calibri" w:cs="Arial"/>
          <w:lang w:val="en-US"/>
        </w:rPr>
        <w:t>their distance from the corresponding medoid</w:t>
      </w:r>
      <w:r>
        <w:rPr>
          <w:rFonts w:ascii="Calibri" w:eastAsia="Calibri" w:hAnsi="Calibri" w:cs="Arial"/>
          <w:lang w:val="en-US"/>
        </w:rPr>
        <w:t xml:space="preserve"> based on the standardized values of each variable</w:t>
      </w:r>
      <w:r w:rsidR="008E7D6A" w:rsidRPr="008E7D6A">
        <w:rPr>
          <w:rFonts w:ascii="Calibri" w:eastAsia="Calibri" w:hAnsi="Calibri" w:cs="Arial"/>
          <w:lang w:val="en-US"/>
        </w:rPr>
        <w:t xml:space="preserve">. </w:t>
      </w:r>
    </w:p>
    <w:p w:rsidR="00FF7B7E" w:rsidRPr="00CC4EBD" w:rsidRDefault="00FF7B7E" w:rsidP="00FF7B7E">
      <w:pPr>
        <w:spacing w:line="240" w:lineRule="auto"/>
        <w:rPr>
          <w:b/>
          <w:bCs/>
        </w:rPr>
      </w:pPr>
      <w:r w:rsidRPr="00CC4EBD">
        <w:rPr>
          <w:b/>
          <w:bCs/>
        </w:rPr>
        <w:t>Table 3: Distance of each country from the corresponding cluster medoid</w:t>
      </w:r>
    </w:p>
    <w:tbl>
      <w:tblPr>
        <w:tblW w:w="6430" w:type="dxa"/>
        <w:tblLook w:val="04A0" w:firstRow="1" w:lastRow="0" w:firstColumn="1" w:lastColumn="0" w:noHBand="0" w:noVBand="1"/>
      </w:tblPr>
      <w:tblGrid>
        <w:gridCol w:w="948"/>
        <w:gridCol w:w="1018"/>
        <w:gridCol w:w="266"/>
        <w:gridCol w:w="948"/>
        <w:gridCol w:w="1018"/>
        <w:gridCol w:w="266"/>
        <w:gridCol w:w="948"/>
        <w:gridCol w:w="1018"/>
      </w:tblGrid>
      <w:tr w:rsidR="00FF7B7E" w:rsidRPr="00CC4EBD" w:rsidTr="002D2E50">
        <w:trPr>
          <w:trHeight w:val="300"/>
        </w:trPr>
        <w:tc>
          <w:tcPr>
            <w:tcW w:w="6430" w:type="dxa"/>
            <w:gridSpan w:val="8"/>
            <w:tcBorders>
              <w:top w:val="single" w:sz="4" w:space="0" w:color="auto"/>
              <w:left w:val="nil"/>
              <w:bottom w:val="single" w:sz="4" w:space="0" w:color="auto"/>
              <w:right w:val="nil"/>
            </w:tcBorders>
            <w:shd w:val="clear" w:color="auto" w:fill="auto"/>
            <w:noWrap/>
            <w:vAlign w:val="bottom"/>
            <w:hideMark/>
          </w:tcPr>
          <w:p w:rsidR="00FF7B7E" w:rsidRPr="00CC4EBD" w:rsidRDefault="00FF7B7E" w:rsidP="00FF7B7E">
            <w:pPr>
              <w:spacing w:line="240" w:lineRule="auto"/>
              <w:jc w:val="center"/>
              <w:rPr>
                <w:b/>
                <w:bCs/>
                <w:i/>
                <w:lang w:val="el-GR"/>
              </w:rPr>
            </w:pPr>
            <w:r w:rsidRPr="00CC4EBD">
              <w:rPr>
                <w:b/>
                <w:bCs/>
                <w:i/>
                <w:lang w:val="el-GR"/>
              </w:rPr>
              <w:t>Cluster</w:t>
            </w:r>
          </w:p>
        </w:tc>
      </w:tr>
      <w:tr w:rsidR="00FF7B7E" w:rsidRPr="00CC4EBD" w:rsidTr="002D2E50">
        <w:trPr>
          <w:trHeight w:val="300"/>
        </w:trPr>
        <w:tc>
          <w:tcPr>
            <w:tcW w:w="1966" w:type="dxa"/>
            <w:gridSpan w:val="2"/>
            <w:tcBorders>
              <w:top w:val="single" w:sz="4" w:space="0" w:color="auto"/>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rPr>
            </w:pPr>
            <w:r w:rsidRPr="00CC4EBD">
              <w:rPr>
                <w:b/>
                <w:bCs/>
                <w:i/>
                <w:lang w:val="el-GR"/>
              </w:rPr>
              <w:t>Cons</w:t>
            </w:r>
            <w:r w:rsidRPr="00CC4EBD">
              <w:rPr>
                <w:b/>
                <w:bCs/>
                <w:i/>
              </w:rPr>
              <w:t>ervative</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spacing w:line="240" w:lineRule="auto"/>
              <w:rPr>
                <w:b/>
                <w:bCs/>
                <w:i/>
                <w:lang w:val="el-GR"/>
              </w:rPr>
            </w:pPr>
          </w:p>
        </w:tc>
        <w:tc>
          <w:tcPr>
            <w:tcW w:w="1966" w:type="dxa"/>
            <w:gridSpan w:val="2"/>
            <w:tcBorders>
              <w:top w:val="single" w:sz="4" w:space="0" w:color="auto"/>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iCs/>
                <w:lang w:val="el-GR"/>
              </w:rPr>
            </w:pPr>
            <w:r w:rsidRPr="00CC4EBD">
              <w:rPr>
                <w:b/>
                <w:bCs/>
                <w:i/>
                <w:iCs/>
                <w:lang w:val="el-GR"/>
              </w:rPr>
              <w:t>SE/M</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spacing w:line="240" w:lineRule="auto"/>
              <w:rPr>
                <w:b/>
                <w:bCs/>
                <w:i/>
                <w:iCs/>
                <w:lang w:val="el-GR"/>
              </w:rPr>
            </w:pPr>
          </w:p>
        </w:tc>
        <w:tc>
          <w:tcPr>
            <w:tcW w:w="1966" w:type="dxa"/>
            <w:gridSpan w:val="2"/>
            <w:tcBorders>
              <w:top w:val="single" w:sz="4" w:space="0" w:color="auto"/>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rPr>
            </w:pPr>
            <w:r w:rsidRPr="00CC4EBD">
              <w:rPr>
                <w:b/>
                <w:bCs/>
                <w:i/>
                <w:lang w:val="el-GR"/>
              </w:rPr>
              <w:t>S</w:t>
            </w:r>
            <w:r w:rsidRPr="00CC4EBD">
              <w:rPr>
                <w:b/>
                <w:bCs/>
                <w:i/>
              </w:rPr>
              <w:t xml:space="preserve">ocial </w:t>
            </w:r>
            <w:r w:rsidRPr="00CC4EBD">
              <w:rPr>
                <w:b/>
                <w:bCs/>
                <w:i/>
                <w:lang w:val="el-GR"/>
              </w:rPr>
              <w:t>D</w:t>
            </w:r>
            <w:r w:rsidRPr="00CC4EBD">
              <w:rPr>
                <w:b/>
                <w:bCs/>
                <w:i/>
              </w:rPr>
              <w:t>emocratic</w:t>
            </w:r>
          </w:p>
        </w:tc>
      </w:tr>
      <w:tr w:rsidR="00FF7B7E" w:rsidRPr="00CC4EBD" w:rsidTr="002D2E50">
        <w:trPr>
          <w:trHeight w:val="300"/>
        </w:trPr>
        <w:tc>
          <w:tcPr>
            <w:tcW w:w="948" w:type="dxa"/>
            <w:tcBorders>
              <w:top w:val="nil"/>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lang w:val="el-GR"/>
              </w:rPr>
            </w:pPr>
            <w:r w:rsidRPr="00CC4EBD">
              <w:rPr>
                <w:b/>
                <w:bCs/>
                <w:i/>
                <w:lang w:val="el-GR"/>
              </w:rPr>
              <w:t>Country</w:t>
            </w:r>
          </w:p>
        </w:tc>
        <w:tc>
          <w:tcPr>
            <w:tcW w:w="1018" w:type="dxa"/>
            <w:tcBorders>
              <w:top w:val="nil"/>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lang w:val="el-GR"/>
              </w:rPr>
            </w:pPr>
            <w:r w:rsidRPr="00CC4EBD">
              <w:rPr>
                <w:b/>
                <w:bCs/>
                <w:i/>
                <w:lang w:val="el-GR"/>
              </w:rPr>
              <w:t>Distan</w:t>
            </w:r>
            <w:r w:rsidRPr="00CC4EBD">
              <w:rPr>
                <w:b/>
                <w:bCs/>
                <w:i/>
                <w:lang w:val="en-US"/>
              </w:rPr>
              <w:t>c</w:t>
            </w:r>
            <w:r w:rsidRPr="00CC4EBD">
              <w:rPr>
                <w:b/>
                <w:bCs/>
                <w:i/>
                <w:lang w:val="el-GR"/>
              </w:rPr>
              <w:t>e</w:t>
            </w:r>
          </w:p>
        </w:tc>
        <w:tc>
          <w:tcPr>
            <w:tcW w:w="266" w:type="dxa"/>
            <w:tcBorders>
              <w:top w:val="nil"/>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lang w:val="el-GR"/>
              </w:rPr>
            </w:pPr>
          </w:p>
        </w:tc>
        <w:tc>
          <w:tcPr>
            <w:tcW w:w="948" w:type="dxa"/>
            <w:tcBorders>
              <w:top w:val="nil"/>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lang w:val="el-GR"/>
              </w:rPr>
            </w:pPr>
            <w:r w:rsidRPr="00CC4EBD">
              <w:rPr>
                <w:b/>
                <w:bCs/>
                <w:i/>
                <w:lang w:val="el-GR"/>
              </w:rPr>
              <w:t>Country</w:t>
            </w:r>
          </w:p>
        </w:tc>
        <w:tc>
          <w:tcPr>
            <w:tcW w:w="1018" w:type="dxa"/>
            <w:tcBorders>
              <w:top w:val="nil"/>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lang w:val="el-GR"/>
              </w:rPr>
            </w:pPr>
            <w:r w:rsidRPr="00CC4EBD">
              <w:rPr>
                <w:b/>
                <w:bCs/>
                <w:i/>
                <w:lang w:val="el-GR"/>
              </w:rPr>
              <w:t>Distance</w:t>
            </w:r>
          </w:p>
        </w:tc>
        <w:tc>
          <w:tcPr>
            <w:tcW w:w="266" w:type="dxa"/>
            <w:tcBorders>
              <w:top w:val="nil"/>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lang w:val="el-GR"/>
              </w:rPr>
            </w:pPr>
          </w:p>
        </w:tc>
        <w:tc>
          <w:tcPr>
            <w:tcW w:w="948" w:type="dxa"/>
            <w:tcBorders>
              <w:top w:val="nil"/>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lang w:val="el-GR"/>
              </w:rPr>
            </w:pPr>
            <w:r w:rsidRPr="00CC4EBD">
              <w:rPr>
                <w:b/>
                <w:bCs/>
                <w:i/>
                <w:lang w:val="el-GR"/>
              </w:rPr>
              <w:t>Country</w:t>
            </w:r>
          </w:p>
        </w:tc>
        <w:tc>
          <w:tcPr>
            <w:tcW w:w="1018" w:type="dxa"/>
            <w:tcBorders>
              <w:top w:val="nil"/>
              <w:left w:val="nil"/>
              <w:bottom w:val="single" w:sz="4" w:space="0" w:color="auto"/>
              <w:right w:val="nil"/>
            </w:tcBorders>
            <w:shd w:val="clear" w:color="auto" w:fill="auto"/>
            <w:noWrap/>
            <w:vAlign w:val="bottom"/>
            <w:hideMark/>
          </w:tcPr>
          <w:p w:rsidR="00FF7B7E" w:rsidRPr="00CC4EBD" w:rsidRDefault="00FF7B7E" w:rsidP="00FF7B7E">
            <w:pPr>
              <w:spacing w:line="240" w:lineRule="auto"/>
              <w:rPr>
                <w:b/>
                <w:bCs/>
                <w:i/>
                <w:lang w:val="el-GR"/>
              </w:rPr>
            </w:pPr>
            <w:r w:rsidRPr="00CC4EBD">
              <w:rPr>
                <w:b/>
                <w:bCs/>
                <w:i/>
                <w:lang w:val="el-GR"/>
              </w:rPr>
              <w:t>Distance</w:t>
            </w:r>
          </w:p>
        </w:tc>
      </w:tr>
      <w:tr w:rsidR="00FF7B7E" w:rsidRPr="00CC4EBD" w:rsidTr="002D2E50">
        <w:trPr>
          <w:trHeight w:val="300"/>
        </w:trPr>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BE</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medoid</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PT</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medoid</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SE</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Medoid</w:t>
            </w:r>
          </w:p>
        </w:tc>
      </w:tr>
      <w:tr w:rsidR="00FF7B7E" w:rsidRPr="00CC4EBD" w:rsidTr="002D2E50">
        <w:trPr>
          <w:trHeight w:val="300"/>
        </w:trPr>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AT</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0.76</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CY</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1.45</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FI</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0.85</w:t>
            </w:r>
          </w:p>
        </w:tc>
      </w:tr>
      <w:tr w:rsidR="00FF7B7E" w:rsidRPr="00CC4EBD" w:rsidTr="002D2E50">
        <w:trPr>
          <w:trHeight w:val="300"/>
        </w:trPr>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UK</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0.93</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IT</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1.45</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DK</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2.27</w:t>
            </w:r>
          </w:p>
        </w:tc>
      </w:tr>
      <w:tr w:rsidR="00FF7B7E" w:rsidRPr="00CC4EBD" w:rsidTr="002D2E50">
        <w:trPr>
          <w:trHeight w:val="300"/>
        </w:trPr>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FR</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1.10</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ES</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1.54</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r>
      <w:tr w:rsidR="00FF7B7E" w:rsidRPr="00CC4EBD" w:rsidTr="002D2E50">
        <w:trPr>
          <w:trHeight w:val="300"/>
        </w:trPr>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DE</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1.28</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EL</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1.65</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r>
      <w:tr w:rsidR="00FF7B7E" w:rsidRPr="00CC4EBD" w:rsidTr="002D2E50">
        <w:trPr>
          <w:trHeight w:val="300"/>
        </w:trPr>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NL</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1.85</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IE</w:t>
            </w: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1.98</w:t>
            </w:r>
          </w:p>
        </w:tc>
        <w:tc>
          <w:tcPr>
            <w:tcW w:w="266"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c>
          <w:tcPr>
            <w:tcW w:w="1018" w:type="dxa"/>
            <w:tcBorders>
              <w:top w:val="nil"/>
              <w:left w:val="nil"/>
              <w:bottom w:val="nil"/>
              <w:right w:val="nil"/>
            </w:tcBorders>
            <w:shd w:val="clear" w:color="auto" w:fill="auto"/>
            <w:noWrap/>
            <w:vAlign w:val="center"/>
            <w:hideMark/>
          </w:tcPr>
          <w:p w:rsidR="00FF7B7E" w:rsidRPr="00CC4EBD" w:rsidRDefault="00FF7B7E" w:rsidP="00FF7B7E">
            <w:pPr>
              <w:spacing w:line="240" w:lineRule="auto"/>
              <w:rPr>
                <w:b/>
                <w:bCs/>
                <w:lang w:val="el-GR"/>
              </w:rPr>
            </w:pPr>
          </w:p>
        </w:tc>
      </w:tr>
      <w:tr w:rsidR="00FF7B7E" w:rsidRPr="00CC4EBD" w:rsidTr="002D2E50">
        <w:trPr>
          <w:trHeight w:val="300"/>
        </w:trPr>
        <w:tc>
          <w:tcPr>
            <w:tcW w:w="948" w:type="dxa"/>
            <w:tcBorders>
              <w:top w:val="nil"/>
              <w:left w:val="nil"/>
              <w:bottom w:val="single" w:sz="4" w:space="0" w:color="auto"/>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LU</w:t>
            </w:r>
          </w:p>
        </w:tc>
        <w:tc>
          <w:tcPr>
            <w:tcW w:w="1018" w:type="dxa"/>
            <w:tcBorders>
              <w:top w:val="nil"/>
              <w:left w:val="nil"/>
              <w:bottom w:val="single" w:sz="4" w:space="0" w:color="auto"/>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2.39</w:t>
            </w:r>
          </w:p>
        </w:tc>
        <w:tc>
          <w:tcPr>
            <w:tcW w:w="266" w:type="dxa"/>
            <w:tcBorders>
              <w:top w:val="nil"/>
              <w:left w:val="nil"/>
              <w:bottom w:val="single" w:sz="4" w:space="0" w:color="auto"/>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single" w:sz="4" w:space="0" w:color="auto"/>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MT</w:t>
            </w:r>
          </w:p>
        </w:tc>
        <w:tc>
          <w:tcPr>
            <w:tcW w:w="1018" w:type="dxa"/>
            <w:tcBorders>
              <w:top w:val="nil"/>
              <w:left w:val="nil"/>
              <w:bottom w:val="single" w:sz="4" w:space="0" w:color="auto"/>
              <w:right w:val="nil"/>
            </w:tcBorders>
            <w:shd w:val="clear" w:color="auto" w:fill="auto"/>
            <w:noWrap/>
            <w:vAlign w:val="center"/>
            <w:hideMark/>
          </w:tcPr>
          <w:p w:rsidR="00FF7B7E" w:rsidRPr="00CC4EBD" w:rsidRDefault="00FF7B7E" w:rsidP="00FF7B7E">
            <w:pPr>
              <w:spacing w:line="240" w:lineRule="auto"/>
              <w:rPr>
                <w:b/>
                <w:bCs/>
                <w:lang w:val="el-GR"/>
              </w:rPr>
            </w:pPr>
            <w:r w:rsidRPr="00CC4EBD">
              <w:rPr>
                <w:b/>
                <w:bCs/>
              </w:rPr>
              <w:t>2.41</w:t>
            </w:r>
          </w:p>
        </w:tc>
        <w:tc>
          <w:tcPr>
            <w:tcW w:w="266" w:type="dxa"/>
            <w:tcBorders>
              <w:top w:val="nil"/>
              <w:left w:val="nil"/>
              <w:bottom w:val="single" w:sz="4" w:space="0" w:color="auto"/>
              <w:right w:val="nil"/>
            </w:tcBorders>
            <w:shd w:val="clear" w:color="auto" w:fill="auto"/>
            <w:noWrap/>
            <w:vAlign w:val="center"/>
            <w:hideMark/>
          </w:tcPr>
          <w:p w:rsidR="00FF7B7E" w:rsidRPr="00CC4EBD" w:rsidRDefault="00FF7B7E" w:rsidP="00FF7B7E">
            <w:pPr>
              <w:spacing w:line="240" w:lineRule="auto"/>
              <w:rPr>
                <w:b/>
                <w:bCs/>
                <w:lang w:val="el-GR"/>
              </w:rPr>
            </w:pPr>
          </w:p>
        </w:tc>
        <w:tc>
          <w:tcPr>
            <w:tcW w:w="948" w:type="dxa"/>
            <w:tcBorders>
              <w:top w:val="nil"/>
              <w:left w:val="nil"/>
              <w:bottom w:val="single" w:sz="4" w:space="0" w:color="auto"/>
              <w:right w:val="nil"/>
            </w:tcBorders>
            <w:shd w:val="clear" w:color="auto" w:fill="auto"/>
            <w:noWrap/>
            <w:vAlign w:val="center"/>
            <w:hideMark/>
          </w:tcPr>
          <w:p w:rsidR="00FF7B7E" w:rsidRPr="00CC4EBD" w:rsidRDefault="00FF7B7E" w:rsidP="00FF7B7E">
            <w:pPr>
              <w:spacing w:line="240" w:lineRule="auto"/>
              <w:rPr>
                <w:b/>
                <w:bCs/>
                <w:lang w:val="el-GR"/>
              </w:rPr>
            </w:pPr>
          </w:p>
        </w:tc>
        <w:tc>
          <w:tcPr>
            <w:tcW w:w="1018" w:type="dxa"/>
            <w:tcBorders>
              <w:top w:val="nil"/>
              <w:left w:val="nil"/>
              <w:bottom w:val="single" w:sz="4" w:space="0" w:color="auto"/>
              <w:right w:val="nil"/>
            </w:tcBorders>
            <w:shd w:val="clear" w:color="auto" w:fill="auto"/>
            <w:noWrap/>
            <w:vAlign w:val="center"/>
            <w:hideMark/>
          </w:tcPr>
          <w:p w:rsidR="00FF7B7E" w:rsidRPr="00CC4EBD" w:rsidRDefault="00FF7B7E" w:rsidP="00FF7B7E">
            <w:pPr>
              <w:spacing w:line="240" w:lineRule="auto"/>
              <w:rPr>
                <w:b/>
                <w:bCs/>
                <w:lang w:val="el-GR"/>
              </w:rPr>
            </w:pPr>
          </w:p>
        </w:tc>
      </w:tr>
    </w:tbl>
    <w:p w:rsidR="00FF7B7E" w:rsidRDefault="00FF7B7E" w:rsidP="009405AC">
      <w:pPr>
        <w:spacing w:line="360" w:lineRule="auto"/>
        <w:jc w:val="both"/>
        <w:rPr>
          <w:rFonts w:ascii="Calibri" w:eastAsia="Calibri" w:hAnsi="Calibri" w:cs="Arial"/>
          <w:lang w:val="en-GB"/>
        </w:rPr>
      </w:pPr>
    </w:p>
    <w:p w:rsidR="008E7D6A" w:rsidRPr="008E7D6A" w:rsidRDefault="008E7D6A" w:rsidP="009405AC">
      <w:pPr>
        <w:spacing w:line="360" w:lineRule="auto"/>
        <w:jc w:val="both"/>
        <w:rPr>
          <w:rFonts w:ascii="Calibri" w:eastAsia="Calibri" w:hAnsi="Calibri" w:cs="Arial"/>
        </w:rPr>
      </w:pPr>
      <w:r w:rsidRPr="008E7D6A">
        <w:rPr>
          <w:rFonts w:ascii="Calibri" w:eastAsia="Calibri" w:hAnsi="Calibri" w:cs="Arial"/>
          <w:lang w:val="en-GB"/>
        </w:rPr>
        <w:t>The scatter plots o</w:t>
      </w:r>
      <w:r w:rsidR="006E192F">
        <w:rPr>
          <w:rFonts w:ascii="Calibri" w:eastAsia="Calibri" w:hAnsi="Calibri" w:cs="Arial"/>
          <w:lang w:val="en-GB"/>
        </w:rPr>
        <w:t>f the six variables in Figure 3</w:t>
      </w:r>
      <w:r w:rsidRPr="008E7D6A">
        <w:rPr>
          <w:rFonts w:ascii="Calibri" w:eastAsia="Calibri" w:hAnsi="Calibri" w:cs="Arial"/>
          <w:lang w:val="en-GB"/>
        </w:rPr>
        <w:t xml:space="preserve"> show that the SE/M countries tend to have higher values than the </w:t>
      </w:r>
      <w:r w:rsidR="006E192F">
        <w:rPr>
          <w:rFonts w:ascii="Calibri" w:eastAsia="Calibri" w:hAnsi="Calibri" w:cs="Arial"/>
          <w:lang w:val="en-GB"/>
        </w:rPr>
        <w:t xml:space="preserve">other </w:t>
      </w:r>
      <w:r w:rsidRPr="008E7D6A">
        <w:rPr>
          <w:rFonts w:ascii="Calibri" w:eastAsia="Calibri" w:hAnsi="Calibri" w:cs="Arial"/>
          <w:lang w:val="en-GB"/>
        </w:rPr>
        <w:t xml:space="preserve">countries, followed by the </w:t>
      </w:r>
      <w:r w:rsidR="006E192F">
        <w:rPr>
          <w:rFonts w:ascii="Calibri" w:eastAsia="Calibri" w:hAnsi="Calibri" w:cs="Arial"/>
          <w:lang w:val="en-GB"/>
        </w:rPr>
        <w:t>c</w:t>
      </w:r>
      <w:r w:rsidRPr="008E7D6A">
        <w:rPr>
          <w:rFonts w:ascii="Calibri" w:eastAsia="Calibri" w:hAnsi="Calibri" w:cs="Arial"/>
          <w:lang w:val="en-GB"/>
        </w:rPr>
        <w:t xml:space="preserve">onservative countries and then the </w:t>
      </w:r>
      <w:r w:rsidR="006E192F">
        <w:rPr>
          <w:rFonts w:ascii="Calibri" w:eastAsia="Calibri" w:hAnsi="Calibri" w:cs="Arial"/>
          <w:lang w:val="en-GB"/>
        </w:rPr>
        <w:t>social democratic</w:t>
      </w:r>
      <w:r w:rsidRPr="008E7D6A">
        <w:rPr>
          <w:rFonts w:ascii="Calibri" w:eastAsia="Calibri" w:hAnsi="Calibri" w:cs="Arial"/>
          <w:lang w:val="en-GB"/>
        </w:rPr>
        <w:t>, for all the variables except the</w:t>
      </w:r>
      <w:r w:rsidR="0096599F">
        <w:rPr>
          <w:rFonts w:ascii="Calibri" w:eastAsia="Calibri" w:hAnsi="Calibri" w:cs="Arial"/>
          <w:lang w:val="en-GB"/>
        </w:rPr>
        <w:t xml:space="preserve"> two </w:t>
      </w:r>
      <w:r w:rsidR="009405AC">
        <w:rPr>
          <w:rFonts w:ascii="Calibri" w:eastAsia="Calibri" w:hAnsi="Calibri" w:cs="Arial"/>
          <w:lang w:val="en-GB"/>
        </w:rPr>
        <w:t>s</w:t>
      </w:r>
      <w:r w:rsidR="0096599F">
        <w:rPr>
          <w:rFonts w:ascii="Calibri" w:eastAsia="Calibri" w:hAnsi="Calibri" w:cs="Arial"/>
          <w:lang w:val="en-GB"/>
        </w:rPr>
        <w:t xml:space="preserve">tate vs </w:t>
      </w:r>
      <w:r w:rsidR="009405AC">
        <w:rPr>
          <w:rFonts w:ascii="Calibri" w:eastAsia="Calibri" w:hAnsi="Calibri" w:cs="Arial"/>
          <w:lang w:val="en-GB"/>
        </w:rPr>
        <w:t>m</w:t>
      </w:r>
      <w:r w:rsidR="0096599F">
        <w:rPr>
          <w:rFonts w:ascii="Calibri" w:eastAsia="Calibri" w:hAnsi="Calibri" w:cs="Arial"/>
          <w:lang w:val="en-GB"/>
        </w:rPr>
        <w:t>arket variables (</w:t>
      </w:r>
      <w:r w:rsidR="009405AC">
        <w:rPr>
          <w:rFonts w:ascii="Calibri" w:eastAsia="Calibri" w:hAnsi="Calibri" w:cs="Arial"/>
          <w:lang w:val="en-GB"/>
        </w:rPr>
        <w:t>ESP</w:t>
      </w:r>
      <w:r w:rsidR="00592760">
        <w:rPr>
          <w:rFonts w:ascii="Calibri" w:eastAsia="Calibri" w:hAnsi="Calibri" w:cs="Arial"/>
          <w:lang w:val="en-GB"/>
        </w:rPr>
        <w:t>/GDP</w:t>
      </w:r>
      <w:r w:rsidR="009405AC">
        <w:rPr>
          <w:rFonts w:ascii="Calibri" w:eastAsia="Calibri" w:hAnsi="Calibri" w:cs="Arial"/>
          <w:lang w:val="en-GB"/>
        </w:rPr>
        <w:t xml:space="preserve"> and GGC</w:t>
      </w:r>
      <w:r w:rsidR="00592760">
        <w:rPr>
          <w:rFonts w:ascii="Calibri" w:eastAsia="Calibri" w:hAnsi="Calibri" w:cs="Arial"/>
          <w:lang w:val="en-GB"/>
        </w:rPr>
        <w:t>/GDP</w:t>
      </w:r>
      <w:r w:rsidR="0096599F">
        <w:rPr>
          <w:rFonts w:ascii="Calibri" w:eastAsia="Calibri" w:hAnsi="Calibri" w:cs="Arial"/>
          <w:lang w:val="en-GB"/>
        </w:rPr>
        <w:t>)</w:t>
      </w:r>
      <w:r w:rsidRPr="008E7D6A">
        <w:rPr>
          <w:rFonts w:ascii="Calibri" w:eastAsia="Calibri" w:hAnsi="Calibri" w:cs="Arial"/>
          <w:lang w:val="en-GB"/>
        </w:rPr>
        <w:t xml:space="preserve">. </w:t>
      </w:r>
      <w:r w:rsidR="006E192F">
        <w:rPr>
          <w:rFonts w:ascii="Calibri" w:eastAsia="Calibri" w:hAnsi="Calibri" w:cs="Arial"/>
          <w:lang w:val="en-GB"/>
        </w:rPr>
        <w:t xml:space="preserve"> </w:t>
      </w:r>
      <w:r w:rsidRPr="008E7D6A">
        <w:rPr>
          <w:rFonts w:ascii="Calibri" w:eastAsia="Calibri" w:hAnsi="Calibri" w:cs="Arial"/>
          <w:lang w:val="en-GB"/>
        </w:rPr>
        <w:t xml:space="preserve">Furthermore, all the variables except the two variables of the </w:t>
      </w:r>
      <w:r w:rsidR="00AC7E7F">
        <w:rPr>
          <w:rFonts w:ascii="Calibri" w:eastAsia="Calibri" w:hAnsi="Calibri" w:cs="Arial"/>
          <w:lang w:val="en-GB"/>
        </w:rPr>
        <w:t xml:space="preserve">state vs market </w:t>
      </w:r>
      <w:r w:rsidRPr="008E7D6A">
        <w:rPr>
          <w:rFonts w:ascii="Calibri" w:eastAsia="Calibri" w:hAnsi="Calibri" w:cs="Arial"/>
          <w:lang w:val="en-GB"/>
        </w:rPr>
        <w:t xml:space="preserve">dimension, </w:t>
      </w:r>
      <w:r w:rsidR="00AC7E7F">
        <w:rPr>
          <w:rFonts w:ascii="Calibri" w:eastAsia="Calibri" w:hAnsi="Calibri" w:cs="Arial"/>
          <w:lang w:val="en-GB"/>
        </w:rPr>
        <w:t xml:space="preserve">generally </w:t>
      </w:r>
      <w:r w:rsidRPr="008E7D6A">
        <w:rPr>
          <w:rFonts w:ascii="Calibri" w:eastAsia="Calibri" w:hAnsi="Calibri" w:cs="Arial"/>
          <w:lang w:val="en-GB"/>
        </w:rPr>
        <w:t xml:space="preserve">separate the clusters well. </w:t>
      </w:r>
    </w:p>
    <w:p w:rsidR="00FF7B7E" w:rsidRPr="00CC4EBD" w:rsidRDefault="00FF7B7E" w:rsidP="00FF7B7E">
      <w:pPr>
        <w:rPr>
          <w:b/>
          <w:bCs/>
        </w:rPr>
      </w:pPr>
      <w:r w:rsidRPr="00CC4EBD">
        <w:rPr>
          <w:b/>
          <w:bCs/>
        </w:rPr>
        <w:lastRenderedPageBreak/>
        <w:t>Figure 3: Pairwise Scatter Plots of the variables with cluster indication</w:t>
      </w:r>
    </w:p>
    <w:p w:rsidR="00FF7B7E" w:rsidRDefault="00FF7B7E" w:rsidP="00FF7B7E">
      <w:pPr>
        <w:spacing w:line="360" w:lineRule="auto"/>
        <w:jc w:val="both"/>
        <w:rPr>
          <w:b/>
          <w:bCs/>
          <w:lang w:val="en-GB"/>
        </w:rPr>
      </w:pPr>
      <w:r>
        <w:rPr>
          <w:b/>
          <w:bCs/>
          <w:lang w:val="en-GB"/>
        </w:rPr>
        <w:object w:dxaOrig="10800" w:dyaOrig="7560">
          <v:shape id="_x0000_i1027" type="#_x0000_t75" style="width:493.8pt;height:336.9pt" o:ole="">
            <v:imagedata r:id="rId15" o:title="" croptop="2498f" cropbottom="2697f" cropleft="1953f" cropright="1747f"/>
          </v:shape>
          <o:OLEObject Type="Embed" ProgID="AcroExch.Document.11" ShapeID="_x0000_i1027" DrawAspect="Content" ObjectID="_1508579357" r:id="rId16"/>
        </w:object>
      </w:r>
    </w:p>
    <w:p w:rsidR="006B10AB" w:rsidRDefault="006C6F05" w:rsidP="00FF7B7E">
      <w:pPr>
        <w:spacing w:line="360" w:lineRule="auto"/>
        <w:jc w:val="both"/>
        <w:rPr>
          <w:rFonts w:ascii="Calibri" w:eastAsia="Calibri" w:hAnsi="Calibri" w:cs="Arial"/>
          <w:lang w:val="en-GB"/>
        </w:rPr>
      </w:pPr>
      <w:r>
        <w:rPr>
          <w:rFonts w:ascii="Calibri" w:eastAsia="Calibri" w:hAnsi="Calibri" w:cs="Arial"/>
          <w:lang w:val="en-GB"/>
        </w:rPr>
        <w:t xml:space="preserve">Table 4 provides </w:t>
      </w:r>
      <w:r w:rsidR="008E7D6A" w:rsidRPr="008E7D6A">
        <w:rPr>
          <w:rFonts w:ascii="Calibri" w:eastAsia="Calibri" w:hAnsi="Calibri" w:cs="Arial"/>
          <w:lang w:val="en-GB"/>
        </w:rPr>
        <w:t xml:space="preserve">the cluster medians </w:t>
      </w:r>
      <w:r>
        <w:rPr>
          <w:rFonts w:ascii="Calibri" w:eastAsia="Calibri" w:hAnsi="Calibri" w:cs="Arial"/>
          <w:lang w:val="en-GB"/>
        </w:rPr>
        <w:t>for each of the variables.</w:t>
      </w:r>
      <w:r w:rsidR="008E7D6A" w:rsidRPr="008E7D6A">
        <w:rPr>
          <w:rFonts w:ascii="Calibri" w:eastAsia="Calibri" w:hAnsi="Calibri" w:cs="Arial"/>
          <w:lang w:val="en-GB"/>
        </w:rPr>
        <w:t xml:space="preserve">  </w:t>
      </w:r>
      <w:r w:rsidR="00920866">
        <w:rPr>
          <w:rFonts w:ascii="Calibri" w:eastAsia="Calibri" w:hAnsi="Calibri" w:cs="Arial"/>
          <w:lang w:val="en-GB"/>
        </w:rPr>
        <w:t xml:space="preserve">The Kruskal-Wallis rank sum test </w:t>
      </w:r>
      <w:r w:rsidR="00B17FBE">
        <w:rPr>
          <w:rFonts w:ascii="Calibri" w:eastAsia="Calibri" w:hAnsi="Calibri" w:cs="Arial"/>
          <w:lang w:val="en-GB"/>
        </w:rPr>
        <w:t>identifies whether there are significant differences in the distributions between the clusters of each of the variables. A</w:t>
      </w:r>
      <w:r w:rsidR="008E7D6A" w:rsidRPr="008E7D6A">
        <w:rPr>
          <w:rFonts w:ascii="Calibri" w:eastAsia="Calibri" w:hAnsi="Calibri" w:cs="Arial"/>
          <w:lang w:val="en-GB"/>
        </w:rPr>
        <w:t xml:space="preserve">ll of the variables have </w:t>
      </w:r>
      <w:r w:rsidR="00B17FBE">
        <w:rPr>
          <w:rFonts w:ascii="Calibri" w:eastAsia="Calibri" w:hAnsi="Calibri" w:cs="Arial"/>
          <w:lang w:val="en-GB"/>
        </w:rPr>
        <w:t xml:space="preserve">a </w:t>
      </w:r>
      <w:r w:rsidR="008E7D6A" w:rsidRPr="008E7D6A">
        <w:rPr>
          <w:rFonts w:ascii="Calibri" w:eastAsia="Calibri" w:hAnsi="Calibri" w:cs="Arial"/>
          <w:lang w:val="en-GB"/>
        </w:rPr>
        <w:t>significant</w:t>
      </w:r>
      <w:r w:rsidR="00B17FBE">
        <w:rPr>
          <w:rFonts w:ascii="Calibri" w:eastAsia="Calibri" w:hAnsi="Calibri" w:cs="Arial"/>
          <w:lang w:val="en-GB"/>
        </w:rPr>
        <w:t>ly</w:t>
      </w:r>
      <w:r w:rsidR="008E7D6A" w:rsidRPr="008E7D6A">
        <w:rPr>
          <w:rFonts w:ascii="Calibri" w:eastAsia="Calibri" w:hAnsi="Calibri" w:cs="Arial"/>
          <w:lang w:val="en-GB"/>
        </w:rPr>
        <w:t xml:space="preserve"> different distribution in at least one of the clusters (p-value &lt; 0.05), and </w:t>
      </w:r>
      <w:r w:rsidR="00B17FBE">
        <w:rPr>
          <w:rFonts w:ascii="Calibri" w:eastAsia="Calibri" w:hAnsi="Calibri" w:cs="Arial"/>
          <w:lang w:val="en-GB"/>
        </w:rPr>
        <w:t xml:space="preserve">are </w:t>
      </w:r>
      <w:r w:rsidR="008E7D6A" w:rsidRPr="008E7D6A">
        <w:rPr>
          <w:rFonts w:ascii="Calibri" w:eastAsia="Calibri" w:hAnsi="Calibri" w:cs="Arial"/>
          <w:lang w:val="en-GB"/>
        </w:rPr>
        <w:t xml:space="preserve">therefore strong variables in terms of cluster separation. The variables are ranked based on their discrimination power, with Age Leaving Home being the most powerful variable. </w:t>
      </w:r>
    </w:p>
    <w:p w:rsidR="008E7D6A" w:rsidRPr="008E7D6A" w:rsidRDefault="00B17FBE" w:rsidP="009405AC">
      <w:pPr>
        <w:spacing w:line="360" w:lineRule="auto"/>
        <w:jc w:val="both"/>
        <w:rPr>
          <w:rFonts w:ascii="Calibri" w:eastAsia="Calibri" w:hAnsi="Calibri" w:cs="Arial"/>
          <w:lang w:val="en-GB"/>
        </w:rPr>
      </w:pPr>
      <w:r>
        <w:rPr>
          <w:rFonts w:ascii="Calibri" w:eastAsia="Calibri" w:hAnsi="Calibri" w:cs="Arial"/>
          <w:lang w:val="en-GB"/>
        </w:rPr>
        <w:t>The Wilcoxon-Man</w:t>
      </w:r>
      <w:r w:rsidR="006F4D8E">
        <w:rPr>
          <w:rFonts w:ascii="Calibri" w:eastAsia="Calibri" w:hAnsi="Calibri" w:cs="Arial"/>
          <w:lang w:val="en-GB"/>
        </w:rPr>
        <w:t>n</w:t>
      </w:r>
      <w:r>
        <w:rPr>
          <w:rFonts w:ascii="Calibri" w:eastAsia="Calibri" w:hAnsi="Calibri" w:cs="Arial"/>
          <w:lang w:val="en-GB"/>
        </w:rPr>
        <w:t xml:space="preserve">-Whitney rank sum test compares, for each pair of clusters, the distribution </w:t>
      </w:r>
      <w:r w:rsidR="006B10AB">
        <w:rPr>
          <w:rFonts w:ascii="Calibri" w:eastAsia="Calibri" w:hAnsi="Calibri" w:cs="Arial"/>
          <w:lang w:val="en-GB"/>
        </w:rPr>
        <w:t>of the variables. The WMW provides a multiple comparison of variable distributions for the three cluster pairs.</w:t>
      </w:r>
      <w:r w:rsidR="008E7D6A" w:rsidRPr="008E7D6A">
        <w:rPr>
          <w:rFonts w:ascii="Calibri" w:eastAsia="Calibri" w:hAnsi="Calibri" w:cs="Arial"/>
          <w:lang w:val="en-GB"/>
        </w:rPr>
        <w:t xml:space="preserve"> </w:t>
      </w:r>
      <w:r w:rsidR="006B10AB">
        <w:rPr>
          <w:rFonts w:ascii="Calibri" w:eastAsia="Calibri" w:hAnsi="Calibri" w:cs="Arial"/>
          <w:lang w:val="en-GB"/>
        </w:rPr>
        <w:t xml:space="preserve">It shows that for </w:t>
      </w:r>
      <w:r w:rsidR="008E7D6A" w:rsidRPr="008E7D6A">
        <w:rPr>
          <w:rFonts w:ascii="Calibri" w:eastAsia="Calibri" w:hAnsi="Calibri" w:cs="Arial"/>
          <w:lang w:val="en-GB"/>
        </w:rPr>
        <w:t>Age L</w:t>
      </w:r>
      <w:r w:rsidR="006B10AB">
        <w:rPr>
          <w:rFonts w:ascii="Calibri" w:eastAsia="Calibri" w:hAnsi="Calibri" w:cs="Arial"/>
          <w:lang w:val="en-GB"/>
        </w:rPr>
        <w:t>eaving Home, Religious Attendance</w:t>
      </w:r>
      <w:r w:rsidR="008E7D6A" w:rsidRPr="008E7D6A">
        <w:rPr>
          <w:rFonts w:ascii="Calibri" w:eastAsia="Calibri" w:hAnsi="Calibri" w:cs="Arial"/>
          <w:lang w:val="en-GB"/>
        </w:rPr>
        <w:t xml:space="preserve"> and People per Household the distribution in each cluster is significantly different </w:t>
      </w:r>
      <w:r w:rsidR="006B10AB">
        <w:rPr>
          <w:rFonts w:ascii="Calibri" w:eastAsia="Calibri" w:hAnsi="Calibri" w:cs="Arial"/>
          <w:lang w:val="en-GB"/>
        </w:rPr>
        <w:t xml:space="preserve">(at the 5 per cent level) </w:t>
      </w:r>
      <w:r w:rsidR="008E7D6A" w:rsidRPr="008E7D6A">
        <w:rPr>
          <w:rFonts w:ascii="Calibri" w:eastAsia="Calibri" w:hAnsi="Calibri" w:cs="Arial"/>
          <w:lang w:val="en-GB"/>
        </w:rPr>
        <w:t xml:space="preserve">from the others. In the case of Corruption Perception, </w:t>
      </w:r>
      <w:r w:rsidR="006B10AB">
        <w:rPr>
          <w:rFonts w:ascii="Calibri" w:eastAsia="Calibri" w:hAnsi="Calibri" w:cs="Arial"/>
          <w:lang w:val="en-GB"/>
        </w:rPr>
        <w:t>c</w:t>
      </w:r>
      <w:r w:rsidR="008E7D6A" w:rsidRPr="008E7D6A">
        <w:rPr>
          <w:rFonts w:ascii="Calibri" w:eastAsia="Calibri" w:hAnsi="Calibri" w:cs="Arial"/>
          <w:lang w:val="en-GB"/>
        </w:rPr>
        <w:t xml:space="preserve">onservative and </w:t>
      </w:r>
      <w:r w:rsidR="006B10AB">
        <w:rPr>
          <w:rFonts w:ascii="Calibri" w:eastAsia="Calibri" w:hAnsi="Calibri" w:cs="Arial"/>
          <w:lang w:val="en-GB"/>
        </w:rPr>
        <w:t xml:space="preserve">social democratic </w:t>
      </w:r>
      <w:r w:rsidR="008E7D6A" w:rsidRPr="008E7D6A">
        <w:rPr>
          <w:rFonts w:ascii="Calibri" w:eastAsia="Calibri" w:hAnsi="Calibri" w:cs="Arial"/>
          <w:lang w:val="en-GB"/>
        </w:rPr>
        <w:t xml:space="preserve">clusters do not have significantly different distribution. For </w:t>
      </w:r>
      <w:r w:rsidR="009405AC">
        <w:rPr>
          <w:rFonts w:ascii="Calibri" w:eastAsia="Calibri" w:hAnsi="Calibri" w:cs="Arial"/>
          <w:lang w:val="en-GB"/>
        </w:rPr>
        <w:t>ESP</w:t>
      </w:r>
      <w:r w:rsidR="00592760">
        <w:rPr>
          <w:rFonts w:ascii="Calibri" w:eastAsia="Calibri" w:hAnsi="Calibri" w:cs="Arial"/>
          <w:lang w:val="en-GB"/>
        </w:rPr>
        <w:t>/GDP</w:t>
      </w:r>
      <w:r w:rsidR="00E06B96">
        <w:rPr>
          <w:rFonts w:ascii="Calibri" w:eastAsia="Calibri" w:hAnsi="Calibri" w:cs="Arial"/>
          <w:lang w:val="en-GB"/>
        </w:rPr>
        <w:t xml:space="preserve"> </w:t>
      </w:r>
      <w:r w:rsidR="006B10AB">
        <w:rPr>
          <w:rFonts w:ascii="Calibri" w:eastAsia="Calibri" w:hAnsi="Calibri" w:cs="Arial"/>
          <w:lang w:val="en-GB"/>
        </w:rPr>
        <w:t>the c</w:t>
      </w:r>
      <w:r w:rsidR="008E7D6A" w:rsidRPr="008E7D6A">
        <w:rPr>
          <w:rFonts w:ascii="Calibri" w:eastAsia="Calibri" w:hAnsi="Calibri" w:cs="Arial"/>
          <w:lang w:val="en-GB"/>
        </w:rPr>
        <w:t xml:space="preserve">onservative cluster is not significantly different from </w:t>
      </w:r>
      <w:r w:rsidR="0096599F">
        <w:rPr>
          <w:rFonts w:ascii="Calibri" w:eastAsia="Calibri" w:hAnsi="Calibri" w:cs="Arial"/>
          <w:lang w:val="en-GB"/>
        </w:rPr>
        <w:t xml:space="preserve">the social democratic one. Finally, for </w:t>
      </w:r>
      <w:r w:rsidR="009405AC">
        <w:rPr>
          <w:rFonts w:ascii="Calibri" w:eastAsia="Calibri" w:hAnsi="Calibri" w:cs="Arial"/>
          <w:lang w:val="en-GB"/>
        </w:rPr>
        <w:t>GGC</w:t>
      </w:r>
      <w:r w:rsidR="00592760">
        <w:rPr>
          <w:rFonts w:ascii="Calibri" w:eastAsia="Calibri" w:hAnsi="Calibri" w:cs="Arial"/>
          <w:lang w:val="en-GB"/>
        </w:rPr>
        <w:t>/GDP</w:t>
      </w:r>
      <w:r w:rsidR="0096599F">
        <w:rPr>
          <w:rFonts w:ascii="Calibri" w:eastAsia="Calibri" w:hAnsi="Calibri" w:cs="Arial"/>
          <w:lang w:val="en-GB"/>
        </w:rPr>
        <w:t xml:space="preserve">, the </w:t>
      </w:r>
      <w:r w:rsidR="009405AC">
        <w:rPr>
          <w:rFonts w:ascii="Calibri" w:eastAsia="Calibri" w:hAnsi="Calibri" w:cs="Arial"/>
          <w:lang w:val="en-GB"/>
        </w:rPr>
        <w:t>Southern European/</w:t>
      </w:r>
      <w:r w:rsidR="0096599F">
        <w:rPr>
          <w:rFonts w:ascii="Calibri" w:eastAsia="Calibri" w:hAnsi="Calibri" w:cs="Arial"/>
          <w:lang w:val="en-GB"/>
        </w:rPr>
        <w:t xml:space="preserve">Mediterranean is not significantly different from </w:t>
      </w:r>
      <w:r w:rsidR="008E7D6A" w:rsidRPr="008E7D6A">
        <w:rPr>
          <w:rFonts w:ascii="Calibri" w:eastAsia="Calibri" w:hAnsi="Calibri" w:cs="Arial"/>
          <w:lang w:val="en-GB"/>
        </w:rPr>
        <w:t>either of the other two clusters.</w:t>
      </w:r>
    </w:p>
    <w:p w:rsidR="00FF7B7E" w:rsidRPr="00CC4EBD" w:rsidRDefault="00FF7B7E" w:rsidP="00FF7B7E">
      <w:pPr>
        <w:keepNext/>
        <w:keepLines/>
        <w:spacing w:line="240" w:lineRule="auto"/>
        <w:rPr>
          <w:b/>
          <w:bCs/>
        </w:rPr>
      </w:pPr>
      <w:r w:rsidRPr="00CC4EBD">
        <w:rPr>
          <w:b/>
          <w:bCs/>
        </w:rPr>
        <w:lastRenderedPageBreak/>
        <w:t xml:space="preserve">Table 4: Comparison of the three clusters using the six variables’ cluster medians with Kruskal-Wallis and Wilcoxon-Mann-Witney rank sum tests </w:t>
      </w:r>
    </w:p>
    <w:tbl>
      <w:tblPr>
        <w:tblW w:w="8599" w:type="dxa"/>
        <w:tblInd w:w="93" w:type="dxa"/>
        <w:tblLook w:val="04A0" w:firstRow="1" w:lastRow="0" w:firstColumn="1" w:lastColumn="0" w:noHBand="0" w:noVBand="1"/>
      </w:tblPr>
      <w:tblGrid>
        <w:gridCol w:w="1291"/>
        <w:gridCol w:w="266"/>
        <w:gridCol w:w="718"/>
        <w:gridCol w:w="718"/>
        <w:gridCol w:w="733"/>
        <w:gridCol w:w="266"/>
        <w:gridCol w:w="985"/>
        <w:gridCol w:w="992"/>
        <w:gridCol w:w="266"/>
        <w:gridCol w:w="928"/>
        <w:gridCol w:w="718"/>
        <w:gridCol w:w="718"/>
      </w:tblGrid>
      <w:tr w:rsidR="00FF7B7E" w:rsidRPr="00CC4EBD" w:rsidTr="002D2E50">
        <w:trPr>
          <w:trHeight w:val="300"/>
        </w:trPr>
        <w:tc>
          <w:tcPr>
            <w:tcW w:w="1291" w:type="dxa"/>
            <w:tcBorders>
              <w:top w:val="single" w:sz="4" w:space="0" w:color="auto"/>
              <w:left w:val="nil"/>
              <w:bottom w:val="nil"/>
              <w:right w:val="nil"/>
            </w:tcBorders>
            <w:shd w:val="clear" w:color="auto" w:fill="auto"/>
            <w:noWrap/>
            <w:vAlign w:val="bottom"/>
            <w:hideMark/>
          </w:tcPr>
          <w:p w:rsidR="00FF7B7E" w:rsidRPr="00CC4EBD" w:rsidRDefault="00FF7B7E" w:rsidP="00FF7B7E">
            <w:pPr>
              <w:keepNext/>
              <w:keepLines/>
              <w:spacing w:line="240" w:lineRule="auto"/>
              <w:rPr>
                <w:i/>
                <w:iCs/>
                <w:lang w:val="en-US"/>
              </w:rPr>
            </w:pPr>
            <w:r w:rsidRPr="00CC4EBD">
              <w:rPr>
                <w:i/>
                <w:iCs/>
                <w:lang w:val="en-US"/>
              </w:rPr>
              <w:t> </w:t>
            </w:r>
          </w:p>
        </w:tc>
        <w:tc>
          <w:tcPr>
            <w:tcW w:w="266" w:type="dxa"/>
            <w:tcBorders>
              <w:top w:val="single" w:sz="4" w:space="0" w:color="auto"/>
              <w:left w:val="nil"/>
              <w:bottom w:val="nil"/>
              <w:right w:val="nil"/>
            </w:tcBorders>
            <w:shd w:val="clear" w:color="auto" w:fill="auto"/>
            <w:noWrap/>
            <w:vAlign w:val="bottom"/>
            <w:hideMark/>
          </w:tcPr>
          <w:p w:rsidR="00FF7B7E" w:rsidRPr="00CC4EBD" w:rsidRDefault="00FF7B7E" w:rsidP="00FF7B7E">
            <w:pPr>
              <w:keepNext/>
              <w:keepLines/>
              <w:spacing w:line="240" w:lineRule="auto"/>
              <w:rPr>
                <w:i/>
                <w:iCs/>
                <w:lang w:val="en-US"/>
              </w:rPr>
            </w:pPr>
            <w:r w:rsidRPr="00CC4EBD">
              <w:rPr>
                <w:i/>
                <w:iCs/>
                <w:lang w:val="en-US"/>
              </w:rPr>
              <w:t> </w:t>
            </w:r>
          </w:p>
        </w:tc>
        <w:tc>
          <w:tcPr>
            <w:tcW w:w="2169" w:type="dxa"/>
            <w:gridSpan w:val="3"/>
            <w:tcBorders>
              <w:top w:val="single" w:sz="4" w:space="0" w:color="auto"/>
              <w:left w:val="nil"/>
              <w:bottom w:val="single" w:sz="4" w:space="0" w:color="auto"/>
              <w:right w:val="nil"/>
            </w:tcBorders>
            <w:shd w:val="clear" w:color="auto" w:fill="auto"/>
            <w:noWrap/>
            <w:vAlign w:val="center"/>
            <w:hideMark/>
          </w:tcPr>
          <w:p w:rsidR="00FF7B7E" w:rsidRPr="00CC4EBD" w:rsidRDefault="00FF7B7E" w:rsidP="00FF7B7E">
            <w:pPr>
              <w:keepNext/>
              <w:keepLines/>
              <w:spacing w:line="240" w:lineRule="auto"/>
              <w:rPr>
                <w:i/>
                <w:iCs/>
                <w:lang w:val="el-GR"/>
              </w:rPr>
            </w:pPr>
            <w:r w:rsidRPr="00CC4EBD">
              <w:rPr>
                <w:i/>
                <w:iCs/>
                <w:lang w:val="el-GR"/>
              </w:rPr>
              <w:t>Cluster Medians</w:t>
            </w:r>
          </w:p>
        </w:tc>
        <w:tc>
          <w:tcPr>
            <w:tcW w:w="266" w:type="dxa"/>
            <w:tcBorders>
              <w:top w:val="single" w:sz="4" w:space="0" w:color="auto"/>
              <w:left w:val="nil"/>
              <w:bottom w:val="nil"/>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 </w:t>
            </w:r>
          </w:p>
        </w:tc>
        <w:tc>
          <w:tcPr>
            <w:tcW w:w="1977" w:type="dxa"/>
            <w:gridSpan w:val="2"/>
            <w:tcBorders>
              <w:top w:val="single" w:sz="4" w:space="0" w:color="auto"/>
              <w:left w:val="nil"/>
              <w:bottom w:val="nil"/>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Kruskal-Wallis Test</w:t>
            </w:r>
          </w:p>
        </w:tc>
        <w:tc>
          <w:tcPr>
            <w:tcW w:w="266" w:type="dxa"/>
            <w:tcBorders>
              <w:top w:val="single" w:sz="4" w:space="0" w:color="auto"/>
              <w:left w:val="nil"/>
              <w:bottom w:val="nil"/>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 </w:t>
            </w:r>
          </w:p>
        </w:tc>
        <w:tc>
          <w:tcPr>
            <w:tcW w:w="2364" w:type="dxa"/>
            <w:gridSpan w:val="3"/>
            <w:tcBorders>
              <w:top w:val="single" w:sz="4" w:space="0" w:color="auto"/>
              <w:left w:val="nil"/>
              <w:bottom w:val="single" w:sz="4" w:space="0" w:color="auto"/>
              <w:right w:val="nil"/>
            </w:tcBorders>
            <w:shd w:val="clear" w:color="auto" w:fill="auto"/>
            <w:noWrap/>
            <w:vAlign w:val="center"/>
            <w:hideMark/>
          </w:tcPr>
          <w:p w:rsidR="00FF7B7E" w:rsidRPr="00CC4EBD" w:rsidRDefault="00FF7B7E" w:rsidP="00FF7B7E">
            <w:pPr>
              <w:keepNext/>
              <w:keepLines/>
              <w:spacing w:line="240" w:lineRule="auto"/>
              <w:rPr>
                <w:i/>
                <w:iCs/>
                <w:lang w:val="el-GR"/>
              </w:rPr>
            </w:pPr>
            <w:r w:rsidRPr="00CC4EBD">
              <w:rPr>
                <w:i/>
                <w:iCs/>
                <w:lang w:val="en-US"/>
              </w:rPr>
              <w:t>WM</w:t>
            </w:r>
            <w:r w:rsidRPr="00CC4EBD">
              <w:rPr>
                <w:i/>
                <w:iCs/>
                <w:lang w:val="el-GR"/>
              </w:rPr>
              <w:t>W p-values</w:t>
            </w:r>
          </w:p>
        </w:tc>
      </w:tr>
      <w:tr w:rsidR="00FF7B7E" w:rsidRPr="00CC4EBD" w:rsidTr="002D2E50">
        <w:trPr>
          <w:trHeight w:val="600"/>
        </w:trPr>
        <w:tc>
          <w:tcPr>
            <w:tcW w:w="1291"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Variable</w:t>
            </w:r>
          </w:p>
        </w:tc>
        <w:tc>
          <w:tcPr>
            <w:tcW w:w="266"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 </w:t>
            </w:r>
          </w:p>
        </w:tc>
        <w:tc>
          <w:tcPr>
            <w:tcW w:w="718"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Cons.</w:t>
            </w:r>
          </w:p>
        </w:tc>
        <w:tc>
          <w:tcPr>
            <w:tcW w:w="718"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SE/M</w:t>
            </w:r>
          </w:p>
        </w:tc>
        <w:tc>
          <w:tcPr>
            <w:tcW w:w="733"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SD</w:t>
            </w:r>
          </w:p>
        </w:tc>
        <w:tc>
          <w:tcPr>
            <w:tcW w:w="266"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 </w:t>
            </w:r>
          </w:p>
        </w:tc>
        <w:tc>
          <w:tcPr>
            <w:tcW w:w="985" w:type="dxa"/>
            <w:tcBorders>
              <w:top w:val="single" w:sz="4" w:space="0" w:color="auto"/>
              <w:left w:val="nil"/>
              <w:bottom w:val="single" w:sz="4" w:space="0" w:color="auto"/>
              <w:right w:val="nil"/>
            </w:tcBorders>
            <w:shd w:val="clear" w:color="auto" w:fill="auto"/>
            <w:vAlign w:val="bottom"/>
            <w:hideMark/>
          </w:tcPr>
          <w:p w:rsidR="00FF7B7E" w:rsidRPr="00CC4EBD" w:rsidRDefault="00FF7B7E" w:rsidP="00FF7B7E">
            <w:pPr>
              <w:keepNext/>
              <w:keepLines/>
              <w:spacing w:line="240" w:lineRule="auto"/>
              <w:rPr>
                <w:i/>
                <w:iCs/>
                <w:lang w:val="el-GR"/>
              </w:rPr>
            </w:pPr>
            <w:r w:rsidRPr="00CC4EBD">
              <w:rPr>
                <w:i/>
                <w:iCs/>
                <w:lang w:val="el-GR"/>
              </w:rPr>
              <w:t>Chi-Sq</w:t>
            </w:r>
            <w:r w:rsidRPr="00CC4EBD">
              <w:rPr>
                <w:i/>
                <w:iCs/>
                <w:lang w:val="el-GR"/>
              </w:rPr>
              <w:br/>
              <w:t>(df 2)</w:t>
            </w:r>
          </w:p>
        </w:tc>
        <w:tc>
          <w:tcPr>
            <w:tcW w:w="992" w:type="dxa"/>
            <w:tcBorders>
              <w:top w:val="single" w:sz="4" w:space="0" w:color="auto"/>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p-value</w:t>
            </w:r>
          </w:p>
        </w:tc>
        <w:tc>
          <w:tcPr>
            <w:tcW w:w="266"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i/>
                <w:iCs/>
                <w:lang w:val="el-GR"/>
              </w:rPr>
            </w:pPr>
            <w:r w:rsidRPr="00CC4EBD">
              <w:rPr>
                <w:i/>
                <w:iCs/>
                <w:lang w:val="el-GR"/>
              </w:rPr>
              <w:t> </w:t>
            </w:r>
          </w:p>
        </w:tc>
        <w:tc>
          <w:tcPr>
            <w:tcW w:w="928" w:type="dxa"/>
            <w:tcBorders>
              <w:top w:val="nil"/>
              <w:left w:val="nil"/>
              <w:bottom w:val="single" w:sz="4" w:space="0" w:color="auto"/>
              <w:right w:val="nil"/>
            </w:tcBorders>
            <w:shd w:val="clear" w:color="auto" w:fill="auto"/>
            <w:vAlign w:val="bottom"/>
            <w:hideMark/>
          </w:tcPr>
          <w:p w:rsidR="00FF7B7E" w:rsidRPr="00CC4EBD" w:rsidRDefault="00FF7B7E" w:rsidP="00FF7B7E">
            <w:pPr>
              <w:keepNext/>
              <w:keepLines/>
              <w:spacing w:line="240" w:lineRule="auto"/>
              <w:rPr>
                <w:i/>
                <w:iCs/>
                <w:lang w:val="el-GR"/>
              </w:rPr>
            </w:pPr>
            <w:r w:rsidRPr="00CC4EBD">
              <w:rPr>
                <w:i/>
                <w:iCs/>
                <w:lang w:val="el-GR"/>
              </w:rPr>
              <w:t xml:space="preserve">Cons. </w:t>
            </w:r>
            <w:r w:rsidRPr="00CC4EBD">
              <w:rPr>
                <w:i/>
                <w:iCs/>
                <w:lang w:val="el-GR"/>
              </w:rPr>
              <w:br/>
              <w:t>vs SE/M</w:t>
            </w:r>
          </w:p>
        </w:tc>
        <w:tc>
          <w:tcPr>
            <w:tcW w:w="718" w:type="dxa"/>
            <w:tcBorders>
              <w:top w:val="nil"/>
              <w:left w:val="nil"/>
              <w:bottom w:val="single" w:sz="4" w:space="0" w:color="auto"/>
              <w:right w:val="nil"/>
            </w:tcBorders>
            <w:shd w:val="clear" w:color="auto" w:fill="auto"/>
            <w:vAlign w:val="bottom"/>
            <w:hideMark/>
          </w:tcPr>
          <w:p w:rsidR="00FF7B7E" w:rsidRPr="00CC4EBD" w:rsidRDefault="00FF7B7E" w:rsidP="00FF7B7E">
            <w:pPr>
              <w:keepNext/>
              <w:keepLines/>
              <w:spacing w:line="240" w:lineRule="auto"/>
              <w:rPr>
                <w:i/>
                <w:iCs/>
                <w:lang w:val="el-GR"/>
              </w:rPr>
            </w:pPr>
            <w:r w:rsidRPr="00CC4EBD">
              <w:rPr>
                <w:i/>
                <w:iCs/>
                <w:lang w:val="el-GR"/>
              </w:rPr>
              <w:t xml:space="preserve">Cons. </w:t>
            </w:r>
            <w:r w:rsidRPr="00CC4EBD">
              <w:rPr>
                <w:i/>
                <w:iCs/>
                <w:lang w:val="el-GR"/>
              </w:rPr>
              <w:br/>
              <w:t>vs SD</w:t>
            </w:r>
          </w:p>
        </w:tc>
        <w:tc>
          <w:tcPr>
            <w:tcW w:w="718" w:type="dxa"/>
            <w:tcBorders>
              <w:top w:val="nil"/>
              <w:left w:val="nil"/>
              <w:bottom w:val="single" w:sz="4" w:space="0" w:color="auto"/>
              <w:right w:val="nil"/>
            </w:tcBorders>
            <w:shd w:val="clear" w:color="auto" w:fill="auto"/>
            <w:vAlign w:val="bottom"/>
            <w:hideMark/>
          </w:tcPr>
          <w:p w:rsidR="00FF7B7E" w:rsidRPr="00CC4EBD" w:rsidRDefault="00FF7B7E" w:rsidP="00FF7B7E">
            <w:pPr>
              <w:keepNext/>
              <w:keepLines/>
              <w:spacing w:line="240" w:lineRule="auto"/>
              <w:rPr>
                <w:i/>
                <w:iCs/>
                <w:lang w:val="el-GR"/>
              </w:rPr>
            </w:pPr>
            <w:r w:rsidRPr="00CC4EBD">
              <w:rPr>
                <w:i/>
                <w:iCs/>
                <w:lang w:val="el-GR"/>
              </w:rPr>
              <w:t xml:space="preserve">SE/M </w:t>
            </w:r>
            <w:r w:rsidRPr="00CC4EBD">
              <w:rPr>
                <w:i/>
                <w:iCs/>
                <w:lang w:val="el-GR"/>
              </w:rPr>
              <w:br/>
              <w:t>vs SD</w:t>
            </w:r>
          </w:p>
        </w:tc>
      </w:tr>
      <w:tr w:rsidR="00FF7B7E" w:rsidRPr="00CC4EBD" w:rsidTr="002D2E50">
        <w:trPr>
          <w:trHeight w:val="300"/>
        </w:trPr>
        <w:tc>
          <w:tcPr>
            <w:tcW w:w="1291"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Age Leaving Home</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 </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23.85</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28.25</w:t>
            </w:r>
          </w:p>
        </w:tc>
        <w:tc>
          <w:tcPr>
            <w:tcW w:w="733"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20.60</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 </w:t>
            </w:r>
          </w:p>
        </w:tc>
        <w:tc>
          <w:tcPr>
            <w:tcW w:w="985"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13.742</w:t>
            </w:r>
          </w:p>
        </w:tc>
        <w:tc>
          <w:tcPr>
            <w:tcW w:w="992"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0.001</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 </w:t>
            </w:r>
          </w:p>
        </w:tc>
        <w:tc>
          <w:tcPr>
            <w:tcW w:w="92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0.001</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0.017</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0.017</w:t>
            </w:r>
          </w:p>
        </w:tc>
      </w:tr>
      <w:tr w:rsidR="00FF7B7E" w:rsidRPr="00CC4EBD" w:rsidTr="002D2E50">
        <w:trPr>
          <w:trHeight w:val="300"/>
        </w:trPr>
        <w:tc>
          <w:tcPr>
            <w:tcW w:w="1291"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n-US"/>
              </w:rPr>
            </w:pPr>
            <w:r w:rsidRPr="00CC4EBD">
              <w:rPr>
                <w:lang w:val="el-GR"/>
              </w:rPr>
              <w:t>Religious Atten</w:t>
            </w:r>
            <w:r w:rsidRPr="00CC4EBD">
              <w:rPr>
                <w:lang w:val="en-US"/>
              </w:rPr>
              <w:t>dance</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10.70</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26.90</w:t>
            </w:r>
          </w:p>
        </w:tc>
        <w:tc>
          <w:tcPr>
            <w:tcW w:w="733"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3.60</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985"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13.007</w:t>
            </w:r>
          </w:p>
        </w:tc>
        <w:tc>
          <w:tcPr>
            <w:tcW w:w="992"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0.001</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92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0.001</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0.025</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0.017</w:t>
            </w:r>
          </w:p>
        </w:tc>
      </w:tr>
      <w:tr w:rsidR="00FF7B7E" w:rsidRPr="00CC4EBD" w:rsidTr="002D2E50">
        <w:trPr>
          <w:trHeight w:val="300"/>
        </w:trPr>
        <w:tc>
          <w:tcPr>
            <w:tcW w:w="1291"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n-US"/>
              </w:rPr>
            </w:pPr>
            <w:r w:rsidRPr="00CC4EBD">
              <w:rPr>
                <w:lang w:val="el-GR"/>
              </w:rPr>
              <w:t>People per Hous</w:t>
            </w:r>
            <w:r w:rsidRPr="00CC4EBD">
              <w:rPr>
                <w:lang w:val="en-US"/>
              </w:rPr>
              <w:t>ehold</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2.30</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2.70</w:t>
            </w:r>
          </w:p>
        </w:tc>
        <w:tc>
          <w:tcPr>
            <w:tcW w:w="733"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2.10</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985"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12.617</w:t>
            </w:r>
          </w:p>
        </w:tc>
        <w:tc>
          <w:tcPr>
            <w:tcW w:w="992"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0.002</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92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0.003</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0.05</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0.008</w:t>
            </w:r>
          </w:p>
        </w:tc>
      </w:tr>
      <w:tr w:rsidR="00FF7B7E" w:rsidRPr="00CC4EBD" w:rsidTr="002D2E50">
        <w:trPr>
          <w:trHeight w:val="300"/>
        </w:trPr>
        <w:tc>
          <w:tcPr>
            <w:tcW w:w="1291"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n-US"/>
              </w:rPr>
            </w:pPr>
            <w:r w:rsidRPr="00CC4EBD">
              <w:rPr>
                <w:lang w:val="el-GR"/>
              </w:rPr>
              <w:t>Corruption Perc</w:t>
            </w:r>
            <w:r w:rsidRPr="00CC4EBD">
              <w:rPr>
                <w:lang w:val="en-US"/>
              </w:rPr>
              <w:t>eption</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67.50</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88.00</w:t>
            </w:r>
          </w:p>
        </w:tc>
        <w:tc>
          <w:tcPr>
            <w:tcW w:w="733"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36.00</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985"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12.471</w:t>
            </w:r>
          </w:p>
        </w:tc>
        <w:tc>
          <w:tcPr>
            <w:tcW w:w="992"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0.002</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92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0.001</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0.158</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0.017</w:t>
            </w:r>
          </w:p>
        </w:tc>
      </w:tr>
      <w:tr w:rsidR="00FF7B7E" w:rsidRPr="00CC4EBD" w:rsidTr="002D2E50">
        <w:trPr>
          <w:trHeight w:val="300"/>
        </w:trPr>
        <w:tc>
          <w:tcPr>
            <w:tcW w:w="1291"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pPr>
            <w:r w:rsidRPr="00CC4EBD">
              <w:t>ESP/GDP</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30.35</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26.98</w:t>
            </w:r>
          </w:p>
        </w:tc>
        <w:tc>
          <w:tcPr>
            <w:tcW w:w="733"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30.56</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985"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7.593</w:t>
            </w:r>
          </w:p>
        </w:tc>
        <w:tc>
          <w:tcPr>
            <w:tcW w:w="992"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0.022</w:t>
            </w:r>
          </w:p>
        </w:tc>
        <w:tc>
          <w:tcPr>
            <w:tcW w:w="266"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p>
        </w:tc>
        <w:tc>
          <w:tcPr>
            <w:tcW w:w="92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0.038</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0.517</w:t>
            </w:r>
          </w:p>
        </w:tc>
        <w:tc>
          <w:tcPr>
            <w:tcW w:w="718" w:type="dxa"/>
            <w:tcBorders>
              <w:top w:val="nil"/>
              <w:left w:val="nil"/>
              <w:bottom w:val="nil"/>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0.017</w:t>
            </w:r>
          </w:p>
        </w:tc>
      </w:tr>
      <w:tr w:rsidR="00FF7B7E" w:rsidRPr="00CC4EBD" w:rsidTr="002D2E50">
        <w:trPr>
          <w:trHeight w:val="300"/>
        </w:trPr>
        <w:tc>
          <w:tcPr>
            <w:tcW w:w="1291"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pPr>
            <w:r w:rsidRPr="00CC4EBD">
              <w:t>GGC/GDP</w:t>
            </w:r>
          </w:p>
        </w:tc>
        <w:tc>
          <w:tcPr>
            <w:tcW w:w="266"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 </w:t>
            </w:r>
          </w:p>
        </w:tc>
        <w:tc>
          <w:tcPr>
            <w:tcW w:w="718"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10.93</w:t>
            </w:r>
          </w:p>
        </w:tc>
        <w:tc>
          <w:tcPr>
            <w:tcW w:w="718"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12.70</w:t>
            </w:r>
          </w:p>
        </w:tc>
        <w:tc>
          <w:tcPr>
            <w:tcW w:w="733"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16.73</w:t>
            </w:r>
          </w:p>
        </w:tc>
        <w:tc>
          <w:tcPr>
            <w:tcW w:w="266"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 </w:t>
            </w:r>
          </w:p>
        </w:tc>
        <w:tc>
          <w:tcPr>
            <w:tcW w:w="985"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6.741</w:t>
            </w:r>
          </w:p>
        </w:tc>
        <w:tc>
          <w:tcPr>
            <w:tcW w:w="992"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0.034</w:t>
            </w:r>
          </w:p>
        </w:tc>
        <w:tc>
          <w:tcPr>
            <w:tcW w:w="266"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 </w:t>
            </w:r>
          </w:p>
        </w:tc>
        <w:tc>
          <w:tcPr>
            <w:tcW w:w="928"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0.318</w:t>
            </w:r>
          </w:p>
        </w:tc>
        <w:tc>
          <w:tcPr>
            <w:tcW w:w="718"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0.017</w:t>
            </w:r>
          </w:p>
        </w:tc>
        <w:tc>
          <w:tcPr>
            <w:tcW w:w="718" w:type="dxa"/>
            <w:tcBorders>
              <w:top w:val="nil"/>
              <w:left w:val="nil"/>
              <w:bottom w:val="single" w:sz="4" w:space="0" w:color="auto"/>
              <w:right w:val="nil"/>
            </w:tcBorders>
            <w:shd w:val="clear" w:color="auto" w:fill="auto"/>
            <w:noWrap/>
            <w:vAlign w:val="bottom"/>
            <w:hideMark/>
          </w:tcPr>
          <w:p w:rsidR="00FF7B7E" w:rsidRPr="00CC4EBD" w:rsidRDefault="00FF7B7E" w:rsidP="00FF7B7E">
            <w:pPr>
              <w:keepNext/>
              <w:keepLines/>
              <w:spacing w:line="240" w:lineRule="auto"/>
              <w:rPr>
                <w:lang w:val="el-GR"/>
              </w:rPr>
            </w:pPr>
            <w:r w:rsidRPr="00CC4EBD">
              <w:rPr>
                <w:lang w:val="el-GR"/>
              </w:rPr>
              <w:t>0.067</w:t>
            </w:r>
          </w:p>
        </w:tc>
      </w:tr>
    </w:tbl>
    <w:p w:rsidR="00FF7B7E" w:rsidRDefault="00FF7B7E" w:rsidP="00B91DDB">
      <w:pPr>
        <w:spacing w:line="360" w:lineRule="auto"/>
        <w:jc w:val="both"/>
        <w:rPr>
          <w:rFonts w:ascii="Calibri" w:eastAsia="Calibri" w:hAnsi="Calibri" w:cs="Arial"/>
        </w:rPr>
      </w:pPr>
    </w:p>
    <w:p w:rsidR="008E7D6A" w:rsidRPr="008E7D6A" w:rsidRDefault="008E7D6A" w:rsidP="00B91DDB">
      <w:pPr>
        <w:spacing w:line="360" w:lineRule="auto"/>
        <w:jc w:val="both"/>
        <w:rPr>
          <w:rFonts w:ascii="Calibri" w:eastAsia="Calibri" w:hAnsi="Calibri" w:cs="Arial"/>
          <w:lang w:val="en-US"/>
        </w:rPr>
      </w:pPr>
      <w:r w:rsidRPr="008E7D6A">
        <w:rPr>
          <w:rFonts w:ascii="Calibri" w:eastAsia="Calibri" w:hAnsi="Calibri" w:cs="Arial"/>
          <w:lang w:val="en-US"/>
        </w:rPr>
        <w:t xml:space="preserve">Considering the six variables simultaneously as an array, the distances between countries or central points are the Euclidian distances of the arrays. Table </w:t>
      </w:r>
      <w:r w:rsidR="00DE0086">
        <w:rPr>
          <w:rFonts w:ascii="Calibri" w:eastAsia="Calibri" w:hAnsi="Calibri" w:cs="Arial"/>
          <w:lang w:val="en-US"/>
        </w:rPr>
        <w:t>5</w:t>
      </w:r>
      <w:r w:rsidRPr="008E7D6A">
        <w:rPr>
          <w:rFonts w:ascii="Calibri" w:eastAsia="Calibri" w:hAnsi="Calibri" w:cs="Arial"/>
          <w:lang w:val="en-US"/>
        </w:rPr>
        <w:t xml:space="preserve"> summarizes the distance between the clusters</w:t>
      </w:r>
      <w:r w:rsidR="00A015AB">
        <w:rPr>
          <w:rFonts w:ascii="Calibri" w:eastAsia="Calibri" w:hAnsi="Calibri" w:cs="Arial"/>
          <w:lang w:val="en-US"/>
        </w:rPr>
        <w:t>’</w:t>
      </w:r>
      <w:r w:rsidRPr="008E7D6A">
        <w:rPr>
          <w:rFonts w:ascii="Calibri" w:eastAsia="Calibri" w:hAnsi="Calibri" w:cs="Arial"/>
          <w:lang w:val="en-US"/>
        </w:rPr>
        <w:t xml:space="preserve"> central points that can be considered to be either the cluster medoids, or the medians or the means. For any type of central point</w:t>
      </w:r>
      <w:r w:rsidR="00B91DDB">
        <w:rPr>
          <w:rFonts w:ascii="Calibri" w:eastAsia="Calibri" w:hAnsi="Calibri" w:cs="Arial"/>
          <w:lang w:val="en-US"/>
        </w:rPr>
        <w:t xml:space="preserve"> (medoid, median or mean)</w:t>
      </w:r>
      <w:r w:rsidRPr="008E7D6A">
        <w:rPr>
          <w:rFonts w:ascii="Calibri" w:eastAsia="Calibri" w:hAnsi="Calibri" w:cs="Arial"/>
          <w:lang w:val="en-US"/>
        </w:rPr>
        <w:t xml:space="preserve">, the distance between the </w:t>
      </w:r>
      <w:r w:rsidR="00B91DDB">
        <w:rPr>
          <w:rFonts w:ascii="Calibri" w:eastAsia="Calibri" w:hAnsi="Calibri" w:cs="Arial"/>
          <w:lang w:val="en-US"/>
        </w:rPr>
        <w:t>c</w:t>
      </w:r>
      <w:r w:rsidRPr="008E7D6A">
        <w:rPr>
          <w:rFonts w:ascii="Calibri" w:eastAsia="Calibri" w:hAnsi="Calibri" w:cs="Arial"/>
          <w:lang w:val="en-US"/>
        </w:rPr>
        <w:t xml:space="preserve">onservative and </w:t>
      </w:r>
      <w:r w:rsidR="00B91DDB">
        <w:rPr>
          <w:rFonts w:ascii="Calibri" w:eastAsia="Calibri" w:hAnsi="Calibri" w:cs="Arial"/>
          <w:lang w:val="en-US"/>
        </w:rPr>
        <w:t xml:space="preserve">social democratic </w:t>
      </w:r>
      <w:r w:rsidRPr="008E7D6A">
        <w:rPr>
          <w:rFonts w:ascii="Calibri" w:eastAsia="Calibri" w:hAnsi="Calibri" w:cs="Arial"/>
          <w:lang w:val="en-US"/>
        </w:rPr>
        <w:t xml:space="preserve">cluster is the smallest, followed by the distance </w:t>
      </w:r>
      <w:r w:rsidR="00B91DDB">
        <w:rPr>
          <w:rFonts w:ascii="Calibri" w:eastAsia="Calibri" w:hAnsi="Calibri" w:cs="Arial"/>
          <w:lang w:val="en-US"/>
        </w:rPr>
        <w:t>between the c</w:t>
      </w:r>
      <w:r w:rsidRPr="008E7D6A">
        <w:rPr>
          <w:rFonts w:ascii="Calibri" w:eastAsia="Calibri" w:hAnsi="Calibri" w:cs="Arial"/>
          <w:lang w:val="en-US"/>
        </w:rPr>
        <w:t>onservative and SE/M</w:t>
      </w:r>
      <w:r w:rsidR="00B91DDB">
        <w:rPr>
          <w:rFonts w:ascii="Calibri" w:eastAsia="Calibri" w:hAnsi="Calibri" w:cs="Arial"/>
          <w:lang w:val="en-US"/>
        </w:rPr>
        <w:t>,</w:t>
      </w:r>
      <w:r w:rsidRPr="008E7D6A">
        <w:rPr>
          <w:rFonts w:ascii="Calibri" w:eastAsia="Calibri" w:hAnsi="Calibri" w:cs="Arial"/>
          <w:lang w:val="en-US"/>
        </w:rPr>
        <w:t xml:space="preserve"> </w:t>
      </w:r>
      <w:r w:rsidR="00B91DDB">
        <w:rPr>
          <w:rFonts w:ascii="Calibri" w:eastAsia="Calibri" w:hAnsi="Calibri" w:cs="Arial"/>
          <w:lang w:val="en-US"/>
        </w:rPr>
        <w:t xml:space="preserve">with </w:t>
      </w:r>
      <w:r w:rsidRPr="008E7D6A">
        <w:rPr>
          <w:rFonts w:ascii="Calibri" w:eastAsia="Calibri" w:hAnsi="Calibri" w:cs="Arial"/>
          <w:lang w:val="en-US"/>
        </w:rPr>
        <w:t xml:space="preserve">the distance between the SE/M and </w:t>
      </w:r>
      <w:r w:rsidR="00B91DDB">
        <w:rPr>
          <w:rFonts w:ascii="Calibri" w:eastAsia="Calibri" w:hAnsi="Calibri" w:cs="Arial"/>
          <w:lang w:val="en-US"/>
        </w:rPr>
        <w:t xml:space="preserve">the social democratic being </w:t>
      </w:r>
      <w:r w:rsidRPr="008E7D6A">
        <w:rPr>
          <w:rFonts w:ascii="Calibri" w:eastAsia="Calibri" w:hAnsi="Calibri" w:cs="Arial"/>
          <w:lang w:val="en-US"/>
        </w:rPr>
        <w:t xml:space="preserve">the largest. </w:t>
      </w:r>
    </w:p>
    <w:p w:rsidR="00FF7B7E" w:rsidRPr="008B0D01" w:rsidRDefault="00FF7B7E" w:rsidP="00FF7B7E">
      <w:pPr>
        <w:keepNext/>
        <w:keepLines/>
        <w:spacing w:line="240" w:lineRule="auto"/>
        <w:rPr>
          <w:b/>
          <w:bCs/>
        </w:rPr>
      </w:pPr>
      <w:r w:rsidRPr="008B0D01">
        <w:rPr>
          <w:b/>
          <w:bCs/>
        </w:rPr>
        <w:t>Table 5: Distance between Cluster Central Points</w:t>
      </w:r>
    </w:p>
    <w:tbl>
      <w:tblPr>
        <w:tblW w:w="4900" w:type="dxa"/>
        <w:tblLook w:val="04A0" w:firstRow="1" w:lastRow="0" w:firstColumn="1" w:lastColumn="0" w:noHBand="0" w:noVBand="1"/>
      </w:tblPr>
      <w:tblGrid>
        <w:gridCol w:w="1480"/>
        <w:gridCol w:w="1651"/>
        <w:gridCol w:w="1006"/>
        <w:gridCol w:w="836"/>
      </w:tblGrid>
      <w:tr w:rsidR="00FF7B7E" w:rsidRPr="008B0D01" w:rsidTr="002D2E50">
        <w:trPr>
          <w:trHeight w:val="315"/>
        </w:trPr>
        <w:tc>
          <w:tcPr>
            <w:tcW w:w="1480" w:type="dxa"/>
            <w:tcBorders>
              <w:top w:val="single" w:sz="8" w:space="0" w:color="auto"/>
              <w:left w:val="nil"/>
              <w:bottom w:val="nil"/>
              <w:right w:val="nil"/>
            </w:tcBorders>
            <w:shd w:val="clear" w:color="auto" w:fill="auto"/>
            <w:noWrap/>
            <w:vAlign w:val="center"/>
            <w:hideMark/>
          </w:tcPr>
          <w:p w:rsidR="00FF7B7E" w:rsidRPr="005346B1" w:rsidRDefault="00FF7B7E" w:rsidP="00FF7B7E">
            <w:pPr>
              <w:keepNext/>
              <w:keepLines/>
              <w:spacing w:line="240" w:lineRule="auto"/>
              <w:rPr>
                <w:b/>
                <w:bCs/>
                <w:lang w:val="en-US"/>
              </w:rPr>
            </w:pPr>
            <w:r w:rsidRPr="008B0D01">
              <w:rPr>
                <w:b/>
                <w:bCs/>
                <w:lang w:val="en-GB"/>
              </w:rPr>
              <w:t> </w:t>
            </w:r>
          </w:p>
        </w:tc>
        <w:tc>
          <w:tcPr>
            <w:tcW w:w="3420" w:type="dxa"/>
            <w:gridSpan w:val="3"/>
            <w:tcBorders>
              <w:top w:val="single" w:sz="8" w:space="0" w:color="auto"/>
              <w:left w:val="nil"/>
              <w:bottom w:val="single" w:sz="8" w:space="0" w:color="auto"/>
              <w:right w:val="nil"/>
            </w:tcBorders>
            <w:shd w:val="clear" w:color="auto" w:fill="auto"/>
            <w:noWrap/>
            <w:vAlign w:val="center"/>
            <w:hideMark/>
          </w:tcPr>
          <w:p w:rsidR="00FF7B7E" w:rsidRPr="008B0D01" w:rsidRDefault="00FF7B7E" w:rsidP="00FF7B7E">
            <w:pPr>
              <w:keepNext/>
              <w:keepLines/>
              <w:spacing w:line="240" w:lineRule="auto"/>
              <w:rPr>
                <w:b/>
                <w:bCs/>
                <w:lang w:val="el-GR"/>
              </w:rPr>
            </w:pPr>
            <w:r w:rsidRPr="008B0D01">
              <w:rPr>
                <w:b/>
                <w:bCs/>
                <w:lang w:val="en-GB"/>
              </w:rPr>
              <w:t>Distance  between</w:t>
            </w:r>
          </w:p>
        </w:tc>
      </w:tr>
      <w:tr w:rsidR="00FF7B7E" w:rsidRPr="008B0D01" w:rsidTr="002D2E50">
        <w:trPr>
          <w:trHeight w:val="615"/>
        </w:trPr>
        <w:tc>
          <w:tcPr>
            <w:tcW w:w="1480" w:type="dxa"/>
            <w:tcBorders>
              <w:top w:val="nil"/>
              <w:left w:val="nil"/>
              <w:bottom w:val="single" w:sz="8" w:space="0" w:color="auto"/>
              <w:right w:val="nil"/>
            </w:tcBorders>
            <w:shd w:val="clear" w:color="auto" w:fill="auto"/>
            <w:noWrap/>
            <w:vAlign w:val="center"/>
            <w:hideMark/>
          </w:tcPr>
          <w:p w:rsidR="00FF7B7E" w:rsidRPr="008B0D01" w:rsidRDefault="00FF7B7E" w:rsidP="00FF7B7E">
            <w:pPr>
              <w:keepNext/>
              <w:keepLines/>
              <w:spacing w:line="240" w:lineRule="auto"/>
              <w:rPr>
                <w:b/>
                <w:bCs/>
                <w:i/>
                <w:iCs/>
                <w:lang w:val="el-GR"/>
              </w:rPr>
            </w:pPr>
            <w:r w:rsidRPr="008B0D01">
              <w:rPr>
                <w:b/>
                <w:bCs/>
                <w:i/>
                <w:iCs/>
                <w:lang w:val="el-GR"/>
              </w:rPr>
              <w:t>Cluster Pair</w:t>
            </w:r>
          </w:p>
        </w:tc>
        <w:tc>
          <w:tcPr>
            <w:tcW w:w="1651" w:type="dxa"/>
            <w:tcBorders>
              <w:top w:val="nil"/>
              <w:left w:val="nil"/>
              <w:bottom w:val="single" w:sz="8" w:space="0" w:color="auto"/>
              <w:right w:val="nil"/>
            </w:tcBorders>
            <w:shd w:val="clear" w:color="auto" w:fill="auto"/>
            <w:noWrap/>
            <w:vAlign w:val="center"/>
            <w:hideMark/>
          </w:tcPr>
          <w:p w:rsidR="00FF7B7E" w:rsidRPr="008B0D01" w:rsidRDefault="00FF7B7E" w:rsidP="00FF7B7E">
            <w:pPr>
              <w:keepNext/>
              <w:keepLines/>
              <w:spacing w:line="240" w:lineRule="auto"/>
              <w:rPr>
                <w:b/>
                <w:bCs/>
                <w:i/>
                <w:iCs/>
                <w:lang w:val="el-GR"/>
              </w:rPr>
            </w:pPr>
            <w:r w:rsidRPr="008B0D01">
              <w:rPr>
                <w:b/>
                <w:bCs/>
                <w:i/>
                <w:iCs/>
                <w:lang w:val="el-GR"/>
              </w:rPr>
              <w:t>Medoids</w:t>
            </w:r>
          </w:p>
        </w:tc>
        <w:tc>
          <w:tcPr>
            <w:tcW w:w="987" w:type="dxa"/>
            <w:tcBorders>
              <w:top w:val="nil"/>
              <w:left w:val="nil"/>
              <w:bottom w:val="single" w:sz="8" w:space="0" w:color="auto"/>
              <w:right w:val="nil"/>
            </w:tcBorders>
            <w:shd w:val="clear" w:color="auto" w:fill="auto"/>
            <w:noWrap/>
            <w:vAlign w:val="center"/>
            <w:hideMark/>
          </w:tcPr>
          <w:p w:rsidR="00FF7B7E" w:rsidRPr="008B0D01" w:rsidRDefault="00FF7B7E" w:rsidP="00FF7B7E">
            <w:pPr>
              <w:keepNext/>
              <w:keepLines/>
              <w:spacing w:line="240" w:lineRule="auto"/>
              <w:rPr>
                <w:b/>
                <w:bCs/>
                <w:i/>
                <w:iCs/>
                <w:lang w:val="el-GR"/>
              </w:rPr>
            </w:pPr>
            <w:r w:rsidRPr="008B0D01">
              <w:rPr>
                <w:b/>
                <w:bCs/>
                <w:i/>
                <w:iCs/>
                <w:lang w:val="el-GR"/>
              </w:rPr>
              <w:t>Medians</w:t>
            </w:r>
          </w:p>
        </w:tc>
        <w:tc>
          <w:tcPr>
            <w:tcW w:w="782" w:type="dxa"/>
            <w:tcBorders>
              <w:top w:val="nil"/>
              <w:left w:val="nil"/>
              <w:bottom w:val="single" w:sz="8" w:space="0" w:color="auto"/>
              <w:right w:val="nil"/>
            </w:tcBorders>
            <w:shd w:val="clear" w:color="auto" w:fill="auto"/>
            <w:noWrap/>
            <w:vAlign w:val="center"/>
            <w:hideMark/>
          </w:tcPr>
          <w:p w:rsidR="00FF7B7E" w:rsidRPr="008B0D01" w:rsidRDefault="00FF7B7E" w:rsidP="00FF7B7E">
            <w:pPr>
              <w:keepNext/>
              <w:keepLines/>
              <w:spacing w:line="240" w:lineRule="auto"/>
              <w:rPr>
                <w:b/>
                <w:bCs/>
                <w:i/>
                <w:iCs/>
                <w:lang w:val="el-GR"/>
              </w:rPr>
            </w:pPr>
            <w:r w:rsidRPr="008B0D01">
              <w:rPr>
                <w:b/>
                <w:bCs/>
                <w:i/>
                <w:iCs/>
                <w:lang w:val="en-GB"/>
              </w:rPr>
              <w:t>Means</w:t>
            </w:r>
          </w:p>
        </w:tc>
      </w:tr>
      <w:tr w:rsidR="00FF7B7E" w:rsidRPr="008B0D01" w:rsidTr="002D2E50">
        <w:trPr>
          <w:trHeight w:val="300"/>
        </w:trPr>
        <w:tc>
          <w:tcPr>
            <w:tcW w:w="1480" w:type="dxa"/>
            <w:tcBorders>
              <w:top w:val="nil"/>
              <w:left w:val="nil"/>
              <w:bottom w:val="nil"/>
              <w:right w:val="nil"/>
            </w:tcBorders>
            <w:shd w:val="clear" w:color="auto" w:fill="auto"/>
            <w:noWrap/>
            <w:vAlign w:val="center"/>
            <w:hideMark/>
          </w:tcPr>
          <w:p w:rsidR="00FF7B7E" w:rsidRPr="008B0D01" w:rsidRDefault="00FF7B7E" w:rsidP="00FF7B7E">
            <w:pPr>
              <w:keepNext/>
              <w:keepLines/>
              <w:spacing w:line="240" w:lineRule="auto"/>
              <w:rPr>
                <w:i/>
                <w:iCs/>
                <w:lang w:val="el-GR"/>
              </w:rPr>
            </w:pPr>
            <w:r w:rsidRPr="008B0D01">
              <w:rPr>
                <w:i/>
                <w:iCs/>
                <w:lang w:val="en-US"/>
              </w:rPr>
              <w:t>Cons. vs SD</w:t>
            </w:r>
          </w:p>
        </w:tc>
        <w:tc>
          <w:tcPr>
            <w:tcW w:w="1651" w:type="dxa"/>
            <w:tcBorders>
              <w:top w:val="nil"/>
              <w:left w:val="nil"/>
              <w:bottom w:val="nil"/>
              <w:right w:val="nil"/>
            </w:tcBorders>
            <w:shd w:val="clear" w:color="auto" w:fill="auto"/>
            <w:noWrap/>
            <w:vAlign w:val="center"/>
            <w:hideMark/>
          </w:tcPr>
          <w:p w:rsidR="00FF7B7E" w:rsidRPr="008B0D01" w:rsidRDefault="00FF7B7E" w:rsidP="00FF7B7E">
            <w:pPr>
              <w:keepNext/>
              <w:keepLines/>
              <w:spacing w:line="240" w:lineRule="auto"/>
              <w:rPr>
                <w:lang w:val="el-GR"/>
              </w:rPr>
            </w:pPr>
            <w:r w:rsidRPr="008B0D01">
              <w:rPr>
                <w:lang w:val="el-GR"/>
              </w:rPr>
              <w:t>2.887 (BE – SE)</w:t>
            </w:r>
          </w:p>
        </w:tc>
        <w:tc>
          <w:tcPr>
            <w:tcW w:w="987" w:type="dxa"/>
            <w:tcBorders>
              <w:top w:val="nil"/>
              <w:left w:val="nil"/>
              <w:bottom w:val="nil"/>
              <w:right w:val="nil"/>
            </w:tcBorders>
            <w:shd w:val="clear" w:color="auto" w:fill="auto"/>
            <w:noWrap/>
            <w:vAlign w:val="bottom"/>
            <w:hideMark/>
          </w:tcPr>
          <w:p w:rsidR="00FF7B7E" w:rsidRPr="008B0D01" w:rsidRDefault="00FF7B7E" w:rsidP="00FF7B7E">
            <w:pPr>
              <w:keepNext/>
              <w:keepLines/>
              <w:spacing w:line="240" w:lineRule="auto"/>
              <w:rPr>
                <w:lang w:val="el-GR"/>
              </w:rPr>
            </w:pPr>
            <w:r w:rsidRPr="008B0D01">
              <w:rPr>
                <w:lang w:val="el-GR"/>
              </w:rPr>
              <w:t>2.469</w:t>
            </w:r>
          </w:p>
        </w:tc>
        <w:tc>
          <w:tcPr>
            <w:tcW w:w="782" w:type="dxa"/>
            <w:tcBorders>
              <w:top w:val="nil"/>
              <w:left w:val="nil"/>
              <w:bottom w:val="nil"/>
              <w:right w:val="nil"/>
            </w:tcBorders>
            <w:shd w:val="clear" w:color="auto" w:fill="auto"/>
            <w:noWrap/>
            <w:vAlign w:val="bottom"/>
            <w:hideMark/>
          </w:tcPr>
          <w:p w:rsidR="00FF7B7E" w:rsidRPr="008B0D01" w:rsidRDefault="00FF7B7E" w:rsidP="00FF7B7E">
            <w:pPr>
              <w:keepNext/>
              <w:keepLines/>
              <w:spacing w:line="240" w:lineRule="auto"/>
              <w:rPr>
                <w:lang w:val="el-GR"/>
              </w:rPr>
            </w:pPr>
            <w:r w:rsidRPr="008B0D01">
              <w:rPr>
                <w:lang w:val="el-GR"/>
              </w:rPr>
              <w:t>2.780</w:t>
            </w:r>
          </w:p>
        </w:tc>
      </w:tr>
      <w:tr w:rsidR="00FF7B7E" w:rsidRPr="008B0D01" w:rsidTr="002D2E50">
        <w:trPr>
          <w:trHeight w:val="300"/>
        </w:trPr>
        <w:tc>
          <w:tcPr>
            <w:tcW w:w="1480" w:type="dxa"/>
            <w:tcBorders>
              <w:top w:val="nil"/>
              <w:left w:val="nil"/>
              <w:bottom w:val="nil"/>
              <w:right w:val="nil"/>
            </w:tcBorders>
            <w:shd w:val="clear" w:color="auto" w:fill="auto"/>
            <w:noWrap/>
            <w:vAlign w:val="center"/>
            <w:hideMark/>
          </w:tcPr>
          <w:p w:rsidR="00FF7B7E" w:rsidRPr="008B0D01" w:rsidRDefault="00FF7B7E" w:rsidP="00FF7B7E">
            <w:pPr>
              <w:keepNext/>
              <w:keepLines/>
              <w:spacing w:line="240" w:lineRule="auto"/>
              <w:rPr>
                <w:i/>
                <w:iCs/>
                <w:lang w:val="el-GR"/>
              </w:rPr>
            </w:pPr>
            <w:r w:rsidRPr="008B0D01">
              <w:rPr>
                <w:i/>
                <w:iCs/>
                <w:lang w:val="en-GB"/>
              </w:rPr>
              <w:t>Cons. vs SE/M</w:t>
            </w:r>
          </w:p>
        </w:tc>
        <w:tc>
          <w:tcPr>
            <w:tcW w:w="1651" w:type="dxa"/>
            <w:tcBorders>
              <w:top w:val="nil"/>
              <w:left w:val="nil"/>
              <w:bottom w:val="nil"/>
              <w:right w:val="nil"/>
            </w:tcBorders>
            <w:shd w:val="clear" w:color="auto" w:fill="auto"/>
            <w:noWrap/>
            <w:vAlign w:val="center"/>
            <w:hideMark/>
          </w:tcPr>
          <w:p w:rsidR="00FF7B7E" w:rsidRPr="008B0D01" w:rsidRDefault="00FF7B7E" w:rsidP="00FF7B7E">
            <w:pPr>
              <w:keepNext/>
              <w:keepLines/>
              <w:spacing w:line="240" w:lineRule="auto"/>
              <w:rPr>
                <w:lang w:val="el-GR"/>
              </w:rPr>
            </w:pPr>
            <w:r w:rsidRPr="008B0D01">
              <w:rPr>
                <w:lang w:val="el-GR"/>
              </w:rPr>
              <w:t>2.873 (BE – PT)</w:t>
            </w:r>
          </w:p>
        </w:tc>
        <w:tc>
          <w:tcPr>
            <w:tcW w:w="987" w:type="dxa"/>
            <w:tcBorders>
              <w:top w:val="nil"/>
              <w:left w:val="nil"/>
              <w:bottom w:val="nil"/>
              <w:right w:val="nil"/>
            </w:tcBorders>
            <w:shd w:val="clear" w:color="auto" w:fill="auto"/>
            <w:noWrap/>
            <w:vAlign w:val="bottom"/>
            <w:hideMark/>
          </w:tcPr>
          <w:p w:rsidR="00FF7B7E" w:rsidRPr="008B0D01" w:rsidRDefault="00FF7B7E" w:rsidP="00FF7B7E">
            <w:pPr>
              <w:keepNext/>
              <w:keepLines/>
              <w:spacing w:line="240" w:lineRule="auto"/>
              <w:rPr>
                <w:lang w:val="el-GR"/>
              </w:rPr>
            </w:pPr>
            <w:r w:rsidRPr="008B0D01">
              <w:rPr>
                <w:lang w:val="el-GR"/>
              </w:rPr>
              <w:t>2.767</w:t>
            </w:r>
          </w:p>
        </w:tc>
        <w:tc>
          <w:tcPr>
            <w:tcW w:w="782" w:type="dxa"/>
            <w:tcBorders>
              <w:top w:val="nil"/>
              <w:left w:val="nil"/>
              <w:bottom w:val="nil"/>
              <w:right w:val="nil"/>
            </w:tcBorders>
            <w:shd w:val="clear" w:color="auto" w:fill="auto"/>
            <w:noWrap/>
            <w:vAlign w:val="bottom"/>
            <w:hideMark/>
          </w:tcPr>
          <w:p w:rsidR="00FF7B7E" w:rsidRPr="008B0D01" w:rsidRDefault="00FF7B7E" w:rsidP="00FF7B7E">
            <w:pPr>
              <w:keepNext/>
              <w:keepLines/>
              <w:spacing w:line="240" w:lineRule="auto"/>
              <w:rPr>
                <w:lang w:val="el-GR"/>
              </w:rPr>
            </w:pPr>
            <w:r w:rsidRPr="008B0D01">
              <w:rPr>
                <w:lang w:val="el-GR"/>
              </w:rPr>
              <w:t>2.872</w:t>
            </w:r>
          </w:p>
        </w:tc>
      </w:tr>
      <w:tr w:rsidR="00FF7B7E" w:rsidRPr="008B0D01" w:rsidTr="002D2E50">
        <w:trPr>
          <w:trHeight w:val="315"/>
        </w:trPr>
        <w:tc>
          <w:tcPr>
            <w:tcW w:w="1480" w:type="dxa"/>
            <w:tcBorders>
              <w:top w:val="nil"/>
              <w:left w:val="nil"/>
              <w:bottom w:val="single" w:sz="8" w:space="0" w:color="auto"/>
              <w:right w:val="nil"/>
            </w:tcBorders>
            <w:shd w:val="clear" w:color="auto" w:fill="auto"/>
            <w:noWrap/>
            <w:vAlign w:val="center"/>
            <w:hideMark/>
          </w:tcPr>
          <w:p w:rsidR="00FF7B7E" w:rsidRPr="008B0D01" w:rsidRDefault="00FF7B7E" w:rsidP="00FF7B7E">
            <w:pPr>
              <w:keepNext/>
              <w:keepLines/>
              <w:spacing w:line="240" w:lineRule="auto"/>
              <w:rPr>
                <w:i/>
                <w:iCs/>
                <w:lang w:val="el-GR"/>
              </w:rPr>
            </w:pPr>
            <w:r w:rsidRPr="008B0D01">
              <w:rPr>
                <w:i/>
                <w:iCs/>
                <w:lang w:val="en-US"/>
              </w:rPr>
              <w:t>SE/M vs SD</w:t>
            </w:r>
          </w:p>
        </w:tc>
        <w:tc>
          <w:tcPr>
            <w:tcW w:w="1651" w:type="dxa"/>
            <w:tcBorders>
              <w:top w:val="nil"/>
              <w:left w:val="nil"/>
              <w:bottom w:val="single" w:sz="8" w:space="0" w:color="auto"/>
              <w:right w:val="nil"/>
            </w:tcBorders>
            <w:shd w:val="clear" w:color="auto" w:fill="auto"/>
            <w:noWrap/>
            <w:vAlign w:val="center"/>
            <w:hideMark/>
          </w:tcPr>
          <w:p w:rsidR="00FF7B7E" w:rsidRPr="008B0D01" w:rsidRDefault="00FF7B7E" w:rsidP="00FF7B7E">
            <w:pPr>
              <w:keepNext/>
              <w:keepLines/>
              <w:spacing w:line="240" w:lineRule="auto"/>
              <w:rPr>
                <w:lang w:val="el-GR"/>
              </w:rPr>
            </w:pPr>
            <w:r w:rsidRPr="008B0D01">
              <w:rPr>
                <w:lang w:val="el-GR"/>
              </w:rPr>
              <w:t>5.043 (PT – SE)</w:t>
            </w:r>
          </w:p>
        </w:tc>
        <w:tc>
          <w:tcPr>
            <w:tcW w:w="987" w:type="dxa"/>
            <w:tcBorders>
              <w:top w:val="nil"/>
              <w:left w:val="nil"/>
              <w:bottom w:val="single" w:sz="8" w:space="0" w:color="auto"/>
              <w:right w:val="nil"/>
            </w:tcBorders>
            <w:shd w:val="clear" w:color="auto" w:fill="auto"/>
            <w:noWrap/>
            <w:vAlign w:val="bottom"/>
            <w:hideMark/>
          </w:tcPr>
          <w:p w:rsidR="00FF7B7E" w:rsidRPr="008B0D01" w:rsidRDefault="00FF7B7E" w:rsidP="00FF7B7E">
            <w:pPr>
              <w:keepNext/>
              <w:keepLines/>
              <w:spacing w:line="240" w:lineRule="auto"/>
              <w:rPr>
                <w:lang w:val="el-GR"/>
              </w:rPr>
            </w:pPr>
            <w:r w:rsidRPr="008B0D01">
              <w:rPr>
                <w:lang w:val="el-GR"/>
              </w:rPr>
              <w:t>4.607</w:t>
            </w:r>
          </w:p>
        </w:tc>
        <w:tc>
          <w:tcPr>
            <w:tcW w:w="782" w:type="dxa"/>
            <w:tcBorders>
              <w:top w:val="nil"/>
              <w:left w:val="nil"/>
              <w:bottom w:val="single" w:sz="8" w:space="0" w:color="auto"/>
              <w:right w:val="nil"/>
            </w:tcBorders>
            <w:shd w:val="clear" w:color="auto" w:fill="auto"/>
            <w:noWrap/>
            <w:vAlign w:val="bottom"/>
            <w:hideMark/>
          </w:tcPr>
          <w:p w:rsidR="00FF7B7E" w:rsidRPr="008B0D01" w:rsidRDefault="00FF7B7E" w:rsidP="00FF7B7E">
            <w:pPr>
              <w:keepNext/>
              <w:keepLines/>
              <w:spacing w:line="240" w:lineRule="auto"/>
              <w:rPr>
                <w:lang w:val="el-GR"/>
              </w:rPr>
            </w:pPr>
            <w:r w:rsidRPr="008B0D01">
              <w:rPr>
                <w:lang w:val="el-GR"/>
              </w:rPr>
              <w:t>4.949</w:t>
            </w:r>
          </w:p>
        </w:tc>
      </w:tr>
    </w:tbl>
    <w:p w:rsidR="00FF7B7E" w:rsidRDefault="00FF7B7E" w:rsidP="004D1C63">
      <w:pPr>
        <w:spacing w:line="360" w:lineRule="auto"/>
        <w:jc w:val="both"/>
        <w:rPr>
          <w:rFonts w:ascii="Calibri" w:eastAsia="Calibri" w:hAnsi="Calibri" w:cs="Arial"/>
          <w:lang w:val="en-US"/>
        </w:rPr>
      </w:pPr>
    </w:p>
    <w:p w:rsidR="008E7D6A" w:rsidRPr="008E7D6A" w:rsidRDefault="008E7D6A" w:rsidP="004D1C63">
      <w:pPr>
        <w:spacing w:line="360" w:lineRule="auto"/>
        <w:jc w:val="both"/>
        <w:rPr>
          <w:rFonts w:ascii="Calibri" w:eastAsia="Calibri" w:hAnsi="Calibri" w:cs="Arial"/>
          <w:lang w:val="en-US"/>
        </w:rPr>
      </w:pPr>
      <w:r w:rsidRPr="008E7D6A">
        <w:rPr>
          <w:rFonts w:ascii="Calibri" w:eastAsia="Calibri" w:hAnsi="Calibri" w:cs="Arial"/>
          <w:lang w:val="en-US"/>
        </w:rPr>
        <w:t xml:space="preserve">To further investigate the distances between the three clusters, all the country distances were calculated for each pair of clusters, resulting in 49 distances between the seven </w:t>
      </w:r>
      <w:r w:rsidR="00DE0086">
        <w:rPr>
          <w:rFonts w:ascii="Calibri" w:eastAsia="Calibri" w:hAnsi="Calibri" w:cs="Arial"/>
          <w:lang w:val="en-US"/>
        </w:rPr>
        <w:t>c</w:t>
      </w:r>
      <w:r w:rsidRPr="008E7D6A">
        <w:rPr>
          <w:rFonts w:ascii="Calibri" w:eastAsia="Calibri" w:hAnsi="Calibri" w:cs="Arial"/>
          <w:lang w:val="en-US"/>
        </w:rPr>
        <w:t xml:space="preserve">onservative and the </w:t>
      </w:r>
      <w:r w:rsidRPr="008E7D6A">
        <w:rPr>
          <w:rFonts w:ascii="Calibri" w:eastAsia="Calibri" w:hAnsi="Calibri" w:cs="Arial"/>
          <w:lang w:val="en-US"/>
        </w:rPr>
        <w:lastRenderedPageBreak/>
        <w:t xml:space="preserve">seven SE/M countries, 21 between the seven </w:t>
      </w:r>
      <w:r w:rsidR="00DE0086">
        <w:rPr>
          <w:rFonts w:ascii="Calibri" w:eastAsia="Calibri" w:hAnsi="Calibri" w:cs="Arial"/>
          <w:lang w:val="en-US"/>
        </w:rPr>
        <w:t>c</w:t>
      </w:r>
      <w:r w:rsidRPr="008E7D6A">
        <w:rPr>
          <w:rFonts w:ascii="Calibri" w:eastAsia="Calibri" w:hAnsi="Calibri" w:cs="Arial"/>
          <w:lang w:val="en-US"/>
        </w:rPr>
        <w:t xml:space="preserve">onservative and the </w:t>
      </w:r>
      <w:r w:rsidR="00A015AB">
        <w:rPr>
          <w:rFonts w:ascii="Calibri" w:eastAsia="Calibri" w:hAnsi="Calibri" w:cs="Arial"/>
          <w:lang w:val="en-US"/>
        </w:rPr>
        <w:t>three</w:t>
      </w:r>
      <w:r w:rsidRPr="008E7D6A">
        <w:rPr>
          <w:rFonts w:ascii="Calibri" w:eastAsia="Calibri" w:hAnsi="Calibri" w:cs="Arial"/>
          <w:lang w:val="en-US"/>
        </w:rPr>
        <w:t xml:space="preserve"> </w:t>
      </w:r>
      <w:r w:rsidR="00B91DDB">
        <w:rPr>
          <w:rFonts w:ascii="Calibri" w:eastAsia="Calibri" w:hAnsi="Calibri" w:cs="Arial"/>
          <w:lang w:val="en-US"/>
        </w:rPr>
        <w:t>social democratic</w:t>
      </w:r>
      <w:r w:rsidRPr="008E7D6A">
        <w:rPr>
          <w:rFonts w:ascii="Calibri" w:eastAsia="Calibri" w:hAnsi="Calibri" w:cs="Arial"/>
          <w:lang w:val="en-US"/>
        </w:rPr>
        <w:t xml:space="preserve"> countries, and 21 between the seven SE/M and the </w:t>
      </w:r>
      <w:r w:rsidR="00A015AB">
        <w:rPr>
          <w:rFonts w:ascii="Calibri" w:eastAsia="Calibri" w:hAnsi="Calibri" w:cs="Arial"/>
          <w:lang w:val="en-US"/>
        </w:rPr>
        <w:t>three</w:t>
      </w:r>
      <w:r w:rsidRPr="008E7D6A">
        <w:rPr>
          <w:rFonts w:ascii="Calibri" w:eastAsia="Calibri" w:hAnsi="Calibri" w:cs="Arial"/>
          <w:lang w:val="en-US"/>
        </w:rPr>
        <w:t xml:space="preserve"> </w:t>
      </w:r>
      <w:r w:rsidR="00DE0086">
        <w:rPr>
          <w:rFonts w:ascii="Calibri" w:eastAsia="Calibri" w:hAnsi="Calibri" w:cs="Arial"/>
          <w:lang w:val="en-US"/>
        </w:rPr>
        <w:t>social democratic</w:t>
      </w:r>
      <w:r w:rsidRPr="008E7D6A">
        <w:rPr>
          <w:rFonts w:ascii="Calibri" w:eastAsia="Calibri" w:hAnsi="Calibri" w:cs="Arial"/>
          <w:lang w:val="en-US"/>
        </w:rPr>
        <w:t xml:space="preserve"> countries.  </w:t>
      </w:r>
    </w:p>
    <w:p w:rsidR="009D6C3F" w:rsidRPr="00E13DA8" w:rsidRDefault="009D6C3F" w:rsidP="009A0D8A">
      <w:pPr>
        <w:keepNext/>
        <w:keepLines/>
        <w:spacing w:line="360" w:lineRule="auto"/>
        <w:jc w:val="both"/>
        <w:rPr>
          <w:rFonts w:ascii="Calibri" w:eastAsia="Calibri" w:hAnsi="Calibri" w:cs="Arial"/>
          <w:bCs/>
        </w:rPr>
      </w:pPr>
      <w:r w:rsidRPr="00E13DA8">
        <w:rPr>
          <w:rFonts w:ascii="Calibri" w:eastAsia="Calibri" w:hAnsi="Calibri" w:cs="Arial"/>
          <w:bCs/>
          <w:lang w:val="en-US"/>
        </w:rPr>
        <w:t xml:space="preserve">The result of the application of the WMW rank sum test to the </w:t>
      </w:r>
      <w:r w:rsidR="009C6837">
        <w:rPr>
          <w:rFonts w:ascii="Calibri" w:eastAsia="Calibri" w:hAnsi="Calibri" w:cs="Arial"/>
          <w:bCs/>
          <w:lang w:val="en-US"/>
        </w:rPr>
        <w:t xml:space="preserve">three </w:t>
      </w:r>
      <w:r w:rsidRPr="00E13DA8">
        <w:rPr>
          <w:rFonts w:ascii="Calibri" w:eastAsia="Calibri" w:hAnsi="Calibri" w:cs="Arial"/>
          <w:bCs/>
          <w:lang w:val="en-US"/>
        </w:rPr>
        <w:t>samples of distances is that the</w:t>
      </w:r>
      <w:r w:rsidR="009C6837">
        <w:rPr>
          <w:rFonts w:ascii="Calibri" w:eastAsia="Calibri" w:hAnsi="Calibri" w:cs="Arial"/>
          <w:bCs/>
          <w:lang w:val="en-US"/>
        </w:rPr>
        <w:t xml:space="preserve"> SE/M to the social democratic distance is significantly different </w:t>
      </w:r>
      <w:r w:rsidR="009A0D8A">
        <w:rPr>
          <w:rFonts w:ascii="Calibri" w:eastAsia="Calibri" w:hAnsi="Calibri" w:cs="Arial"/>
          <w:bCs/>
          <w:lang w:val="en-US"/>
        </w:rPr>
        <w:t xml:space="preserve">from </w:t>
      </w:r>
      <w:r w:rsidR="009C6837">
        <w:rPr>
          <w:rFonts w:ascii="Calibri" w:eastAsia="Calibri" w:hAnsi="Calibri" w:cs="Arial"/>
          <w:bCs/>
          <w:lang w:val="en-US"/>
        </w:rPr>
        <w:t xml:space="preserve">the distance of the SE/M to </w:t>
      </w:r>
      <w:r w:rsidR="00FB61F4">
        <w:rPr>
          <w:rFonts w:ascii="Calibri" w:eastAsia="Calibri" w:hAnsi="Calibri" w:cs="Arial"/>
          <w:bCs/>
          <w:lang w:val="en-US"/>
        </w:rPr>
        <w:t>c</w:t>
      </w:r>
      <w:r w:rsidR="009C6837">
        <w:rPr>
          <w:rFonts w:ascii="Calibri" w:eastAsia="Calibri" w:hAnsi="Calibri" w:cs="Arial"/>
          <w:bCs/>
          <w:lang w:val="en-US"/>
        </w:rPr>
        <w:t xml:space="preserve">onservative, and the distance of the </w:t>
      </w:r>
      <w:r w:rsidR="00FB61F4">
        <w:rPr>
          <w:rFonts w:ascii="Calibri" w:eastAsia="Calibri" w:hAnsi="Calibri" w:cs="Arial"/>
          <w:bCs/>
          <w:lang w:val="en-US"/>
        </w:rPr>
        <w:t>c</w:t>
      </w:r>
      <w:r w:rsidR="009C6837">
        <w:rPr>
          <w:rFonts w:ascii="Calibri" w:eastAsia="Calibri" w:hAnsi="Calibri" w:cs="Arial"/>
          <w:bCs/>
          <w:lang w:val="en-US"/>
        </w:rPr>
        <w:t xml:space="preserve">onservative from each of the other two clusters is not significantly different. </w:t>
      </w:r>
      <w:r w:rsidR="001B55F4">
        <w:rPr>
          <w:rFonts w:ascii="Calibri" w:eastAsia="Calibri" w:hAnsi="Calibri" w:cs="Arial"/>
          <w:bCs/>
          <w:lang w:val="en-US"/>
        </w:rPr>
        <w:t>However, t</w:t>
      </w:r>
      <w:r w:rsidR="009C6837">
        <w:rPr>
          <w:rFonts w:ascii="Calibri" w:eastAsia="Calibri" w:hAnsi="Calibri" w:cs="Arial"/>
          <w:bCs/>
          <w:lang w:val="en-US"/>
        </w:rPr>
        <w:t xml:space="preserve">he observed trend indicates that the distance </w:t>
      </w:r>
      <w:r w:rsidR="001B55F4">
        <w:rPr>
          <w:rFonts w:ascii="Calibri" w:eastAsia="Calibri" w:hAnsi="Calibri" w:cs="Arial"/>
          <w:bCs/>
          <w:lang w:val="en-US"/>
        </w:rPr>
        <w:t xml:space="preserve">between the </w:t>
      </w:r>
      <w:r w:rsidR="00FB61F4">
        <w:rPr>
          <w:rFonts w:ascii="Calibri" w:eastAsia="Calibri" w:hAnsi="Calibri" w:cs="Arial"/>
          <w:bCs/>
          <w:lang w:val="en-US"/>
        </w:rPr>
        <w:t>c</w:t>
      </w:r>
      <w:r w:rsidR="001B55F4">
        <w:rPr>
          <w:rFonts w:ascii="Calibri" w:eastAsia="Calibri" w:hAnsi="Calibri" w:cs="Arial"/>
          <w:bCs/>
          <w:lang w:val="en-US"/>
        </w:rPr>
        <w:t>onservative and</w:t>
      </w:r>
      <w:r w:rsidR="009C6837">
        <w:rPr>
          <w:rFonts w:ascii="Calibri" w:eastAsia="Calibri" w:hAnsi="Calibri" w:cs="Arial"/>
          <w:bCs/>
          <w:lang w:val="en-US"/>
        </w:rPr>
        <w:t xml:space="preserve"> the SE/M </w:t>
      </w:r>
      <w:r w:rsidR="009A0D8A">
        <w:rPr>
          <w:rFonts w:ascii="Calibri" w:eastAsia="Calibri" w:hAnsi="Calibri" w:cs="Arial"/>
          <w:bCs/>
          <w:lang w:val="en-US"/>
        </w:rPr>
        <w:t xml:space="preserve">is </w:t>
      </w:r>
      <w:r w:rsidR="009C6837">
        <w:rPr>
          <w:rFonts w:ascii="Calibri" w:eastAsia="Calibri" w:hAnsi="Calibri" w:cs="Arial"/>
          <w:bCs/>
          <w:lang w:val="en-US"/>
        </w:rPr>
        <w:t>larger than the distance</w:t>
      </w:r>
      <w:r w:rsidR="001B55F4">
        <w:rPr>
          <w:rFonts w:ascii="Calibri" w:eastAsia="Calibri" w:hAnsi="Calibri" w:cs="Arial"/>
          <w:bCs/>
          <w:lang w:val="en-US"/>
        </w:rPr>
        <w:t xml:space="preserve"> between the </w:t>
      </w:r>
      <w:r w:rsidR="00FB61F4">
        <w:rPr>
          <w:rFonts w:ascii="Calibri" w:eastAsia="Calibri" w:hAnsi="Calibri" w:cs="Arial"/>
          <w:bCs/>
          <w:lang w:val="en-US"/>
        </w:rPr>
        <w:t>c</w:t>
      </w:r>
      <w:r w:rsidR="001B55F4">
        <w:rPr>
          <w:rFonts w:ascii="Calibri" w:eastAsia="Calibri" w:hAnsi="Calibri" w:cs="Arial"/>
          <w:bCs/>
          <w:lang w:val="en-US"/>
        </w:rPr>
        <w:t xml:space="preserve">onservative and </w:t>
      </w:r>
      <w:r w:rsidR="009C6837">
        <w:rPr>
          <w:rFonts w:ascii="Calibri" w:eastAsia="Calibri" w:hAnsi="Calibri" w:cs="Arial"/>
          <w:bCs/>
          <w:lang w:val="en-US"/>
        </w:rPr>
        <w:t xml:space="preserve">the </w:t>
      </w:r>
      <w:r w:rsidR="00FB61F4">
        <w:rPr>
          <w:rFonts w:ascii="Calibri" w:eastAsia="Calibri" w:hAnsi="Calibri" w:cs="Arial"/>
          <w:bCs/>
          <w:lang w:val="en-US"/>
        </w:rPr>
        <w:t>s</w:t>
      </w:r>
      <w:r w:rsidR="009C6837">
        <w:rPr>
          <w:rFonts w:ascii="Calibri" w:eastAsia="Calibri" w:hAnsi="Calibri" w:cs="Arial"/>
          <w:bCs/>
          <w:lang w:val="en-US"/>
        </w:rPr>
        <w:t xml:space="preserve">ocial </w:t>
      </w:r>
      <w:r w:rsidR="00FB61F4">
        <w:rPr>
          <w:rFonts w:ascii="Calibri" w:eastAsia="Calibri" w:hAnsi="Calibri" w:cs="Arial"/>
          <w:bCs/>
          <w:lang w:val="en-US"/>
        </w:rPr>
        <w:t>d</w:t>
      </w:r>
      <w:r w:rsidR="009C6837">
        <w:rPr>
          <w:rFonts w:ascii="Calibri" w:eastAsia="Calibri" w:hAnsi="Calibri" w:cs="Arial"/>
          <w:bCs/>
          <w:lang w:val="en-US"/>
        </w:rPr>
        <w:t xml:space="preserve">emocratic. </w:t>
      </w:r>
      <w:r w:rsidRPr="00E13DA8">
        <w:rPr>
          <w:rFonts w:ascii="Calibri" w:eastAsia="Calibri" w:hAnsi="Calibri" w:cs="Arial"/>
          <w:bCs/>
          <w:lang w:val="en-US"/>
        </w:rPr>
        <w:t xml:space="preserve"> </w:t>
      </w:r>
    </w:p>
    <w:p w:rsidR="008E7D6A" w:rsidRPr="008E7D6A" w:rsidRDefault="001B55F4" w:rsidP="002B3961">
      <w:pPr>
        <w:spacing w:line="360" w:lineRule="auto"/>
        <w:jc w:val="both"/>
        <w:rPr>
          <w:rFonts w:ascii="Calibri" w:eastAsia="Calibri" w:hAnsi="Calibri" w:cs="Arial"/>
        </w:rPr>
      </w:pPr>
      <w:r w:rsidRPr="00145867">
        <w:rPr>
          <w:rFonts w:ascii="Calibri" w:eastAsia="Calibri" w:hAnsi="Calibri" w:cs="Arial"/>
        </w:rPr>
        <w:t xml:space="preserve">This observed trend  </w:t>
      </w:r>
      <w:r w:rsidR="005716D2" w:rsidRPr="00005921">
        <w:rPr>
          <w:rFonts w:ascii="Calibri" w:eastAsia="Calibri" w:hAnsi="Calibri" w:cs="Arial"/>
        </w:rPr>
        <w:t xml:space="preserve"> is </w:t>
      </w:r>
      <w:r w:rsidR="008E7D6A" w:rsidRPr="00005921">
        <w:rPr>
          <w:rFonts w:ascii="Calibri" w:eastAsia="Calibri" w:hAnsi="Calibri" w:cs="Arial"/>
        </w:rPr>
        <w:t>further supported when the countries are separated in</w:t>
      </w:r>
      <w:r w:rsidR="005716D2" w:rsidRPr="00005921">
        <w:rPr>
          <w:rFonts w:ascii="Calibri" w:eastAsia="Calibri" w:hAnsi="Calibri" w:cs="Arial"/>
        </w:rPr>
        <w:t>to</w:t>
      </w:r>
      <w:r w:rsidR="008E7D6A" w:rsidRPr="00005921">
        <w:rPr>
          <w:rFonts w:ascii="Calibri" w:eastAsia="Calibri" w:hAnsi="Calibri" w:cs="Arial"/>
        </w:rPr>
        <w:t xml:space="preserve"> only two clusters.</w:t>
      </w:r>
      <w:r w:rsidR="008E7D6A" w:rsidRPr="008E7D6A">
        <w:rPr>
          <w:rFonts w:ascii="Calibri" w:eastAsia="Calibri" w:hAnsi="Calibri" w:cs="Arial"/>
        </w:rPr>
        <w:t xml:space="preserve"> All of the clustering methods merge the </w:t>
      </w:r>
      <w:r w:rsidR="005716D2">
        <w:rPr>
          <w:rFonts w:ascii="Calibri" w:eastAsia="Calibri" w:hAnsi="Calibri" w:cs="Arial"/>
        </w:rPr>
        <w:t>c</w:t>
      </w:r>
      <w:r w:rsidR="008E7D6A" w:rsidRPr="008E7D6A">
        <w:rPr>
          <w:rFonts w:ascii="Calibri" w:eastAsia="Calibri" w:hAnsi="Calibri" w:cs="Arial"/>
        </w:rPr>
        <w:t xml:space="preserve">onservative and the </w:t>
      </w:r>
      <w:r w:rsidR="005716D2">
        <w:rPr>
          <w:rFonts w:ascii="Calibri" w:eastAsia="Calibri" w:hAnsi="Calibri" w:cs="Arial"/>
        </w:rPr>
        <w:t xml:space="preserve">social democratic </w:t>
      </w:r>
      <w:r w:rsidR="008E7D6A" w:rsidRPr="008E7D6A">
        <w:rPr>
          <w:rFonts w:ascii="Calibri" w:eastAsia="Calibri" w:hAnsi="Calibri" w:cs="Arial"/>
        </w:rPr>
        <w:t xml:space="preserve">countries into one cluster, </w:t>
      </w:r>
      <w:r w:rsidR="005716D2">
        <w:rPr>
          <w:rFonts w:ascii="Calibri" w:eastAsia="Calibri" w:hAnsi="Calibri" w:cs="Arial"/>
        </w:rPr>
        <w:t>with</w:t>
      </w:r>
      <w:r w:rsidR="008E7D6A" w:rsidRPr="008E7D6A">
        <w:rPr>
          <w:rFonts w:ascii="Calibri" w:eastAsia="Calibri" w:hAnsi="Calibri" w:cs="Arial"/>
        </w:rPr>
        <w:t xml:space="preserve"> the SE/M countries in another cluster as demonstrated in Figure 1. </w:t>
      </w:r>
      <w:r w:rsidR="008E7D6A" w:rsidRPr="00231AB7">
        <w:rPr>
          <w:rFonts w:ascii="Calibri" w:eastAsia="Calibri" w:hAnsi="Calibri" w:cs="Arial"/>
        </w:rPr>
        <w:t>Furthermore, according to the W</w:t>
      </w:r>
      <w:r w:rsidR="005716D2" w:rsidRPr="00231AB7">
        <w:rPr>
          <w:rFonts w:ascii="Calibri" w:eastAsia="Calibri" w:hAnsi="Calibri" w:cs="Arial"/>
        </w:rPr>
        <w:t>M</w:t>
      </w:r>
      <w:r w:rsidR="008E7D6A" w:rsidRPr="000D156E">
        <w:rPr>
          <w:rFonts w:ascii="Calibri" w:eastAsia="Calibri" w:hAnsi="Calibri" w:cs="Arial"/>
        </w:rPr>
        <w:t>W test</w:t>
      </w:r>
      <w:r w:rsidR="005716D2" w:rsidRPr="000D156E">
        <w:rPr>
          <w:rFonts w:ascii="Calibri" w:eastAsia="Calibri" w:hAnsi="Calibri" w:cs="Arial"/>
        </w:rPr>
        <w:t>,</w:t>
      </w:r>
      <w:r w:rsidR="008E7D6A" w:rsidRPr="000D156E">
        <w:rPr>
          <w:rFonts w:ascii="Calibri" w:eastAsia="Calibri" w:hAnsi="Calibri" w:cs="Arial"/>
        </w:rPr>
        <w:t xml:space="preserve"> all the variables except </w:t>
      </w:r>
      <w:r w:rsidR="00231AB7" w:rsidRPr="00231AB7">
        <w:rPr>
          <w:rFonts w:ascii="Calibri" w:eastAsia="Calibri" w:hAnsi="Calibri" w:cs="Arial"/>
        </w:rPr>
        <w:t>GGC</w:t>
      </w:r>
      <w:r w:rsidR="004D1C63">
        <w:rPr>
          <w:rFonts w:ascii="Calibri" w:eastAsia="Calibri" w:hAnsi="Calibri" w:cs="Arial"/>
        </w:rPr>
        <w:t>/GDP</w:t>
      </w:r>
      <w:r w:rsidR="00231AB7" w:rsidRPr="00231AB7">
        <w:rPr>
          <w:rFonts w:ascii="Calibri" w:eastAsia="Calibri" w:hAnsi="Calibri" w:cs="Arial"/>
        </w:rPr>
        <w:t xml:space="preserve"> </w:t>
      </w:r>
      <w:r w:rsidR="008E7D6A" w:rsidRPr="00231AB7">
        <w:rPr>
          <w:rFonts w:ascii="Calibri" w:eastAsia="Calibri" w:hAnsi="Calibri" w:cs="Arial"/>
        </w:rPr>
        <w:t>are distributed differently in each of the two clusters.</w:t>
      </w:r>
      <w:r w:rsidR="008E7D6A" w:rsidRPr="008E7D6A">
        <w:rPr>
          <w:rFonts w:ascii="Calibri" w:eastAsia="Calibri" w:hAnsi="Calibri" w:cs="Arial"/>
        </w:rPr>
        <w:t xml:space="preserve"> </w:t>
      </w:r>
    </w:p>
    <w:p w:rsidR="008E7D6A" w:rsidRPr="008E7D6A" w:rsidRDefault="004C12D9" w:rsidP="00177BEE">
      <w:pPr>
        <w:spacing w:line="360" w:lineRule="auto"/>
        <w:jc w:val="both"/>
        <w:rPr>
          <w:rFonts w:ascii="Calibri" w:eastAsia="Calibri" w:hAnsi="Calibri" w:cs="Arial"/>
        </w:rPr>
      </w:pPr>
      <w:r>
        <w:rPr>
          <w:rFonts w:ascii="Calibri" w:eastAsia="Calibri" w:hAnsi="Calibri" w:cs="Arial"/>
        </w:rPr>
        <w:t xml:space="preserve">Given the importance of the family dimension, both in the evolution of the work of Esping-Andersen, and in the justifications for the separation of the SE/M from the conservative countries in the literature in general, it is of interest to repeat the statistical analyses undertaken above, but with only family variables.  </w:t>
      </w:r>
      <w:r w:rsidR="00EA3C33">
        <w:rPr>
          <w:rFonts w:ascii="Calibri" w:eastAsia="Calibri" w:hAnsi="Calibri" w:cs="Arial"/>
        </w:rPr>
        <w:t>T</w:t>
      </w:r>
      <w:r>
        <w:rPr>
          <w:rFonts w:ascii="Calibri" w:eastAsia="Calibri" w:hAnsi="Calibri" w:cs="Arial"/>
        </w:rPr>
        <w:t xml:space="preserve">he clustering methods are applied using </w:t>
      </w:r>
      <w:r w:rsidR="000D156E">
        <w:rPr>
          <w:rFonts w:ascii="Calibri" w:eastAsia="Calibri" w:hAnsi="Calibri" w:cs="Arial"/>
        </w:rPr>
        <w:t>two</w:t>
      </w:r>
      <w:r w:rsidR="000D156E" w:rsidRPr="008E7D6A">
        <w:rPr>
          <w:rFonts w:ascii="Calibri" w:eastAsia="Calibri" w:hAnsi="Calibri" w:cs="Arial"/>
        </w:rPr>
        <w:t xml:space="preserve"> </w:t>
      </w:r>
      <w:r w:rsidR="008E7D6A" w:rsidRPr="008E7D6A">
        <w:rPr>
          <w:rFonts w:ascii="Calibri" w:eastAsia="Calibri" w:hAnsi="Calibri" w:cs="Arial"/>
        </w:rPr>
        <w:t>variables of the family dimens</w:t>
      </w:r>
      <w:r w:rsidR="00B633E8">
        <w:rPr>
          <w:rFonts w:ascii="Calibri" w:eastAsia="Calibri" w:hAnsi="Calibri" w:cs="Arial"/>
        </w:rPr>
        <w:t>ion</w:t>
      </w:r>
      <w:r>
        <w:rPr>
          <w:rFonts w:ascii="Calibri" w:eastAsia="Calibri" w:hAnsi="Calibri" w:cs="Arial"/>
        </w:rPr>
        <w:t xml:space="preserve">, with </w:t>
      </w:r>
      <w:r w:rsidR="00B633E8">
        <w:rPr>
          <w:rFonts w:ascii="Calibri" w:eastAsia="Calibri" w:hAnsi="Calibri" w:cs="Arial"/>
        </w:rPr>
        <w:t>two</w:t>
      </w:r>
      <w:r w:rsidR="00B822AE">
        <w:rPr>
          <w:rFonts w:ascii="Calibri" w:eastAsia="Calibri" w:hAnsi="Calibri" w:cs="Arial"/>
        </w:rPr>
        <w:t xml:space="preserve"> and three</w:t>
      </w:r>
      <w:r w:rsidR="00B633E8">
        <w:rPr>
          <w:rFonts w:ascii="Calibri" w:eastAsia="Calibri" w:hAnsi="Calibri" w:cs="Arial"/>
        </w:rPr>
        <w:t xml:space="preserve"> clusters </w:t>
      </w:r>
      <w:r>
        <w:rPr>
          <w:rFonts w:ascii="Calibri" w:eastAsia="Calibri" w:hAnsi="Calibri" w:cs="Arial"/>
        </w:rPr>
        <w:t xml:space="preserve">specified </w:t>
      </w:r>
      <w:r w:rsidR="008E7D6A" w:rsidRPr="008E7D6A">
        <w:rPr>
          <w:rFonts w:ascii="Calibri" w:eastAsia="Calibri" w:hAnsi="Calibri" w:cs="Arial"/>
        </w:rPr>
        <w:t xml:space="preserve">in order to </w:t>
      </w:r>
      <w:r w:rsidR="004F6B0B">
        <w:rPr>
          <w:rFonts w:ascii="Calibri" w:eastAsia="Calibri" w:hAnsi="Calibri" w:cs="Arial"/>
        </w:rPr>
        <w:t xml:space="preserve">identify how similar the SE/M countries are to each other and how different from the rest.  </w:t>
      </w:r>
      <w:r w:rsidR="008E7D6A" w:rsidRPr="008E7D6A">
        <w:rPr>
          <w:rFonts w:ascii="Calibri" w:eastAsia="Calibri" w:hAnsi="Calibri" w:cs="Arial"/>
        </w:rPr>
        <w:t xml:space="preserve">Specifically, the variables are Age Leaving Home, </w:t>
      </w:r>
      <w:r w:rsidR="000D156E">
        <w:rPr>
          <w:rFonts w:ascii="Calibri" w:eastAsia="Calibri" w:hAnsi="Calibri" w:cs="Arial"/>
        </w:rPr>
        <w:t xml:space="preserve">and </w:t>
      </w:r>
      <w:r w:rsidR="008E7D6A" w:rsidRPr="008E7D6A">
        <w:rPr>
          <w:rFonts w:ascii="Calibri" w:eastAsia="Calibri" w:hAnsi="Calibri" w:cs="Arial"/>
        </w:rPr>
        <w:t xml:space="preserve">People per Household.  </w:t>
      </w:r>
      <w:r w:rsidR="00EA3C33">
        <w:rPr>
          <w:rFonts w:ascii="Calibri" w:eastAsia="Calibri" w:hAnsi="Calibri" w:cs="Arial"/>
        </w:rPr>
        <w:t>The results, using all three clustering methods, with both two clusters and with three c</w:t>
      </w:r>
      <w:r w:rsidR="00D208B6">
        <w:rPr>
          <w:rFonts w:ascii="Calibri" w:eastAsia="Calibri" w:hAnsi="Calibri" w:cs="Arial"/>
        </w:rPr>
        <w:t xml:space="preserve">lusters, are identical to those </w:t>
      </w:r>
      <w:r w:rsidR="00EA3C33">
        <w:rPr>
          <w:rFonts w:ascii="Calibri" w:eastAsia="Calibri" w:hAnsi="Calibri" w:cs="Arial"/>
        </w:rPr>
        <w:t>where all four dimensions are used in the analysis.</w:t>
      </w:r>
      <w:r w:rsidR="00D208B6">
        <w:rPr>
          <w:rFonts w:ascii="Calibri" w:eastAsia="Calibri" w:hAnsi="Calibri" w:cs="Arial"/>
        </w:rPr>
        <w:t xml:space="preserve"> </w:t>
      </w:r>
      <w:r w:rsidR="00EA3C33">
        <w:rPr>
          <w:rFonts w:ascii="Calibri" w:eastAsia="Calibri" w:hAnsi="Calibri" w:cs="Arial"/>
        </w:rPr>
        <w:t xml:space="preserve"> </w:t>
      </w:r>
      <w:r w:rsidR="00AB396D">
        <w:rPr>
          <w:rFonts w:ascii="Calibri" w:eastAsia="Calibri" w:hAnsi="Calibri" w:cs="Arial"/>
        </w:rPr>
        <w:t>The same countries are clustered into each of the three groupings, with the same indications in relation to distances between them.</w:t>
      </w:r>
      <w:r w:rsidR="00EA3C33">
        <w:rPr>
          <w:rFonts w:ascii="Calibri" w:eastAsia="Calibri" w:hAnsi="Calibri" w:cs="Arial"/>
        </w:rPr>
        <w:t xml:space="preserve"> </w:t>
      </w:r>
    </w:p>
    <w:p w:rsidR="008F4F56" w:rsidRDefault="00C06211" w:rsidP="00AB396D">
      <w:pPr>
        <w:spacing w:line="360" w:lineRule="auto"/>
        <w:jc w:val="both"/>
        <w:rPr>
          <w:rFonts w:ascii="Calibri" w:eastAsia="Calibri" w:hAnsi="Calibri" w:cs="Arial"/>
          <w:b/>
          <w:bCs/>
        </w:rPr>
      </w:pPr>
      <w:r>
        <w:rPr>
          <w:rFonts w:ascii="Calibri" w:eastAsia="Calibri" w:hAnsi="Calibri" w:cs="Arial"/>
        </w:rPr>
        <w:t xml:space="preserve">  </w:t>
      </w:r>
      <w:r w:rsidR="00AB75DA">
        <w:rPr>
          <w:rFonts w:ascii="Calibri" w:eastAsia="Calibri" w:hAnsi="Calibri" w:cs="Arial"/>
          <w:b/>
          <w:bCs/>
        </w:rPr>
        <w:t>5</w:t>
      </w:r>
      <w:r w:rsidR="008F4F56">
        <w:rPr>
          <w:rFonts w:ascii="Calibri" w:eastAsia="Calibri" w:hAnsi="Calibri" w:cs="Arial"/>
          <w:b/>
          <w:bCs/>
        </w:rPr>
        <w:t xml:space="preserve"> Discussion</w:t>
      </w:r>
    </w:p>
    <w:p w:rsidR="00654179" w:rsidRDefault="00654179" w:rsidP="0052150B">
      <w:pPr>
        <w:spacing w:line="360" w:lineRule="auto"/>
        <w:jc w:val="both"/>
        <w:rPr>
          <w:rFonts w:ascii="Calibri" w:eastAsia="Calibri" w:hAnsi="Calibri" w:cs="Arial"/>
        </w:rPr>
      </w:pPr>
      <w:r>
        <w:rPr>
          <w:rFonts w:ascii="Calibri" w:eastAsia="Calibri" w:hAnsi="Calibri" w:cs="Arial"/>
        </w:rPr>
        <w:t xml:space="preserve">The results strongly confirm the argument drawn from the literature review, namely that the SE/M countries are similar enough to one another, and different enough from the conservative countries, to constitute a </w:t>
      </w:r>
      <w:r w:rsidR="00677016">
        <w:rPr>
          <w:rFonts w:ascii="Calibri" w:eastAsia="Calibri" w:hAnsi="Calibri" w:cs="Arial"/>
        </w:rPr>
        <w:t>grouping</w:t>
      </w:r>
      <w:r>
        <w:rPr>
          <w:rFonts w:ascii="Calibri" w:eastAsia="Calibri" w:hAnsi="Calibri" w:cs="Arial"/>
        </w:rPr>
        <w:t xml:space="preserve"> </w:t>
      </w:r>
      <w:r w:rsidR="00677016">
        <w:rPr>
          <w:rFonts w:ascii="Calibri" w:eastAsia="Calibri" w:hAnsi="Calibri" w:cs="Arial"/>
        </w:rPr>
        <w:t xml:space="preserve">separate from the conservative countries.  Two quite different sets of data were used.  In the first case six variables reflecting the four dimensions used in all three clustering methods produce identical results.  These results confirm the view that the SE/M – with Ireland – is a separate cluster, </w:t>
      </w:r>
      <w:r w:rsidR="009D3587">
        <w:rPr>
          <w:rFonts w:ascii="Calibri" w:eastAsia="Calibri" w:hAnsi="Calibri" w:cs="Arial"/>
        </w:rPr>
        <w:t>with the appropriate non-parametric tests proving that the cluster is</w:t>
      </w:r>
      <w:r w:rsidR="00677016">
        <w:rPr>
          <w:rFonts w:ascii="Calibri" w:eastAsia="Calibri" w:hAnsi="Calibri" w:cs="Arial"/>
        </w:rPr>
        <w:t xml:space="preserve"> significantly differen</w:t>
      </w:r>
      <w:r w:rsidR="009D3587">
        <w:rPr>
          <w:rFonts w:ascii="Calibri" w:eastAsia="Calibri" w:hAnsi="Calibri" w:cs="Arial"/>
        </w:rPr>
        <w:t>t from the other two clusters.  It is, moreover, more different from the conservative cluster than the conservative is from the social democratic.</w:t>
      </w:r>
    </w:p>
    <w:p w:rsidR="009F5808" w:rsidRDefault="009D3587" w:rsidP="009A7FD2">
      <w:pPr>
        <w:spacing w:line="360" w:lineRule="auto"/>
        <w:jc w:val="both"/>
        <w:rPr>
          <w:rFonts w:ascii="Calibri" w:eastAsia="Calibri" w:hAnsi="Calibri" w:cs="Arial"/>
        </w:rPr>
      </w:pPr>
      <w:r>
        <w:rPr>
          <w:rFonts w:ascii="Calibri" w:eastAsia="Calibri" w:hAnsi="Calibri" w:cs="Arial"/>
        </w:rPr>
        <w:lastRenderedPageBreak/>
        <w:t>In the second case, w</w:t>
      </w:r>
      <w:r w:rsidR="009F5808">
        <w:rPr>
          <w:rFonts w:ascii="Calibri" w:eastAsia="Calibri" w:hAnsi="Calibri" w:cs="Arial"/>
        </w:rPr>
        <w:t xml:space="preserve">hen only the family dimension </w:t>
      </w:r>
      <w:r>
        <w:rPr>
          <w:rFonts w:ascii="Calibri" w:eastAsia="Calibri" w:hAnsi="Calibri" w:cs="Arial"/>
        </w:rPr>
        <w:t>is</w:t>
      </w:r>
      <w:r w:rsidR="009F5808">
        <w:rPr>
          <w:rFonts w:ascii="Calibri" w:eastAsia="Calibri" w:hAnsi="Calibri" w:cs="Arial"/>
        </w:rPr>
        <w:t xml:space="preserve"> used in the clustering exercise, </w:t>
      </w:r>
      <w:r>
        <w:rPr>
          <w:rFonts w:ascii="Calibri" w:eastAsia="Calibri" w:hAnsi="Calibri" w:cs="Arial"/>
        </w:rPr>
        <w:t>t</w:t>
      </w:r>
      <w:r w:rsidR="009F5808">
        <w:rPr>
          <w:rFonts w:ascii="Calibri" w:eastAsia="Calibri" w:hAnsi="Calibri" w:cs="Arial"/>
        </w:rPr>
        <w:t>he SE/M grouping of Portugal, Greece, Italy, Spain</w:t>
      </w:r>
      <w:r>
        <w:rPr>
          <w:rFonts w:ascii="Calibri" w:eastAsia="Calibri" w:hAnsi="Calibri" w:cs="Arial"/>
        </w:rPr>
        <w:t xml:space="preserve">, Cyprus and Malta, joined by </w:t>
      </w:r>
      <w:r w:rsidR="009F5808">
        <w:rPr>
          <w:rFonts w:ascii="Calibri" w:eastAsia="Calibri" w:hAnsi="Calibri" w:cs="Arial"/>
        </w:rPr>
        <w:t xml:space="preserve">Ireland, </w:t>
      </w:r>
      <w:r w:rsidR="00E50774">
        <w:rPr>
          <w:rFonts w:ascii="Calibri" w:eastAsia="Calibri" w:hAnsi="Calibri" w:cs="Arial"/>
        </w:rPr>
        <w:t xml:space="preserve">again </w:t>
      </w:r>
      <w:r w:rsidR="009F5808">
        <w:rPr>
          <w:rFonts w:ascii="Calibri" w:eastAsia="Calibri" w:hAnsi="Calibri" w:cs="Arial"/>
        </w:rPr>
        <w:t xml:space="preserve">emerges as a separate cluster.  </w:t>
      </w:r>
      <w:r w:rsidR="009A7FD2">
        <w:rPr>
          <w:rFonts w:ascii="Calibri" w:eastAsia="Calibri" w:hAnsi="Calibri" w:cs="Arial"/>
        </w:rPr>
        <w:t xml:space="preserve">Also, </w:t>
      </w:r>
      <w:r w:rsidR="00E50774">
        <w:rPr>
          <w:rFonts w:ascii="Calibri" w:eastAsia="Calibri" w:hAnsi="Calibri" w:cs="Arial"/>
        </w:rPr>
        <w:t>i</w:t>
      </w:r>
      <w:r w:rsidR="009F5808">
        <w:rPr>
          <w:rFonts w:ascii="Calibri" w:eastAsia="Calibri" w:hAnsi="Calibri" w:cs="Arial"/>
        </w:rPr>
        <w:t xml:space="preserve">t is </w:t>
      </w:r>
      <w:r w:rsidR="00E21F20">
        <w:rPr>
          <w:rFonts w:ascii="Calibri" w:eastAsia="Calibri" w:hAnsi="Calibri" w:cs="Arial"/>
        </w:rPr>
        <w:t xml:space="preserve">again </w:t>
      </w:r>
      <w:r w:rsidR="009F5808">
        <w:rPr>
          <w:rFonts w:ascii="Calibri" w:eastAsia="Calibri" w:hAnsi="Calibri" w:cs="Arial"/>
        </w:rPr>
        <w:t xml:space="preserve">more different from either of the other two clusters – the social democratic and conservative groupings – than they are from each other.  </w:t>
      </w:r>
    </w:p>
    <w:p w:rsidR="009F5808" w:rsidRDefault="009F5808" w:rsidP="005C5C17">
      <w:pPr>
        <w:spacing w:line="360" w:lineRule="auto"/>
        <w:jc w:val="both"/>
        <w:rPr>
          <w:rFonts w:ascii="Calibri" w:eastAsia="Calibri" w:hAnsi="Calibri" w:cs="Arial"/>
        </w:rPr>
      </w:pPr>
      <w:r w:rsidRPr="009F5808">
        <w:rPr>
          <w:rFonts w:ascii="Calibri" w:eastAsia="Calibri" w:hAnsi="Calibri" w:cs="Arial"/>
        </w:rPr>
        <w:t xml:space="preserve">If we define welfare regimes on the basis of welfare pillar, as Esping-Andersen </w:t>
      </w:r>
      <w:r w:rsidR="00E50774">
        <w:rPr>
          <w:rFonts w:ascii="Calibri" w:eastAsia="Calibri" w:hAnsi="Calibri" w:cs="Arial"/>
        </w:rPr>
        <w:t xml:space="preserve">(1999) </w:t>
      </w:r>
      <w:r w:rsidRPr="009F5808">
        <w:rPr>
          <w:rFonts w:ascii="Calibri" w:eastAsia="Calibri" w:hAnsi="Calibri" w:cs="Arial"/>
        </w:rPr>
        <w:t xml:space="preserve">does in </w:t>
      </w:r>
      <w:r w:rsidR="00264C96" w:rsidRPr="00264C96">
        <w:rPr>
          <w:rFonts w:ascii="Calibri" w:eastAsia="Calibri" w:hAnsi="Calibri" w:cs="Arial"/>
          <w:i/>
          <w:iCs/>
        </w:rPr>
        <w:t>SFPC</w:t>
      </w:r>
      <w:r w:rsidRPr="009F5808">
        <w:rPr>
          <w:rFonts w:ascii="Calibri" w:eastAsia="Calibri" w:hAnsi="Calibri" w:cs="Arial"/>
        </w:rPr>
        <w:t xml:space="preserve">, then the </w:t>
      </w:r>
      <w:r w:rsidR="00472A82">
        <w:rPr>
          <w:rFonts w:ascii="Calibri" w:eastAsia="Calibri" w:hAnsi="Calibri" w:cs="Arial"/>
        </w:rPr>
        <w:t xml:space="preserve">SE/M </w:t>
      </w:r>
      <w:r w:rsidRPr="009F5808">
        <w:rPr>
          <w:rFonts w:ascii="Calibri" w:eastAsia="Calibri" w:hAnsi="Calibri" w:cs="Arial"/>
        </w:rPr>
        <w:t xml:space="preserve">countries are more obviously the familialistic welfare regime, with the main welfare provider being the family.  If so, then the </w:t>
      </w:r>
      <w:r>
        <w:rPr>
          <w:rFonts w:ascii="Calibri" w:eastAsia="Calibri" w:hAnsi="Calibri" w:cs="Arial"/>
        </w:rPr>
        <w:t>peripheral</w:t>
      </w:r>
      <w:r w:rsidRPr="009F5808">
        <w:rPr>
          <w:rFonts w:ascii="Calibri" w:eastAsia="Calibri" w:hAnsi="Calibri" w:cs="Arial"/>
        </w:rPr>
        <w:t xml:space="preserve"> countries should be seen as one of the three basic regime types and the conservative group, represented primarily by Germany, should be seen as the additional, fourth type.  </w:t>
      </w:r>
      <w:r w:rsidR="002B6911">
        <w:rPr>
          <w:rFonts w:ascii="Calibri" w:eastAsia="Calibri" w:hAnsi="Calibri" w:cs="Arial"/>
        </w:rPr>
        <w:t>F</w:t>
      </w:r>
      <w:r w:rsidRPr="009F5808">
        <w:rPr>
          <w:rFonts w:ascii="Calibri" w:eastAsia="Calibri" w:hAnsi="Calibri" w:cs="Arial"/>
        </w:rPr>
        <w:t>uture research might focus on the SE/M as the family-pillar</w:t>
      </w:r>
      <w:r w:rsidR="0069756F">
        <w:rPr>
          <w:rFonts w:ascii="Calibri" w:eastAsia="Calibri" w:hAnsi="Calibri" w:cs="Arial"/>
        </w:rPr>
        <w:t>,</w:t>
      </w:r>
      <w:r w:rsidRPr="009F5808">
        <w:rPr>
          <w:rFonts w:ascii="Calibri" w:eastAsia="Calibri" w:hAnsi="Calibri" w:cs="Arial"/>
        </w:rPr>
        <w:t xml:space="preserve"> familialistic regime, the Scandinavian countries as the state-</w:t>
      </w:r>
      <w:r w:rsidR="0069756F">
        <w:rPr>
          <w:rFonts w:ascii="Calibri" w:eastAsia="Calibri" w:hAnsi="Calibri" w:cs="Arial"/>
        </w:rPr>
        <w:t>pillar social democratic regime</w:t>
      </w:r>
      <w:r w:rsidRPr="009F5808">
        <w:rPr>
          <w:rFonts w:ascii="Calibri" w:eastAsia="Calibri" w:hAnsi="Calibri" w:cs="Arial"/>
        </w:rPr>
        <w:t xml:space="preserve">, and the </w:t>
      </w:r>
      <w:r w:rsidR="0069756F">
        <w:rPr>
          <w:rFonts w:ascii="Calibri" w:eastAsia="Calibri" w:hAnsi="Calibri" w:cs="Arial"/>
        </w:rPr>
        <w:t>US and similar</w:t>
      </w:r>
      <w:r w:rsidRPr="009F5808">
        <w:rPr>
          <w:rFonts w:ascii="Calibri" w:eastAsia="Calibri" w:hAnsi="Calibri" w:cs="Arial"/>
        </w:rPr>
        <w:t xml:space="preserve"> countries as the market-pillar liberal regime.  The fourth, </w:t>
      </w:r>
      <w:r w:rsidR="009D3587">
        <w:rPr>
          <w:rFonts w:ascii="Calibri" w:eastAsia="Calibri" w:hAnsi="Calibri" w:cs="Arial"/>
        </w:rPr>
        <w:t>conservative t</w:t>
      </w:r>
      <w:r>
        <w:rPr>
          <w:rFonts w:ascii="Calibri" w:eastAsia="Calibri" w:hAnsi="Calibri" w:cs="Arial"/>
        </w:rPr>
        <w:t>ype is to some ext</w:t>
      </w:r>
      <w:r w:rsidRPr="009F5808">
        <w:rPr>
          <w:rFonts w:ascii="Calibri" w:eastAsia="Calibri" w:hAnsi="Calibri" w:cs="Arial"/>
        </w:rPr>
        <w:t xml:space="preserve">ent in between the other three, with more state pillar than the liberal regime and familialistic regimes, less family and less market than the liberal regime, and so on, as shown in </w:t>
      </w:r>
      <w:r w:rsidR="005C5C17">
        <w:rPr>
          <w:rFonts w:ascii="Calibri" w:eastAsia="Calibri" w:hAnsi="Calibri" w:cs="Arial"/>
        </w:rPr>
        <w:t xml:space="preserve">Figure </w:t>
      </w:r>
      <w:r w:rsidR="00177BEE">
        <w:rPr>
          <w:rFonts w:ascii="Calibri" w:eastAsia="Calibri" w:hAnsi="Calibri" w:cs="Arial"/>
        </w:rPr>
        <w:t>4</w:t>
      </w:r>
      <w:r w:rsidRPr="009F5808">
        <w:rPr>
          <w:rFonts w:ascii="Calibri" w:eastAsia="Calibri" w:hAnsi="Calibri" w:cs="Arial"/>
        </w:rPr>
        <w:t>.</w:t>
      </w:r>
    </w:p>
    <w:p w:rsidR="002918E0" w:rsidRPr="008B0D01" w:rsidRDefault="002918E0" w:rsidP="002918E0">
      <w:pPr>
        <w:rPr>
          <w:b/>
        </w:rPr>
      </w:pPr>
      <w:r w:rsidRPr="008B0D01">
        <w:rPr>
          <w:b/>
        </w:rPr>
        <w:t>Figure 4: New typology of welfare states</w:t>
      </w:r>
    </w:p>
    <w:p w:rsidR="002918E0" w:rsidRPr="008B0D01" w:rsidRDefault="002918E0" w:rsidP="002918E0">
      <w:pPr>
        <w:rPr>
          <w:b/>
        </w:rPr>
      </w:pPr>
      <w:r w:rsidRPr="008B0D01">
        <w:rPr>
          <w:noProof/>
          <w:lang w:eastAsia="en-IE"/>
        </w:rPr>
        <w:drawing>
          <wp:inline distT="0" distB="0" distL="0" distR="0" wp14:anchorId="4066FBE4" wp14:editId="49DA335E">
            <wp:extent cx="4074160" cy="200533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4074160" cy="2005330"/>
                    </a:xfrm>
                    <a:prstGeom prst="rect">
                      <a:avLst/>
                    </a:prstGeom>
                    <a:noFill/>
                    <a:ln>
                      <a:noFill/>
                    </a:ln>
                  </pic:spPr>
                </pic:pic>
              </a:graphicData>
            </a:graphic>
          </wp:inline>
        </w:drawing>
      </w:r>
    </w:p>
    <w:p w:rsidR="002918E0" w:rsidRDefault="002918E0" w:rsidP="002918E0"/>
    <w:p w:rsidR="0069756F" w:rsidRPr="009F5808" w:rsidRDefault="002D4CB5" w:rsidP="006C336B">
      <w:pPr>
        <w:spacing w:line="360" w:lineRule="auto"/>
        <w:jc w:val="both"/>
        <w:rPr>
          <w:rFonts w:ascii="Calibri" w:eastAsia="Calibri" w:hAnsi="Calibri" w:cs="Arial"/>
        </w:rPr>
      </w:pPr>
      <w:r>
        <w:rPr>
          <w:rFonts w:ascii="Calibri" w:eastAsia="Calibri" w:hAnsi="Calibri" w:cs="Arial"/>
        </w:rPr>
        <w:t xml:space="preserve">Among the unusual or unexpected results from the statistical clustering is that Ireland falls into the SE/M, or peripheral country, cluster.  </w:t>
      </w:r>
      <w:r w:rsidR="003410DF">
        <w:rPr>
          <w:rFonts w:ascii="Calibri" w:eastAsia="Calibri" w:hAnsi="Calibri" w:cs="Arial"/>
        </w:rPr>
        <w:t xml:space="preserve">Ferragina and Seeleib-Kaiser (2011) find only one other study, of 19 reviewed, that clusters Ireland with the SE/M countries.  </w:t>
      </w:r>
      <w:r w:rsidR="001A6FC5" w:rsidRPr="001A6FC5">
        <w:rPr>
          <w:rFonts w:ascii="Calibri" w:eastAsia="Calibri" w:hAnsi="Calibri" w:cs="Arial"/>
        </w:rPr>
        <w:t xml:space="preserve">This one study, moreover, is Obinger and Wagschal (2001), and its findings on Ireland are at best ambiguous; they undertake cluster analyses for three time periods, and Ireland falls into a different cluster in each of the three (and is the only country of the 21 in their study that does so). </w:t>
      </w:r>
      <w:r w:rsidR="001A6FC5">
        <w:rPr>
          <w:rFonts w:ascii="Calibri" w:eastAsia="Calibri" w:hAnsi="Calibri" w:cs="Arial"/>
        </w:rPr>
        <w:t>In any case,</w:t>
      </w:r>
      <w:r w:rsidR="003410DF">
        <w:rPr>
          <w:rFonts w:ascii="Calibri" w:eastAsia="Calibri" w:hAnsi="Calibri" w:cs="Arial"/>
        </w:rPr>
        <w:t xml:space="preserve"> given that the focus year </w:t>
      </w:r>
      <w:r w:rsidR="001A6FC5">
        <w:rPr>
          <w:rFonts w:ascii="Calibri" w:eastAsia="Calibri" w:hAnsi="Calibri" w:cs="Arial"/>
        </w:rPr>
        <w:t xml:space="preserve">in the present study </w:t>
      </w:r>
      <w:r w:rsidR="003410DF">
        <w:rPr>
          <w:rFonts w:ascii="Calibri" w:eastAsia="Calibri" w:hAnsi="Calibri" w:cs="Arial"/>
        </w:rPr>
        <w:t xml:space="preserve">is 2011, post-Celtic Tiger, </w:t>
      </w:r>
      <w:r w:rsidR="001A6FC5">
        <w:rPr>
          <w:rFonts w:ascii="Calibri" w:eastAsia="Calibri" w:hAnsi="Calibri" w:cs="Arial"/>
        </w:rPr>
        <w:t>the SE/M</w:t>
      </w:r>
      <w:r w:rsidR="003410DF">
        <w:rPr>
          <w:rFonts w:ascii="Calibri" w:eastAsia="Calibri" w:hAnsi="Calibri" w:cs="Arial"/>
        </w:rPr>
        <w:t xml:space="preserve"> classification is</w:t>
      </w:r>
      <w:r>
        <w:rPr>
          <w:rFonts w:ascii="Calibri" w:eastAsia="Calibri" w:hAnsi="Calibri" w:cs="Arial"/>
        </w:rPr>
        <w:t xml:space="preserve"> not surprising</w:t>
      </w:r>
      <w:r w:rsidR="003410DF">
        <w:rPr>
          <w:rFonts w:ascii="Calibri" w:eastAsia="Calibri" w:hAnsi="Calibri" w:cs="Arial"/>
        </w:rPr>
        <w:t>.</w:t>
      </w:r>
      <w:r>
        <w:rPr>
          <w:rFonts w:ascii="Calibri" w:eastAsia="Calibri" w:hAnsi="Calibri" w:cs="Arial"/>
        </w:rPr>
        <w:t xml:space="preserve"> </w:t>
      </w:r>
      <w:r w:rsidR="00A147D8">
        <w:rPr>
          <w:rFonts w:ascii="Calibri" w:eastAsia="Calibri" w:hAnsi="Calibri" w:cs="Arial"/>
        </w:rPr>
        <w:t xml:space="preserve">During </w:t>
      </w:r>
      <w:r w:rsidR="003410DF">
        <w:rPr>
          <w:rFonts w:ascii="Calibri" w:eastAsia="Calibri" w:hAnsi="Calibri" w:cs="Arial"/>
        </w:rPr>
        <w:t>the Celtic Tiger</w:t>
      </w:r>
      <w:r w:rsidR="00A147D8">
        <w:rPr>
          <w:rFonts w:ascii="Calibri" w:eastAsia="Calibri" w:hAnsi="Calibri" w:cs="Arial"/>
        </w:rPr>
        <w:t xml:space="preserve"> period of rapid growth</w:t>
      </w:r>
      <w:r>
        <w:rPr>
          <w:rFonts w:ascii="Calibri" w:eastAsia="Calibri" w:hAnsi="Calibri" w:cs="Arial"/>
        </w:rPr>
        <w:t xml:space="preserve"> </w:t>
      </w:r>
      <w:r w:rsidR="002C1E60">
        <w:rPr>
          <w:rFonts w:ascii="Calibri" w:eastAsia="Calibri" w:hAnsi="Calibri" w:cs="Arial"/>
        </w:rPr>
        <w:t xml:space="preserve">Ireland </w:t>
      </w:r>
      <w:r w:rsidR="00A147D8">
        <w:rPr>
          <w:rFonts w:ascii="Calibri" w:eastAsia="Calibri" w:hAnsi="Calibri" w:cs="Arial"/>
        </w:rPr>
        <w:t xml:space="preserve">moved simultaneously “towards </w:t>
      </w:r>
      <w:r w:rsidR="00A147D8" w:rsidRPr="00A147D8">
        <w:rPr>
          <w:rFonts w:ascii="Calibri" w:eastAsia="Calibri" w:hAnsi="Calibri" w:cs="Arial"/>
        </w:rPr>
        <w:t>European neo-corporatism and Anglo-American</w:t>
      </w:r>
      <w:r w:rsidR="00A147D8">
        <w:rPr>
          <w:rFonts w:ascii="Calibri" w:eastAsia="Calibri" w:hAnsi="Calibri" w:cs="Arial"/>
        </w:rPr>
        <w:t xml:space="preserve"> </w:t>
      </w:r>
      <w:r w:rsidR="00A147D8" w:rsidRPr="00A147D8">
        <w:rPr>
          <w:rFonts w:ascii="Calibri" w:eastAsia="Calibri" w:hAnsi="Calibri" w:cs="Arial"/>
        </w:rPr>
        <w:t>neo-liberalism</w:t>
      </w:r>
      <w:r w:rsidR="00A147D8">
        <w:rPr>
          <w:rFonts w:ascii="Calibri" w:eastAsia="Calibri" w:hAnsi="Calibri" w:cs="Arial"/>
        </w:rPr>
        <w:t>” (Boucher and Collins, 2003 p.</w:t>
      </w:r>
      <w:r w:rsidR="00D55802">
        <w:rPr>
          <w:rFonts w:ascii="Calibri" w:eastAsia="Calibri" w:hAnsi="Calibri" w:cs="Arial"/>
        </w:rPr>
        <w:t xml:space="preserve">295). In 2010 Ireland obtained a bailout from the Troika and in so doing joined Greece and Portugal. </w:t>
      </w:r>
      <w:r w:rsidR="00ED7522">
        <w:rPr>
          <w:rFonts w:ascii="Calibri" w:eastAsia="Calibri" w:hAnsi="Calibri" w:cs="Arial"/>
        </w:rPr>
        <w:t xml:space="preserve">Ireland is generally more like the SE/M countries in terms of clientelism and religion; </w:t>
      </w:r>
      <w:r w:rsidR="006C336B">
        <w:rPr>
          <w:rFonts w:ascii="Calibri" w:eastAsia="Calibri" w:hAnsi="Calibri" w:cs="Arial"/>
        </w:rPr>
        <w:t xml:space="preserve">now </w:t>
      </w:r>
      <w:r w:rsidR="00177BEE">
        <w:rPr>
          <w:rFonts w:ascii="Calibri" w:eastAsia="Calibri" w:hAnsi="Calibri" w:cs="Arial"/>
        </w:rPr>
        <w:t xml:space="preserve">the state vs market, and </w:t>
      </w:r>
      <w:r w:rsidR="00ED7522">
        <w:rPr>
          <w:rFonts w:ascii="Calibri" w:eastAsia="Calibri" w:hAnsi="Calibri" w:cs="Arial"/>
        </w:rPr>
        <w:t xml:space="preserve">many </w:t>
      </w:r>
      <w:r w:rsidR="00D55802">
        <w:rPr>
          <w:rFonts w:ascii="Calibri" w:eastAsia="Calibri" w:hAnsi="Calibri" w:cs="Arial"/>
        </w:rPr>
        <w:t xml:space="preserve">macroeconomic </w:t>
      </w:r>
      <w:r w:rsidR="00D55802">
        <w:rPr>
          <w:rFonts w:ascii="Calibri" w:eastAsia="Calibri" w:hAnsi="Calibri" w:cs="Arial"/>
        </w:rPr>
        <w:lastRenderedPageBreak/>
        <w:t>variables</w:t>
      </w:r>
      <w:r w:rsidR="00177BEE">
        <w:rPr>
          <w:rFonts w:ascii="Calibri" w:eastAsia="Calibri" w:hAnsi="Calibri" w:cs="Arial"/>
        </w:rPr>
        <w:t>,</w:t>
      </w:r>
      <w:r w:rsidR="00D55802">
        <w:rPr>
          <w:rFonts w:ascii="Calibri" w:eastAsia="Calibri" w:hAnsi="Calibri" w:cs="Arial"/>
        </w:rPr>
        <w:t xml:space="preserve"> are more similar to those </w:t>
      </w:r>
      <w:r w:rsidR="000F32A0">
        <w:rPr>
          <w:rFonts w:ascii="Calibri" w:eastAsia="Calibri" w:hAnsi="Calibri" w:cs="Arial"/>
        </w:rPr>
        <w:t>of</w:t>
      </w:r>
      <w:r w:rsidR="00D55802">
        <w:rPr>
          <w:rFonts w:ascii="Calibri" w:eastAsia="Calibri" w:hAnsi="Calibri" w:cs="Arial"/>
        </w:rPr>
        <w:t xml:space="preserve"> </w:t>
      </w:r>
      <w:r w:rsidR="000F32A0">
        <w:rPr>
          <w:rFonts w:ascii="Calibri" w:eastAsia="Calibri" w:hAnsi="Calibri" w:cs="Arial"/>
        </w:rPr>
        <w:t xml:space="preserve">the </w:t>
      </w:r>
      <w:r w:rsidR="00D55802">
        <w:rPr>
          <w:rFonts w:ascii="Calibri" w:eastAsia="Calibri" w:hAnsi="Calibri" w:cs="Arial"/>
        </w:rPr>
        <w:t>Southern European countries a</w:t>
      </w:r>
      <w:r w:rsidR="000F32A0">
        <w:rPr>
          <w:rFonts w:ascii="Calibri" w:eastAsia="Calibri" w:hAnsi="Calibri" w:cs="Arial"/>
        </w:rPr>
        <w:t>nd the ambiguity of its position</w:t>
      </w:r>
      <w:r w:rsidR="00D55802">
        <w:rPr>
          <w:rFonts w:ascii="Calibri" w:eastAsia="Calibri" w:hAnsi="Calibri" w:cs="Arial"/>
        </w:rPr>
        <w:t xml:space="preserve"> between the conservative and liberal regimes has been resolved by </w:t>
      </w:r>
      <w:r w:rsidR="00ED7522">
        <w:rPr>
          <w:rFonts w:ascii="Calibri" w:eastAsia="Calibri" w:hAnsi="Calibri" w:cs="Arial"/>
        </w:rPr>
        <w:t xml:space="preserve">greater </w:t>
      </w:r>
      <w:r w:rsidR="00D55802">
        <w:rPr>
          <w:rFonts w:ascii="Calibri" w:eastAsia="Calibri" w:hAnsi="Calibri" w:cs="Arial"/>
        </w:rPr>
        <w:t xml:space="preserve">similarity with the SE/M countries. </w:t>
      </w:r>
      <w:r w:rsidR="003B4F3D">
        <w:rPr>
          <w:rFonts w:ascii="Calibri" w:eastAsia="Calibri" w:hAnsi="Calibri" w:cs="Arial"/>
        </w:rPr>
        <w:t>By 2013 Greece, Portugal and Ireland had been joined by Spain and Cyprus among the bailout countries.</w:t>
      </w:r>
      <w:r w:rsidR="00ED7522">
        <w:rPr>
          <w:rFonts w:ascii="Calibri" w:eastAsia="Calibri" w:hAnsi="Calibri" w:cs="Arial"/>
        </w:rPr>
        <w:t xml:space="preserve"> </w:t>
      </w:r>
    </w:p>
    <w:p w:rsidR="003410DF" w:rsidRPr="003410DF" w:rsidRDefault="003410DF" w:rsidP="009B3DE0">
      <w:pPr>
        <w:spacing w:line="360" w:lineRule="auto"/>
        <w:jc w:val="both"/>
        <w:rPr>
          <w:rFonts w:ascii="Calibri" w:eastAsia="Calibri" w:hAnsi="Calibri" w:cs="Arial"/>
        </w:rPr>
      </w:pPr>
      <w:r>
        <w:rPr>
          <w:rFonts w:ascii="Calibri" w:eastAsia="Calibri" w:hAnsi="Calibri" w:cs="Arial"/>
        </w:rPr>
        <w:t>Another finding that is arguably unexpected is that the UK is classified as among the conservative countries</w:t>
      </w:r>
      <w:r w:rsidR="00D67C65">
        <w:rPr>
          <w:rFonts w:ascii="Calibri" w:eastAsia="Calibri" w:hAnsi="Calibri" w:cs="Arial"/>
        </w:rPr>
        <w:t xml:space="preserve">. </w:t>
      </w:r>
      <w:r w:rsidR="00454D77">
        <w:rPr>
          <w:rFonts w:ascii="Calibri" w:eastAsia="Calibri" w:hAnsi="Calibri" w:cs="Arial"/>
        </w:rPr>
        <w:t>In the vast majority (78 per cent) of studies reviewed by Ferragina and Seeleib-Kaiser (2011) the UK is liberal; in only one study is it classified as conservative (Christian democratic).  However, c</w:t>
      </w:r>
      <w:r w:rsidR="009478D5">
        <w:rPr>
          <w:rFonts w:ascii="Calibri" w:eastAsia="Calibri" w:hAnsi="Calibri" w:cs="Arial"/>
        </w:rPr>
        <w:t xml:space="preserve">onfidence in </w:t>
      </w:r>
      <w:r w:rsidR="00454D77">
        <w:rPr>
          <w:rFonts w:ascii="Calibri" w:eastAsia="Calibri" w:hAnsi="Calibri" w:cs="Arial"/>
        </w:rPr>
        <w:t xml:space="preserve">the UK’s </w:t>
      </w:r>
      <w:r w:rsidR="009478D5">
        <w:rPr>
          <w:rFonts w:ascii="Calibri" w:eastAsia="Calibri" w:hAnsi="Calibri" w:cs="Arial"/>
        </w:rPr>
        <w:t xml:space="preserve">classification </w:t>
      </w:r>
      <w:r w:rsidR="00454D77">
        <w:rPr>
          <w:rFonts w:ascii="Calibri" w:eastAsia="Calibri" w:hAnsi="Calibri" w:cs="Arial"/>
        </w:rPr>
        <w:t xml:space="preserve">as conservative </w:t>
      </w:r>
      <w:r w:rsidR="009478D5">
        <w:rPr>
          <w:rFonts w:ascii="Calibri" w:eastAsia="Calibri" w:hAnsi="Calibri" w:cs="Arial"/>
        </w:rPr>
        <w:t xml:space="preserve">is enhanced by the fact that the UK is </w:t>
      </w:r>
      <w:r w:rsidR="009B3DE0">
        <w:rPr>
          <w:rFonts w:ascii="Calibri" w:eastAsia="Calibri" w:hAnsi="Calibri" w:cs="Arial"/>
        </w:rPr>
        <w:t xml:space="preserve">near the middle of the </w:t>
      </w:r>
      <w:r w:rsidR="00491CDC">
        <w:rPr>
          <w:rFonts w:ascii="Calibri" w:eastAsia="Calibri" w:hAnsi="Calibri" w:cs="Arial"/>
        </w:rPr>
        <w:t xml:space="preserve">conservative cluster in the </w:t>
      </w:r>
      <w:r w:rsidR="009B3DE0">
        <w:rPr>
          <w:rFonts w:ascii="Calibri" w:eastAsia="Calibri" w:hAnsi="Calibri" w:cs="Arial"/>
        </w:rPr>
        <w:t>dendogram in Figure 1, and that the distance from the UK to Belgium</w:t>
      </w:r>
      <w:r w:rsidR="00491CDC">
        <w:rPr>
          <w:rFonts w:ascii="Calibri" w:eastAsia="Calibri" w:hAnsi="Calibri" w:cs="Arial"/>
        </w:rPr>
        <w:t>, the conservative cluster medoi</w:t>
      </w:r>
      <w:r w:rsidR="009B3DE0">
        <w:rPr>
          <w:rFonts w:ascii="Calibri" w:eastAsia="Calibri" w:hAnsi="Calibri" w:cs="Arial"/>
        </w:rPr>
        <w:t>d, is less than that of either France or Germany (see Table 1).</w:t>
      </w:r>
      <w:r>
        <w:rPr>
          <w:rFonts w:ascii="Calibri" w:eastAsia="Calibri" w:hAnsi="Calibri" w:cs="Arial"/>
        </w:rPr>
        <w:t xml:space="preserve">  </w:t>
      </w:r>
      <w:r w:rsidR="00454D77">
        <w:rPr>
          <w:rFonts w:ascii="Calibri" w:eastAsia="Calibri" w:hAnsi="Calibri" w:cs="Arial"/>
        </w:rPr>
        <w:t>Considering the focus of the paper on the SE/M countries and the exclusion of the prototypic</w:t>
      </w:r>
      <w:r w:rsidR="00CD2392">
        <w:rPr>
          <w:rFonts w:ascii="Calibri" w:eastAsia="Calibri" w:hAnsi="Calibri" w:cs="Arial"/>
        </w:rPr>
        <w:t xml:space="preserve">al liberal country, the USA, the omission of the UK may have been appropriate.  Omitting the UK makes no difference at all to any of the other results.  </w:t>
      </w:r>
      <w:r w:rsidR="00E74E67">
        <w:rPr>
          <w:rFonts w:ascii="Calibri" w:eastAsia="Calibri" w:hAnsi="Calibri" w:cs="Arial"/>
        </w:rPr>
        <w:t>Moreover, given that more than half the studies reviewed by Ferragina and Seeleib-Kaiser (2011) put Ireland and the UK together among the liberal countries, makes the findings on these two countries in the present study all the more interesting.</w:t>
      </w:r>
    </w:p>
    <w:p w:rsidR="00E21F20" w:rsidRPr="00387FAF" w:rsidRDefault="00E21F20" w:rsidP="00387FAF">
      <w:pPr>
        <w:spacing w:line="360" w:lineRule="auto"/>
        <w:jc w:val="both"/>
        <w:rPr>
          <w:rFonts w:ascii="Calibri" w:eastAsia="Calibri" w:hAnsi="Calibri" w:cs="Arial"/>
        </w:rPr>
      </w:pPr>
      <w:r>
        <w:rPr>
          <w:rFonts w:ascii="Calibri" w:eastAsia="Calibri" w:hAnsi="Calibri" w:cs="Arial"/>
        </w:rPr>
        <w:t xml:space="preserve">A third finding that is unusual in the present study is that the conservative and </w:t>
      </w:r>
      <w:r w:rsidR="003A519C">
        <w:rPr>
          <w:rFonts w:ascii="Calibri" w:eastAsia="Calibri" w:hAnsi="Calibri" w:cs="Arial"/>
        </w:rPr>
        <w:t xml:space="preserve">social democratic </w:t>
      </w:r>
      <w:r>
        <w:rPr>
          <w:rFonts w:ascii="Calibri" w:eastAsia="Calibri" w:hAnsi="Calibri" w:cs="Arial"/>
        </w:rPr>
        <w:t xml:space="preserve">clusters are more similar to one another than either is to the SE/M. </w:t>
      </w:r>
      <w:r w:rsidR="003A519C">
        <w:rPr>
          <w:rFonts w:ascii="Calibri" w:eastAsia="Calibri" w:hAnsi="Calibri" w:cs="Arial"/>
        </w:rPr>
        <w:t>Saint-Arnaud and Bernard (2003, p.512)</w:t>
      </w:r>
      <w:r w:rsidR="00BC70D3">
        <w:rPr>
          <w:rFonts w:ascii="Calibri" w:eastAsia="Calibri" w:hAnsi="Calibri" w:cs="Arial"/>
        </w:rPr>
        <w:t>, for example,</w:t>
      </w:r>
      <w:r w:rsidR="003A519C">
        <w:rPr>
          <w:rFonts w:ascii="Calibri" w:eastAsia="Calibri" w:hAnsi="Calibri" w:cs="Arial"/>
        </w:rPr>
        <w:t xml:space="preserve"> find that the conservative countries (Belgium, France, Germany and Austria) are more similar to the “Latin countries” (Spain, Italy, Greece and Portugal) than either regime is to any other regime. </w:t>
      </w:r>
      <w:r w:rsidR="00387FAF">
        <w:rPr>
          <w:rFonts w:ascii="Calibri" w:eastAsia="Calibri" w:hAnsi="Calibri" w:cs="Arial"/>
        </w:rPr>
        <w:t xml:space="preserve">They point out that their result is </w:t>
      </w:r>
      <w:r w:rsidR="00CA2002">
        <w:rPr>
          <w:rFonts w:ascii="Calibri" w:eastAsia="Calibri" w:hAnsi="Calibri" w:cs="Arial"/>
        </w:rPr>
        <w:t>consistent with Esping-Andersen (1999).</w:t>
      </w:r>
      <w:r w:rsidR="00387FAF">
        <w:rPr>
          <w:rFonts w:ascii="Calibri" w:eastAsia="Calibri" w:hAnsi="Calibri" w:cs="Arial"/>
        </w:rPr>
        <w:t xml:space="preserve"> The SE/M finding in the present study is of course in direct contrast to either </w:t>
      </w:r>
      <w:r w:rsidR="00387FAF">
        <w:rPr>
          <w:rFonts w:ascii="Calibri" w:eastAsia="Calibri" w:hAnsi="Calibri" w:cs="Arial"/>
          <w:i/>
          <w:iCs/>
        </w:rPr>
        <w:t xml:space="preserve">TWWC </w:t>
      </w:r>
      <w:r w:rsidR="00387FAF">
        <w:rPr>
          <w:rFonts w:ascii="Calibri" w:eastAsia="Calibri" w:hAnsi="Calibri" w:cs="Arial"/>
        </w:rPr>
        <w:t xml:space="preserve">or </w:t>
      </w:r>
      <w:r w:rsidR="00387FAF">
        <w:rPr>
          <w:rFonts w:ascii="Calibri" w:eastAsia="Calibri" w:hAnsi="Calibri" w:cs="Arial"/>
          <w:i/>
          <w:iCs/>
        </w:rPr>
        <w:t>SFPC</w:t>
      </w:r>
      <w:r w:rsidR="00387FAF">
        <w:rPr>
          <w:rFonts w:ascii="Calibri" w:eastAsia="Calibri" w:hAnsi="Calibri" w:cs="Arial"/>
        </w:rPr>
        <w:t>.</w:t>
      </w:r>
    </w:p>
    <w:p w:rsidR="008F4F56" w:rsidRDefault="00AB75DA" w:rsidP="00FC3EF5">
      <w:pPr>
        <w:spacing w:line="360" w:lineRule="auto"/>
        <w:jc w:val="both"/>
        <w:rPr>
          <w:rFonts w:ascii="Calibri" w:eastAsia="Calibri" w:hAnsi="Calibri" w:cs="Arial"/>
          <w:b/>
          <w:bCs/>
        </w:rPr>
      </w:pPr>
      <w:r>
        <w:rPr>
          <w:rFonts w:ascii="Calibri" w:eastAsia="Calibri" w:hAnsi="Calibri" w:cs="Arial"/>
          <w:b/>
          <w:bCs/>
        </w:rPr>
        <w:t>6</w:t>
      </w:r>
      <w:r w:rsidR="008F4F56">
        <w:rPr>
          <w:rFonts w:ascii="Calibri" w:eastAsia="Calibri" w:hAnsi="Calibri" w:cs="Arial"/>
          <w:b/>
          <w:bCs/>
        </w:rPr>
        <w:t xml:space="preserve"> Conclusion</w:t>
      </w:r>
    </w:p>
    <w:p w:rsidR="00516B5E" w:rsidRPr="00536641" w:rsidRDefault="00516B5E" w:rsidP="00E32A33">
      <w:pPr>
        <w:spacing w:line="360" w:lineRule="auto"/>
        <w:jc w:val="both"/>
        <w:rPr>
          <w:rFonts w:ascii="Calibri" w:eastAsia="Calibri" w:hAnsi="Calibri" w:cs="Arial"/>
        </w:rPr>
      </w:pPr>
      <w:r>
        <w:rPr>
          <w:rFonts w:ascii="Calibri" w:eastAsia="Calibri" w:hAnsi="Calibri" w:cs="Arial"/>
        </w:rPr>
        <w:t xml:space="preserve">The first question addressed in this paper is whether </w:t>
      </w:r>
      <w:r w:rsidR="00536641">
        <w:rPr>
          <w:rFonts w:ascii="Calibri" w:eastAsia="Calibri" w:hAnsi="Calibri" w:cs="Arial"/>
        </w:rPr>
        <w:t xml:space="preserve">SE/M should </w:t>
      </w:r>
      <w:r w:rsidR="0052150B">
        <w:rPr>
          <w:rFonts w:ascii="Calibri" w:eastAsia="Calibri" w:hAnsi="Calibri" w:cs="Arial"/>
        </w:rPr>
        <w:t xml:space="preserve">be considered a separate welfare regime. </w:t>
      </w:r>
      <w:r>
        <w:rPr>
          <w:rFonts w:ascii="Calibri" w:eastAsia="Calibri" w:hAnsi="Calibri" w:cs="Arial"/>
        </w:rPr>
        <w:t xml:space="preserve">The results of the analysis strongly </w:t>
      </w:r>
      <w:r w:rsidR="00E32A33">
        <w:rPr>
          <w:rFonts w:ascii="Calibri" w:eastAsia="Calibri" w:hAnsi="Calibri" w:cs="Arial"/>
        </w:rPr>
        <w:t>suggest they should</w:t>
      </w:r>
      <w:r>
        <w:rPr>
          <w:rFonts w:ascii="Calibri" w:eastAsia="Calibri" w:hAnsi="Calibri" w:cs="Arial"/>
        </w:rPr>
        <w:t xml:space="preserve">.  </w:t>
      </w:r>
      <w:r w:rsidR="0052150B">
        <w:rPr>
          <w:rFonts w:ascii="Calibri" w:eastAsia="Calibri" w:hAnsi="Calibri" w:cs="Arial"/>
        </w:rPr>
        <w:t xml:space="preserve">In this the paper is simply an additional one in a long stream of papers making the same argument.  However, the paper provides original evidence, and applies techniques not used before in this literature, to support the argument.  Also new to the literature </w:t>
      </w:r>
      <w:r>
        <w:rPr>
          <w:rFonts w:ascii="Calibri" w:eastAsia="Calibri" w:hAnsi="Calibri" w:cs="Arial"/>
        </w:rPr>
        <w:t xml:space="preserve">is the answer to the second question, namely </w:t>
      </w:r>
      <w:r w:rsidR="0052150B">
        <w:rPr>
          <w:rFonts w:ascii="Calibri" w:eastAsia="Calibri" w:hAnsi="Calibri" w:cs="Arial"/>
        </w:rPr>
        <w:t>that the SE/M should be considered not only separate from the conservative welfare regime but also in some sense more primary than the conservative welfare regime.  If the welfare regimes reflect the three welfare pillars, each regime supported mainly by a different pillar, then it follows from analyses in this paper that the family pillar is strongest in the SE/M countries and that therefore the SE/M is one of the first three worlds.  The conservative welfare regime, and not the SE/M, should then be considered the fourth.</w:t>
      </w:r>
      <w:r w:rsidR="00971F2B">
        <w:rPr>
          <w:rFonts w:ascii="Calibri" w:eastAsia="Calibri" w:hAnsi="Calibri" w:cs="Arial"/>
        </w:rPr>
        <w:t xml:space="preserve">  This argument is enhanced by the finding on the third question, that the difference (distance) </w:t>
      </w:r>
      <w:r w:rsidR="00971F2B">
        <w:rPr>
          <w:rFonts w:ascii="Calibri" w:eastAsia="Calibri" w:hAnsi="Calibri" w:cs="Arial"/>
        </w:rPr>
        <w:lastRenderedPageBreak/>
        <w:t xml:space="preserve">between the SE/M and the conservative cluster is greater than that between the conservative and the social democratic cluster. </w:t>
      </w:r>
    </w:p>
    <w:p w:rsidR="00971F2B" w:rsidRDefault="00971F2B" w:rsidP="00B469BF">
      <w:pPr>
        <w:spacing w:after="0" w:line="360" w:lineRule="auto"/>
        <w:jc w:val="both"/>
        <w:rPr>
          <w:rFonts w:ascii="Calibri" w:eastAsia="Calibri" w:hAnsi="Calibri" w:cs="Arial"/>
          <w:b/>
          <w:bCs/>
          <w:sz w:val="28"/>
          <w:szCs w:val="28"/>
        </w:rPr>
      </w:pPr>
    </w:p>
    <w:p w:rsidR="00B469BF" w:rsidRPr="00B469BF" w:rsidRDefault="00B469BF" w:rsidP="00B469BF">
      <w:pPr>
        <w:spacing w:after="0" w:line="360" w:lineRule="auto"/>
        <w:jc w:val="both"/>
        <w:rPr>
          <w:rFonts w:ascii="Calibri" w:eastAsia="Calibri" w:hAnsi="Calibri" w:cs="Arial"/>
          <w:b/>
          <w:bCs/>
          <w:sz w:val="28"/>
          <w:szCs w:val="28"/>
        </w:rPr>
      </w:pPr>
      <w:r w:rsidRPr="00B469BF">
        <w:rPr>
          <w:rFonts w:ascii="Calibri" w:eastAsia="Calibri" w:hAnsi="Calibri" w:cs="Arial"/>
          <w:b/>
          <w:bCs/>
          <w:sz w:val="28"/>
          <w:szCs w:val="28"/>
        </w:rPr>
        <w:t>References</w:t>
      </w:r>
    </w:p>
    <w:p w:rsidR="00C874CE" w:rsidRPr="00C874CE" w:rsidRDefault="00E25E25" w:rsidP="00C874CE">
      <w:pPr>
        <w:spacing w:after="0" w:line="360" w:lineRule="auto"/>
        <w:jc w:val="both"/>
        <w:rPr>
          <w:rFonts w:ascii="Calibri" w:eastAsia="Calibri" w:hAnsi="Calibri" w:cs="Arial"/>
        </w:rPr>
      </w:pPr>
      <w:r>
        <w:rPr>
          <w:rFonts w:ascii="Calibri" w:eastAsia="Calibri" w:hAnsi="Calibri" w:cs="Arial"/>
        </w:rPr>
        <w:t xml:space="preserve">Abu Sharkh, M. and Gough, I. (2010) </w:t>
      </w:r>
      <w:r w:rsidR="00C874CE">
        <w:rPr>
          <w:rFonts w:ascii="Calibri" w:eastAsia="Calibri" w:hAnsi="Calibri" w:cs="Arial"/>
        </w:rPr>
        <w:t xml:space="preserve">“Global welfare regimes: a cluster analysis”, </w:t>
      </w:r>
      <w:r w:rsidR="00C874CE" w:rsidRPr="00C874CE">
        <w:rPr>
          <w:rFonts w:ascii="Calibri" w:eastAsia="Calibri" w:hAnsi="Calibri" w:cs="Arial"/>
          <w:i/>
          <w:iCs/>
        </w:rPr>
        <w:t>Global Social Policy</w:t>
      </w:r>
      <w:r w:rsidR="00C874CE">
        <w:rPr>
          <w:rFonts w:ascii="Calibri" w:eastAsia="Calibri" w:hAnsi="Calibri" w:cs="Arial"/>
        </w:rPr>
        <w:t>,</w:t>
      </w:r>
      <w:r w:rsidR="00C874CE" w:rsidRPr="00C874CE">
        <w:rPr>
          <w:rFonts w:ascii="Calibri" w:eastAsia="Calibri" w:hAnsi="Calibri" w:cs="Arial"/>
          <w:i/>
          <w:iCs/>
        </w:rPr>
        <w:t xml:space="preserve"> </w:t>
      </w:r>
    </w:p>
    <w:p w:rsidR="00E25E25" w:rsidRDefault="00C874CE" w:rsidP="00C874CE">
      <w:pPr>
        <w:spacing w:after="0" w:line="360" w:lineRule="auto"/>
        <w:jc w:val="both"/>
        <w:rPr>
          <w:rFonts w:ascii="Calibri" w:eastAsia="Calibri" w:hAnsi="Calibri" w:cs="Arial"/>
        </w:rPr>
      </w:pPr>
      <w:r w:rsidRPr="00C874CE">
        <w:rPr>
          <w:rFonts w:ascii="Calibri" w:eastAsia="Calibri" w:hAnsi="Calibri" w:cs="Arial"/>
        </w:rPr>
        <w:t>10(1)</w:t>
      </w:r>
      <w:r>
        <w:rPr>
          <w:rFonts w:ascii="Calibri" w:eastAsia="Calibri" w:hAnsi="Calibri" w:cs="Arial"/>
        </w:rPr>
        <w:t>, 27–58.</w:t>
      </w:r>
    </w:p>
    <w:p w:rsidR="00C874CE" w:rsidRDefault="00C874CE" w:rsidP="00C874CE">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Allen, J. (2006) “Welfare regimes, welfare systems and housing in Southern Europe”, </w:t>
      </w:r>
      <w:r w:rsidRPr="00B469BF">
        <w:rPr>
          <w:rFonts w:ascii="Calibri" w:eastAsia="Calibri" w:hAnsi="Calibri" w:cs="Arial"/>
          <w:i/>
          <w:iCs/>
        </w:rPr>
        <w:t>European Journal of Housing Policy</w:t>
      </w:r>
      <w:r w:rsidRPr="00B469BF">
        <w:rPr>
          <w:rFonts w:ascii="Calibri" w:eastAsia="Calibri" w:hAnsi="Calibri" w:cs="Arial"/>
        </w:rPr>
        <w:t>, 6(3), 251–277.</w:t>
      </w:r>
    </w:p>
    <w:p w:rsidR="00B469BF" w:rsidRPr="00B469BF" w:rsidRDefault="00B469BF" w:rsidP="00B469BF">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Allen, J., Barlow, J., Leal, J., Maloutas, T., and Padovani, L. (2004) </w:t>
      </w:r>
      <w:r w:rsidRPr="00B469BF">
        <w:rPr>
          <w:rFonts w:ascii="Calibri" w:eastAsia="Calibri" w:hAnsi="Calibri" w:cs="Arial"/>
          <w:i/>
          <w:iCs/>
        </w:rPr>
        <w:t>Housing and welfare in Southern Europe</w:t>
      </w:r>
      <w:r w:rsidRPr="00B469BF">
        <w:rPr>
          <w:rFonts w:ascii="Calibri" w:eastAsia="Calibri" w:hAnsi="Calibri" w:cs="Arial"/>
        </w:rPr>
        <w:t>, London: Blackwell.</w:t>
      </w:r>
    </w:p>
    <w:p w:rsidR="00B469BF" w:rsidRPr="00B469BF" w:rsidRDefault="00B469BF" w:rsidP="00B469BF">
      <w:pPr>
        <w:spacing w:after="0" w:line="360" w:lineRule="auto"/>
        <w:jc w:val="both"/>
        <w:rPr>
          <w:rFonts w:ascii="Calibri" w:eastAsia="Calibri" w:hAnsi="Calibri" w:cs="Arial"/>
        </w:rPr>
      </w:pPr>
    </w:p>
    <w:p w:rsidR="00005349" w:rsidRDefault="00005349" w:rsidP="00005349">
      <w:pPr>
        <w:spacing w:after="0" w:line="360" w:lineRule="auto"/>
        <w:jc w:val="both"/>
        <w:rPr>
          <w:rFonts w:ascii="Calibri" w:eastAsia="Calibri" w:hAnsi="Calibri" w:cs="Arial"/>
        </w:rPr>
      </w:pPr>
      <w:r>
        <w:rPr>
          <w:rFonts w:ascii="Calibri" w:eastAsia="Calibri" w:hAnsi="Calibri" w:cs="Arial"/>
        </w:rPr>
        <w:t>Aspalter, C. (2011) “</w:t>
      </w:r>
      <w:r w:rsidRPr="00005349">
        <w:rPr>
          <w:rFonts w:ascii="Calibri" w:eastAsia="Calibri" w:hAnsi="Calibri" w:cs="Arial"/>
        </w:rPr>
        <w:t>The development of ideal-typical welfare regime theory</w:t>
      </w:r>
      <w:r>
        <w:rPr>
          <w:rFonts w:ascii="Calibri" w:eastAsia="Calibri" w:hAnsi="Calibri" w:cs="Arial"/>
        </w:rPr>
        <w:t xml:space="preserve">”, </w:t>
      </w:r>
      <w:r>
        <w:rPr>
          <w:rFonts w:ascii="Calibri" w:eastAsia="Calibri" w:hAnsi="Calibri" w:cs="Arial"/>
          <w:i/>
          <w:iCs/>
        </w:rPr>
        <w:t>International Social Work</w:t>
      </w:r>
      <w:r>
        <w:rPr>
          <w:rFonts w:ascii="Calibri" w:eastAsia="Calibri" w:hAnsi="Calibri" w:cs="Arial"/>
        </w:rPr>
        <w:t>, 54(6), 735-750.</w:t>
      </w:r>
    </w:p>
    <w:p w:rsidR="00005349" w:rsidRPr="00005349" w:rsidRDefault="00005349" w:rsidP="00005349">
      <w:pPr>
        <w:spacing w:after="0" w:line="360" w:lineRule="auto"/>
        <w:jc w:val="both"/>
        <w:rPr>
          <w:rFonts w:ascii="Calibri" w:eastAsia="Calibri" w:hAnsi="Calibri" w:cs="Arial"/>
        </w:rPr>
      </w:pPr>
    </w:p>
    <w:p w:rsidR="00D93A8D" w:rsidRDefault="00D93A8D" w:rsidP="00D93A8D">
      <w:pPr>
        <w:spacing w:after="0" w:line="360" w:lineRule="auto"/>
        <w:jc w:val="both"/>
        <w:rPr>
          <w:rFonts w:ascii="Calibri" w:eastAsia="Calibri" w:hAnsi="Calibri" w:cs="Arial"/>
        </w:rPr>
      </w:pPr>
      <w:r w:rsidRPr="00D93A8D">
        <w:rPr>
          <w:rFonts w:ascii="Calibri" w:eastAsia="Calibri" w:hAnsi="Calibri" w:cs="Arial"/>
        </w:rPr>
        <w:t>Bambra, C. (2007</w:t>
      </w:r>
      <w:r>
        <w:rPr>
          <w:rFonts w:ascii="Calibri" w:eastAsia="Calibri" w:hAnsi="Calibri" w:cs="Arial"/>
        </w:rPr>
        <w:t>)</w:t>
      </w:r>
      <w:r w:rsidRPr="00D93A8D">
        <w:rPr>
          <w:rFonts w:ascii="Calibri" w:eastAsia="Calibri" w:hAnsi="Calibri" w:cs="Arial"/>
        </w:rPr>
        <w:t xml:space="preserve"> </w:t>
      </w:r>
      <w:r>
        <w:rPr>
          <w:rFonts w:ascii="Calibri" w:eastAsia="Calibri" w:hAnsi="Calibri" w:cs="Arial"/>
        </w:rPr>
        <w:t>“</w:t>
      </w:r>
      <w:r w:rsidRPr="00D93A8D">
        <w:rPr>
          <w:rFonts w:ascii="Calibri" w:eastAsia="Calibri" w:hAnsi="Calibri" w:cs="Arial"/>
        </w:rPr>
        <w:t>De-familisation and welfare state regimes: a cluster analysis</w:t>
      </w:r>
      <w:r>
        <w:rPr>
          <w:rFonts w:ascii="Calibri" w:eastAsia="Calibri" w:hAnsi="Calibri" w:cs="Arial"/>
        </w:rPr>
        <w:t>”</w:t>
      </w:r>
      <w:r w:rsidRPr="00D93A8D">
        <w:rPr>
          <w:rFonts w:ascii="Calibri" w:eastAsia="Calibri" w:hAnsi="Calibri" w:cs="Arial"/>
        </w:rPr>
        <w:t>,</w:t>
      </w:r>
      <w:r>
        <w:rPr>
          <w:rFonts w:ascii="Calibri" w:eastAsia="Calibri" w:hAnsi="Calibri" w:cs="Arial"/>
        </w:rPr>
        <w:t xml:space="preserve"> </w:t>
      </w:r>
      <w:r w:rsidRPr="00D93A8D">
        <w:rPr>
          <w:rFonts w:ascii="Calibri" w:eastAsia="Calibri" w:hAnsi="Calibri" w:cs="Arial"/>
          <w:i/>
          <w:iCs/>
        </w:rPr>
        <w:t>International Journal of Social Welfare</w:t>
      </w:r>
      <w:r w:rsidRPr="00D93A8D">
        <w:rPr>
          <w:rFonts w:ascii="Calibri" w:eastAsia="Calibri" w:hAnsi="Calibri" w:cs="Arial"/>
        </w:rPr>
        <w:t>, 16</w:t>
      </w:r>
      <w:r>
        <w:rPr>
          <w:rFonts w:ascii="Calibri" w:eastAsia="Calibri" w:hAnsi="Calibri" w:cs="Arial"/>
        </w:rPr>
        <w:t>(</w:t>
      </w:r>
      <w:r w:rsidRPr="00D93A8D">
        <w:rPr>
          <w:rFonts w:ascii="Calibri" w:eastAsia="Calibri" w:hAnsi="Calibri" w:cs="Arial"/>
        </w:rPr>
        <w:t>4</w:t>
      </w:r>
      <w:r>
        <w:rPr>
          <w:rFonts w:ascii="Calibri" w:eastAsia="Calibri" w:hAnsi="Calibri" w:cs="Arial"/>
        </w:rPr>
        <w:t>),</w:t>
      </w:r>
      <w:r w:rsidRPr="00D93A8D">
        <w:rPr>
          <w:rFonts w:ascii="Calibri" w:eastAsia="Calibri" w:hAnsi="Calibri" w:cs="Arial"/>
        </w:rPr>
        <w:t xml:space="preserve"> 326–38.</w:t>
      </w:r>
    </w:p>
    <w:p w:rsidR="004B4B8E" w:rsidRDefault="004B4B8E" w:rsidP="00D93A8D">
      <w:pPr>
        <w:spacing w:after="0" w:line="360" w:lineRule="auto"/>
        <w:jc w:val="both"/>
        <w:rPr>
          <w:rFonts w:ascii="Calibri" w:eastAsia="Calibri" w:hAnsi="Calibri" w:cs="Arial"/>
        </w:rPr>
      </w:pPr>
    </w:p>
    <w:p w:rsidR="004B4B8E" w:rsidRPr="004B4B8E" w:rsidRDefault="004B4B8E" w:rsidP="004B4B8E">
      <w:pPr>
        <w:spacing w:after="0" w:line="360" w:lineRule="auto"/>
        <w:jc w:val="both"/>
        <w:rPr>
          <w:rFonts w:ascii="Calibri" w:eastAsia="Calibri" w:hAnsi="Calibri" w:cs="Arial"/>
        </w:rPr>
      </w:pPr>
      <w:r w:rsidRPr="004B4B8E">
        <w:rPr>
          <w:rFonts w:ascii="Calibri" w:eastAsia="Calibri" w:hAnsi="Calibri" w:cs="Arial"/>
        </w:rPr>
        <w:t xml:space="preserve">Barlow, J. and Duncan, S. (1994), </w:t>
      </w:r>
      <w:r w:rsidRPr="004B4B8E">
        <w:rPr>
          <w:rFonts w:ascii="Calibri" w:eastAsia="Calibri" w:hAnsi="Calibri" w:cs="Arial"/>
          <w:bCs/>
          <w:i/>
        </w:rPr>
        <w:t>Success and Failure in Housing Provision, European Systems Compared</w:t>
      </w:r>
      <w:r w:rsidRPr="004B4B8E">
        <w:rPr>
          <w:rFonts w:ascii="Calibri" w:eastAsia="Calibri" w:hAnsi="Calibri" w:cs="Arial"/>
        </w:rPr>
        <w:t>, Oxford/New York: Elsevier.</w:t>
      </w:r>
    </w:p>
    <w:p w:rsidR="00D93A8D" w:rsidRDefault="00D93A8D" w:rsidP="00D93A8D">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Böhnke, P. (2008) “Are the poor socially integrated? The link between poverty and social support in different welfare regimes”, </w:t>
      </w:r>
      <w:r w:rsidRPr="00B469BF">
        <w:rPr>
          <w:rFonts w:ascii="Calibri" w:eastAsia="Calibri" w:hAnsi="Calibri" w:cs="Arial"/>
          <w:i/>
        </w:rPr>
        <w:t>Journal of European Social Policy</w:t>
      </w:r>
      <w:r w:rsidRPr="00B469BF">
        <w:rPr>
          <w:rFonts w:ascii="Calibri" w:eastAsia="Calibri" w:hAnsi="Calibri" w:cs="Arial"/>
        </w:rPr>
        <w:t xml:space="preserve">, </w:t>
      </w:r>
      <w:r w:rsidRPr="00B469BF">
        <w:rPr>
          <w:rFonts w:ascii="Calibri" w:eastAsia="Calibri" w:hAnsi="Calibri" w:cs="Arial"/>
          <w:i/>
        </w:rPr>
        <w:t>18</w:t>
      </w:r>
      <w:r w:rsidRPr="00B469BF">
        <w:rPr>
          <w:rFonts w:ascii="Calibri" w:eastAsia="Calibri" w:hAnsi="Calibri" w:cs="Arial"/>
        </w:rPr>
        <w:t xml:space="preserve">(2), 133-150. </w:t>
      </w:r>
    </w:p>
    <w:p w:rsidR="00B469BF" w:rsidRPr="00B469BF" w:rsidRDefault="00B469BF" w:rsidP="00B469BF">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Bonoli, G. (1997) “Classifying welfare-states: A two-dimension approach”, </w:t>
      </w:r>
      <w:r w:rsidRPr="00B469BF">
        <w:rPr>
          <w:rFonts w:ascii="Calibri" w:eastAsia="Calibri" w:hAnsi="Calibri" w:cs="Arial"/>
          <w:i/>
          <w:iCs/>
        </w:rPr>
        <w:t>Journal of Social Policy</w:t>
      </w:r>
      <w:r w:rsidRPr="00B469BF">
        <w:rPr>
          <w:rFonts w:ascii="Calibri" w:eastAsia="Calibri" w:hAnsi="Calibri" w:cs="Arial"/>
        </w:rPr>
        <w:t>, 26(3), 351–372.</w:t>
      </w:r>
    </w:p>
    <w:p w:rsidR="00B469BF" w:rsidRPr="00B469BF" w:rsidRDefault="00B469BF" w:rsidP="00B469BF">
      <w:pPr>
        <w:spacing w:after="0" w:line="360" w:lineRule="auto"/>
        <w:jc w:val="both"/>
        <w:rPr>
          <w:rFonts w:ascii="Calibri" w:eastAsia="Calibri" w:hAnsi="Calibri" w:cs="Arial"/>
        </w:rPr>
      </w:pPr>
    </w:p>
    <w:p w:rsidR="00A147D8" w:rsidRDefault="00A147D8" w:rsidP="00A147D8">
      <w:pPr>
        <w:spacing w:after="0" w:line="360" w:lineRule="auto"/>
        <w:jc w:val="both"/>
        <w:rPr>
          <w:rFonts w:ascii="Calibri" w:eastAsia="Calibri" w:hAnsi="Calibri" w:cs="Arial"/>
        </w:rPr>
      </w:pPr>
      <w:r w:rsidRPr="00A147D8">
        <w:rPr>
          <w:rFonts w:ascii="Calibri" w:eastAsia="Calibri" w:hAnsi="Calibri" w:cs="Arial"/>
        </w:rPr>
        <w:t>Boucher</w:t>
      </w:r>
      <w:r>
        <w:rPr>
          <w:rFonts w:ascii="Calibri" w:eastAsia="Calibri" w:hAnsi="Calibri" w:cs="Arial"/>
        </w:rPr>
        <w:t>, G. and</w:t>
      </w:r>
      <w:r w:rsidRPr="00A147D8">
        <w:rPr>
          <w:rFonts w:ascii="Calibri" w:eastAsia="Calibri" w:hAnsi="Calibri" w:cs="Arial"/>
        </w:rPr>
        <w:t xml:space="preserve"> Collins</w:t>
      </w:r>
      <w:r>
        <w:rPr>
          <w:rFonts w:ascii="Calibri" w:eastAsia="Calibri" w:hAnsi="Calibri" w:cs="Arial"/>
        </w:rPr>
        <w:t>, G. (2003)</w:t>
      </w:r>
      <w:r w:rsidRPr="00A147D8">
        <w:rPr>
          <w:rFonts w:ascii="Calibri" w:eastAsia="Calibri" w:hAnsi="Calibri" w:cs="Arial"/>
        </w:rPr>
        <w:t xml:space="preserve"> </w:t>
      </w:r>
      <w:r>
        <w:rPr>
          <w:rFonts w:ascii="Calibri" w:eastAsia="Calibri" w:hAnsi="Calibri" w:cs="Arial"/>
        </w:rPr>
        <w:t>“</w:t>
      </w:r>
      <w:r w:rsidRPr="00A147D8">
        <w:rPr>
          <w:rFonts w:ascii="Calibri" w:eastAsia="Calibri" w:hAnsi="Calibri" w:cs="Arial"/>
        </w:rPr>
        <w:t>Having One's Cake and</w:t>
      </w:r>
      <w:r>
        <w:rPr>
          <w:rFonts w:ascii="Calibri" w:eastAsia="Calibri" w:hAnsi="Calibri" w:cs="Arial"/>
        </w:rPr>
        <w:t xml:space="preserve"> </w:t>
      </w:r>
      <w:r w:rsidRPr="00A147D8">
        <w:rPr>
          <w:rFonts w:ascii="Calibri" w:eastAsia="Calibri" w:hAnsi="Calibri" w:cs="Arial"/>
        </w:rPr>
        <w:t>Being Eaten too: Irish Neo-liberal Corporatism</w:t>
      </w:r>
      <w:r>
        <w:rPr>
          <w:rFonts w:ascii="Calibri" w:eastAsia="Calibri" w:hAnsi="Calibri" w:cs="Arial"/>
        </w:rPr>
        <w:t>”</w:t>
      </w:r>
      <w:r w:rsidRPr="00A147D8">
        <w:rPr>
          <w:rFonts w:ascii="Calibri" w:eastAsia="Calibri" w:hAnsi="Calibri" w:cs="Arial"/>
        </w:rPr>
        <w:t xml:space="preserve">, </w:t>
      </w:r>
      <w:r w:rsidRPr="00A147D8">
        <w:rPr>
          <w:rFonts w:ascii="Calibri" w:eastAsia="Calibri" w:hAnsi="Calibri" w:cs="Arial"/>
          <w:i/>
          <w:iCs/>
        </w:rPr>
        <w:t>Review of Social Economy</w:t>
      </w:r>
      <w:r>
        <w:rPr>
          <w:rFonts w:ascii="Calibri" w:eastAsia="Calibri" w:hAnsi="Calibri" w:cs="Arial"/>
        </w:rPr>
        <w:t>, 61(</w:t>
      </w:r>
      <w:r w:rsidRPr="00A147D8">
        <w:rPr>
          <w:rFonts w:ascii="Calibri" w:eastAsia="Calibri" w:hAnsi="Calibri" w:cs="Arial"/>
        </w:rPr>
        <w:t>3</w:t>
      </w:r>
      <w:r>
        <w:rPr>
          <w:rFonts w:ascii="Calibri" w:eastAsia="Calibri" w:hAnsi="Calibri" w:cs="Arial"/>
        </w:rPr>
        <w:t>)</w:t>
      </w:r>
      <w:r w:rsidRPr="00A147D8">
        <w:rPr>
          <w:rFonts w:ascii="Calibri" w:eastAsia="Calibri" w:hAnsi="Calibri" w:cs="Arial"/>
        </w:rPr>
        <w:t>,</w:t>
      </w:r>
      <w:r>
        <w:rPr>
          <w:rFonts w:ascii="Calibri" w:eastAsia="Calibri" w:hAnsi="Calibri" w:cs="Arial"/>
        </w:rPr>
        <w:t xml:space="preserve"> </w:t>
      </w:r>
      <w:r w:rsidRPr="00A147D8">
        <w:rPr>
          <w:rFonts w:ascii="Calibri" w:eastAsia="Calibri" w:hAnsi="Calibri" w:cs="Arial"/>
        </w:rPr>
        <w:t>295-316</w:t>
      </w:r>
      <w:r>
        <w:rPr>
          <w:rFonts w:ascii="Calibri" w:eastAsia="Calibri" w:hAnsi="Calibri" w:cs="Arial"/>
        </w:rPr>
        <w:t>.</w:t>
      </w:r>
    </w:p>
    <w:p w:rsidR="00A147D8" w:rsidRDefault="00A147D8" w:rsidP="00A147D8">
      <w:pPr>
        <w:spacing w:after="0" w:line="360" w:lineRule="auto"/>
        <w:jc w:val="both"/>
        <w:rPr>
          <w:rFonts w:ascii="Calibri" w:eastAsia="Calibri" w:hAnsi="Calibri" w:cs="Arial"/>
        </w:rPr>
      </w:pPr>
    </w:p>
    <w:p w:rsidR="006E55A0" w:rsidRDefault="006E55A0" w:rsidP="006E55A0">
      <w:pPr>
        <w:spacing w:after="0" w:line="360" w:lineRule="auto"/>
        <w:jc w:val="both"/>
        <w:rPr>
          <w:rFonts w:ascii="Calibri" w:eastAsia="Calibri" w:hAnsi="Calibri" w:cs="Arial"/>
        </w:rPr>
      </w:pPr>
      <w:r>
        <w:rPr>
          <w:rFonts w:ascii="Calibri" w:eastAsia="Calibri" w:hAnsi="Calibri" w:cs="Arial"/>
          <w:lang w:val="en-GB"/>
        </w:rPr>
        <w:t>Castles, F.G. and Obinger, H. (2008) “</w:t>
      </w:r>
      <w:r w:rsidRPr="006E55A0">
        <w:rPr>
          <w:rFonts w:ascii="Calibri" w:eastAsia="Calibri" w:hAnsi="Calibri" w:cs="Arial"/>
        </w:rPr>
        <w:t xml:space="preserve">Worlds, </w:t>
      </w:r>
      <w:r>
        <w:rPr>
          <w:rFonts w:ascii="Calibri" w:eastAsia="Calibri" w:hAnsi="Calibri" w:cs="Arial"/>
        </w:rPr>
        <w:t>f</w:t>
      </w:r>
      <w:r w:rsidRPr="006E55A0">
        <w:rPr>
          <w:rFonts w:ascii="Calibri" w:eastAsia="Calibri" w:hAnsi="Calibri" w:cs="Arial"/>
        </w:rPr>
        <w:t xml:space="preserve">amilies, </w:t>
      </w:r>
      <w:r>
        <w:rPr>
          <w:rFonts w:ascii="Calibri" w:eastAsia="Calibri" w:hAnsi="Calibri" w:cs="Arial"/>
        </w:rPr>
        <w:t>r</w:t>
      </w:r>
      <w:r w:rsidRPr="006E55A0">
        <w:rPr>
          <w:rFonts w:ascii="Calibri" w:eastAsia="Calibri" w:hAnsi="Calibri" w:cs="Arial"/>
        </w:rPr>
        <w:t>egimes: Country</w:t>
      </w:r>
      <w:r>
        <w:rPr>
          <w:rFonts w:ascii="Calibri" w:eastAsia="Calibri" w:hAnsi="Calibri" w:cs="Arial"/>
        </w:rPr>
        <w:t xml:space="preserve"> c</w:t>
      </w:r>
      <w:r w:rsidRPr="006E55A0">
        <w:rPr>
          <w:rFonts w:ascii="Calibri" w:eastAsia="Calibri" w:hAnsi="Calibri" w:cs="Arial"/>
        </w:rPr>
        <w:t>lusters in European and OECD</w:t>
      </w:r>
      <w:r>
        <w:rPr>
          <w:rFonts w:ascii="Calibri" w:eastAsia="Calibri" w:hAnsi="Calibri" w:cs="Arial"/>
        </w:rPr>
        <w:t xml:space="preserve"> a</w:t>
      </w:r>
      <w:r w:rsidRPr="006E55A0">
        <w:rPr>
          <w:rFonts w:ascii="Calibri" w:eastAsia="Calibri" w:hAnsi="Calibri" w:cs="Arial"/>
        </w:rPr>
        <w:t xml:space="preserve">rea </w:t>
      </w:r>
      <w:r>
        <w:rPr>
          <w:rFonts w:ascii="Calibri" w:eastAsia="Calibri" w:hAnsi="Calibri" w:cs="Arial"/>
        </w:rPr>
        <w:t>p</w:t>
      </w:r>
      <w:r w:rsidRPr="006E55A0">
        <w:rPr>
          <w:rFonts w:ascii="Calibri" w:eastAsia="Calibri" w:hAnsi="Calibri" w:cs="Arial"/>
        </w:rPr>
        <w:t xml:space="preserve">ublic </w:t>
      </w:r>
      <w:r>
        <w:rPr>
          <w:rFonts w:ascii="Calibri" w:eastAsia="Calibri" w:hAnsi="Calibri" w:cs="Arial"/>
        </w:rPr>
        <w:t>p</w:t>
      </w:r>
      <w:r w:rsidRPr="006E55A0">
        <w:rPr>
          <w:rFonts w:ascii="Calibri" w:eastAsia="Calibri" w:hAnsi="Calibri" w:cs="Arial"/>
        </w:rPr>
        <w:t>olicy</w:t>
      </w:r>
      <w:r>
        <w:rPr>
          <w:rFonts w:ascii="Calibri" w:eastAsia="Calibri" w:hAnsi="Calibri" w:cs="Arial"/>
        </w:rPr>
        <w:t xml:space="preserve">”, </w:t>
      </w:r>
      <w:r>
        <w:rPr>
          <w:rFonts w:ascii="Calibri" w:eastAsia="Calibri" w:hAnsi="Calibri" w:cs="Arial"/>
          <w:i/>
          <w:iCs/>
        </w:rPr>
        <w:t>West European Politics</w:t>
      </w:r>
      <w:r>
        <w:rPr>
          <w:rFonts w:ascii="Calibri" w:eastAsia="Calibri" w:hAnsi="Calibri" w:cs="Arial"/>
        </w:rPr>
        <w:t>, 31(1-2), 321-344.</w:t>
      </w:r>
    </w:p>
    <w:p w:rsidR="0004008C" w:rsidRDefault="0004008C" w:rsidP="0004008C">
      <w:pPr>
        <w:spacing w:after="0" w:line="360" w:lineRule="auto"/>
        <w:jc w:val="both"/>
        <w:rPr>
          <w:rFonts w:ascii="Calibri" w:eastAsia="Calibri" w:hAnsi="Calibri" w:cs="Arial"/>
        </w:rPr>
      </w:pPr>
    </w:p>
    <w:p w:rsidR="0004008C" w:rsidRPr="0004008C" w:rsidRDefault="0004008C" w:rsidP="0004008C">
      <w:pPr>
        <w:spacing w:after="0" w:line="360" w:lineRule="auto"/>
        <w:jc w:val="both"/>
        <w:rPr>
          <w:rFonts w:ascii="Calibri" w:eastAsia="Calibri" w:hAnsi="Calibri" w:cs="Arial"/>
          <w:b/>
          <w:bCs/>
        </w:rPr>
      </w:pPr>
      <w:r w:rsidRPr="0004008C">
        <w:rPr>
          <w:rFonts w:ascii="Calibri" w:eastAsia="Calibri" w:hAnsi="Calibri" w:cs="Arial"/>
        </w:rPr>
        <w:lastRenderedPageBreak/>
        <w:t xml:space="preserve">Eikemo, T.A., Bambra, C., Judge, K. and Ringdal, K. (2008) </w:t>
      </w:r>
      <w:r w:rsidRPr="0004008C">
        <w:rPr>
          <w:rFonts w:ascii="Calibri" w:eastAsia="Calibri" w:hAnsi="Calibri" w:cs="Arial"/>
          <w:b/>
          <w:bCs/>
        </w:rPr>
        <w:t>“</w:t>
      </w:r>
      <w:r w:rsidRPr="0004008C">
        <w:rPr>
          <w:rFonts w:ascii="Calibri" w:eastAsia="Calibri" w:hAnsi="Calibri" w:cs="Arial" w:hint="eastAsia"/>
        </w:rPr>
        <w:t>Welfare state regimes and differences in self-perceived health in Europe: A multilevel analysis</w:t>
      </w:r>
      <w:r w:rsidRPr="0004008C">
        <w:rPr>
          <w:rFonts w:ascii="Calibri" w:eastAsia="Calibri" w:hAnsi="Calibri" w:cs="Arial"/>
        </w:rPr>
        <w:t xml:space="preserve">”, </w:t>
      </w:r>
      <w:r w:rsidRPr="0004008C">
        <w:rPr>
          <w:rFonts w:ascii="Calibri" w:eastAsia="Calibri" w:hAnsi="Calibri" w:cs="Arial"/>
          <w:i/>
          <w:iCs/>
        </w:rPr>
        <w:t>Social Science and Medicine</w:t>
      </w:r>
      <w:r w:rsidRPr="0004008C">
        <w:rPr>
          <w:rFonts w:ascii="Calibri" w:eastAsia="Calibri" w:hAnsi="Calibri" w:cs="Arial"/>
        </w:rPr>
        <w:t>, 66(11), 2281-2295.</w:t>
      </w:r>
    </w:p>
    <w:p w:rsidR="006E55A0" w:rsidRPr="0004008C" w:rsidRDefault="006E55A0" w:rsidP="006E55A0">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lang w:val="en-GB"/>
        </w:rPr>
      </w:pPr>
      <w:r w:rsidRPr="00B469BF">
        <w:rPr>
          <w:rFonts w:ascii="Calibri" w:eastAsia="Calibri" w:hAnsi="Calibri" w:cs="Arial"/>
          <w:lang w:val="en-GB"/>
        </w:rPr>
        <w:t xml:space="preserve">Esping-Andersen, G. (1990) </w:t>
      </w:r>
      <w:r w:rsidRPr="00B469BF">
        <w:rPr>
          <w:rFonts w:ascii="Calibri" w:eastAsia="Calibri" w:hAnsi="Calibri" w:cs="Arial"/>
          <w:i/>
          <w:iCs/>
          <w:lang w:val="en-GB"/>
        </w:rPr>
        <w:t>The Three Worlds of Welfare Capitalism</w:t>
      </w:r>
      <w:r w:rsidRPr="00B469BF">
        <w:rPr>
          <w:rFonts w:ascii="Calibri" w:eastAsia="Calibri" w:hAnsi="Calibri" w:cs="Arial"/>
          <w:lang w:val="en-GB"/>
        </w:rPr>
        <w:t>, Cambridge: Polity Press.</w:t>
      </w:r>
    </w:p>
    <w:p w:rsidR="00B469BF" w:rsidRPr="00B469BF" w:rsidRDefault="00B469BF" w:rsidP="00B469BF">
      <w:pPr>
        <w:spacing w:after="0" w:line="360" w:lineRule="auto"/>
        <w:jc w:val="both"/>
        <w:rPr>
          <w:rFonts w:ascii="Calibri" w:eastAsia="Calibri" w:hAnsi="Calibri" w:cs="Arial"/>
          <w:lang w:val="en-GB"/>
        </w:rPr>
      </w:pPr>
      <w:r w:rsidRPr="00B469BF">
        <w:rPr>
          <w:rFonts w:ascii="Calibri" w:eastAsia="Calibri" w:hAnsi="Calibri" w:cs="Arial"/>
          <w:lang w:val="en-GB"/>
        </w:rPr>
        <w:t xml:space="preserve">Esping-Andersen, G. (1999) </w:t>
      </w:r>
      <w:r w:rsidRPr="00B469BF">
        <w:rPr>
          <w:rFonts w:ascii="Calibri" w:eastAsia="Calibri" w:hAnsi="Calibri" w:cs="Arial"/>
          <w:i/>
          <w:iCs/>
          <w:lang w:val="en-GB"/>
        </w:rPr>
        <w:t>Social Foundations of Postindustrial Economies</w:t>
      </w:r>
      <w:r w:rsidRPr="00B469BF">
        <w:rPr>
          <w:rFonts w:ascii="Calibri" w:eastAsia="Calibri" w:hAnsi="Calibri" w:cs="Arial"/>
          <w:lang w:val="en-GB"/>
        </w:rPr>
        <w:t>, Oxford: Oxford University Press.</w:t>
      </w:r>
    </w:p>
    <w:p w:rsidR="00B469BF" w:rsidRPr="00B469BF" w:rsidRDefault="00B469BF" w:rsidP="00B469BF">
      <w:pPr>
        <w:spacing w:after="0" w:line="360" w:lineRule="auto"/>
        <w:jc w:val="both"/>
        <w:rPr>
          <w:rFonts w:ascii="Calibri" w:eastAsia="Calibri" w:hAnsi="Calibri" w:cs="Arial"/>
          <w:lang w:val="en-GB"/>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Esping-Andersen, G. (1995) “Welfare States Without Work: The Impasse of Labor Shedding and Familialism in Continental European Social Policy”, Working Paper, available from </w:t>
      </w:r>
      <w:hyperlink r:id="rId18" w:history="1">
        <w:r w:rsidRPr="00B469BF">
          <w:rPr>
            <w:rFonts w:ascii="Calibri" w:eastAsia="Calibri" w:hAnsi="Calibri" w:cs="Arial"/>
            <w:color w:val="0000FF"/>
            <w:u w:val="single"/>
          </w:rPr>
          <w:t>http://www.march.es/ceacs/publicaciones/working/archivos/1995_71.pdf</w:t>
        </w:r>
      </w:hyperlink>
      <w:r w:rsidRPr="00B469BF">
        <w:rPr>
          <w:rFonts w:ascii="Calibri" w:eastAsia="Calibri" w:hAnsi="Calibri" w:cs="Arial"/>
        </w:rPr>
        <w:t>, accessed 22/08/2012.</w:t>
      </w:r>
    </w:p>
    <w:p w:rsidR="00B469BF" w:rsidRPr="00B469BF" w:rsidRDefault="00B469BF" w:rsidP="00B469BF">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Esping-Andersen, G. (1997) “Hybrid or Unique?: The Japanese Welfare State Between Europe and America”, </w:t>
      </w:r>
      <w:r w:rsidRPr="00B469BF">
        <w:rPr>
          <w:rFonts w:ascii="Calibri" w:eastAsia="Calibri" w:hAnsi="Calibri" w:cs="Arial"/>
          <w:i/>
          <w:iCs/>
        </w:rPr>
        <w:t>Journal of European Social Policy</w:t>
      </w:r>
      <w:r w:rsidRPr="00B469BF">
        <w:rPr>
          <w:rFonts w:ascii="Calibri" w:eastAsia="Calibri" w:hAnsi="Calibri" w:cs="Arial"/>
        </w:rPr>
        <w:t>, 7 (3): 179-189.</w:t>
      </w:r>
    </w:p>
    <w:p w:rsidR="0020084B" w:rsidRDefault="0020084B" w:rsidP="0020084B">
      <w:pPr>
        <w:spacing w:after="0" w:line="360" w:lineRule="auto"/>
        <w:jc w:val="both"/>
        <w:rPr>
          <w:rFonts w:ascii="Calibri" w:eastAsia="Calibri" w:hAnsi="Calibri" w:cs="Arial"/>
          <w:lang w:val="en-GB"/>
        </w:rPr>
      </w:pPr>
    </w:p>
    <w:p w:rsidR="0020084B" w:rsidRPr="0020084B" w:rsidRDefault="0020084B" w:rsidP="0020084B">
      <w:pPr>
        <w:spacing w:after="0" w:line="360" w:lineRule="auto"/>
        <w:jc w:val="both"/>
        <w:rPr>
          <w:rFonts w:ascii="Calibri" w:eastAsia="Calibri" w:hAnsi="Calibri" w:cs="Arial"/>
          <w:lang w:val="en-GB"/>
        </w:rPr>
      </w:pPr>
      <w:r w:rsidRPr="0020084B">
        <w:rPr>
          <w:rFonts w:ascii="Calibri" w:eastAsia="Calibri" w:hAnsi="Calibri" w:cs="Arial"/>
          <w:lang w:val="en-GB"/>
        </w:rPr>
        <w:t xml:space="preserve">Esping-Andersen, G. (1999) </w:t>
      </w:r>
      <w:r w:rsidRPr="0020084B">
        <w:rPr>
          <w:rFonts w:ascii="Calibri" w:eastAsia="Calibri" w:hAnsi="Calibri" w:cs="Arial"/>
          <w:i/>
          <w:iCs/>
          <w:lang w:val="en-GB"/>
        </w:rPr>
        <w:t>Social Foundations of Postindustrial Economies</w:t>
      </w:r>
      <w:r w:rsidRPr="0020084B">
        <w:rPr>
          <w:rFonts w:ascii="Calibri" w:eastAsia="Calibri" w:hAnsi="Calibri" w:cs="Arial"/>
          <w:lang w:val="en-GB"/>
        </w:rPr>
        <w:t>, Oxford: Oxford University Press.</w:t>
      </w:r>
    </w:p>
    <w:p w:rsidR="00B469BF" w:rsidRPr="0020084B" w:rsidRDefault="00B469BF" w:rsidP="00B469BF">
      <w:pPr>
        <w:spacing w:after="0" w:line="360" w:lineRule="auto"/>
        <w:jc w:val="both"/>
        <w:rPr>
          <w:rFonts w:ascii="Calibri" w:eastAsia="Calibri" w:hAnsi="Calibri" w:cs="Arial"/>
          <w:lang w:val="en-GB"/>
        </w:rPr>
      </w:pPr>
    </w:p>
    <w:p w:rsidR="00B469BF" w:rsidRPr="00B469BF" w:rsidRDefault="00B469BF" w:rsidP="00B469BF">
      <w:pPr>
        <w:spacing w:after="0" w:line="360" w:lineRule="auto"/>
        <w:jc w:val="both"/>
        <w:rPr>
          <w:rFonts w:ascii="Calibri" w:eastAsia="Calibri" w:hAnsi="Calibri" w:cs="Arial"/>
          <w:lang w:val="en-GB"/>
        </w:rPr>
      </w:pPr>
      <w:r w:rsidRPr="00B469BF">
        <w:rPr>
          <w:rFonts w:ascii="Calibri" w:eastAsia="Calibri" w:hAnsi="Calibri" w:cs="Arial"/>
          <w:lang w:val="en-GB"/>
        </w:rPr>
        <w:t xml:space="preserve">Esping-Andersen, G. (2000) “Interview on Postindustrialism and the Future of the Welfare State”, </w:t>
      </w:r>
      <w:r w:rsidRPr="00B469BF">
        <w:rPr>
          <w:rFonts w:ascii="Calibri" w:eastAsia="Calibri" w:hAnsi="Calibri" w:cs="Arial"/>
          <w:i/>
          <w:iCs/>
          <w:lang w:val="en-GB"/>
        </w:rPr>
        <w:t>Work, Employment and Society</w:t>
      </w:r>
      <w:r w:rsidRPr="00B469BF">
        <w:rPr>
          <w:rFonts w:ascii="Calibri" w:eastAsia="Calibri" w:hAnsi="Calibri" w:cs="Arial"/>
          <w:lang w:val="en-GB"/>
        </w:rPr>
        <w:t>, 14(4), 757-769.</w:t>
      </w:r>
    </w:p>
    <w:p w:rsidR="00B469BF" w:rsidRDefault="00B469BF" w:rsidP="00B469BF">
      <w:pPr>
        <w:spacing w:after="0" w:line="360" w:lineRule="auto"/>
        <w:jc w:val="both"/>
        <w:rPr>
          <w:rFonts w:ascii="Calibri" w:eastAsia="Calibri" w:hAnsi="Calibri" w:cs="Arial"/>
          <w:lang w:val="en-GB"/>
        </w:rPr>
      </w:pPr>
    </w:p>
    <w:p w:rsidR="0004008C" w:rsidRPr="0004008C" w:rsidRDefault="0004008C" w:rsidP="0004008C">
      <w:pPr>
        <w:spacing w:after="0" w:line="360" w:lineRule="auto"/>
        <w:jc w:val="both"/>
        <w:rPr>
          <w:rFonts w:ascii="Calibri" w:eastAsia="Calibri" w:hAnsi="Calibri" w:cs="Arial"/>
          <w:i/>
          <w:iCs/>
          <w:lang w:val="en-GB"/>
        </w:rPr>
      </w:pPr>
      <w:r w:rsidRPr="0004008C">
        <w:rPr>
          <w:rFonts w:ascii="Calibri" w:eastAsia="Calibri" w:hAnsi="Calibri" w:cs="Arial"/>
          <w:lang w:val="en-GB"/>
        </w:rPr>
        <w:t xml:space="preserve">Esping-Andersen, G. (2002) “A New Gender Contract”, in G. Esping-Andersen, D. Gallie, A. Hemerijk and J. Myles (eds) </w:t>
      </w:r>
      <w:r w:rsidRPr="0004008C">
        <w:rPr>
          <w:rFonts w:ascii="Calibri" w:eastAsia="Calibri" w:hAnsi="Calibri" w:cs="Arial"/>
          <w:i/>
          <w:iCs/>
          <w:lang w:val="en-GB"/>
        </w:rPr>
        <w:t>Why We Need a New Welfare State</w:t>
      </w:r>
      <w:r w:rsidRPr="0004008C">
        <w:rPr>
          <w:rFonts w:ascii="Calibri" w:eastAsia="Calibri" w:hAnsi="Calibri" w:cs="Arial"/>
          <w:lang w:val="en-GB"/>
        </w:rPr>
        <w:t>, Oxford: Oxford University Press, Ch.3.</w:t>
      </w:r>
    </w:p>
    <w:p w:rsidR="0004008C" w:rsidRPr="00B469BF" w:rsidRDefault="0004008C" w:rsidP="00B469BF">
      <w:pPr>
        <w:spacing w:after="0" w:line="360" w:lineRule="auto"/>
        <w:jc w:val="both"/>
        <w:rPr>
          <w:rFonts w:ascii="Calibri" w:eastAsia="Calibri" w:hAnsi="Calibri" w:cs="Arial"/>
          <w:lang w:val="en-GB"/>
        </w:rPr>
      </w:pPr>
    </w:p>
    <w:p w:rsidR="00B469BF" w:rsidRPr="00B469BF" w:rsidRDefault="00B469BF" w:rsidP="00B469BF">
      <w:pPr>
        <w:spacing w:after="0" w:line="360" w:lineRule="auto"/>
        <w:jc w:val="both"/>
        <w:rPr>
          <w:rFonts w:ascii="Calibri" w:eastAsia="Calibri" w:hAnsi="Calibri" w:cs="Arial"/>
          <w:lang w:val="en-GB"/>
        </w:rPr>
      </w:pPr>
      <w:r w:rsidRPr="00B469BF">
        <w:rPr>
          <w:rFonts w:ascii="Calibri" w:eastAsia="Calibri" w:hAnsi="Calibri" w:cs="Arial"/>
          <w:lang w:val="en-GB"/>
        </w:rPr>
        <w:t>Esping-Andersen, G. (2003) “Towards the Good Society, Once Again?” Paper presented at the 4</w:t>
      </w:r>
      <w:r w:rsidRPr="00B469BF">
        <w:rPr>
          <w:rFonts w:ascii="Calibri" w:eastAsia="Calibri" w:hAnsi="Calibri" w:cs="Arial"/>
          <w:vertAlign w:val="superscript"/>
          <w:lang w:val="en-GB"/>
        </w:rPr>
        <w:t>th</w:t>
      </w:r>
      <w:r w:rsidRPr="00B469BF">
        <w:rPr>
          <w:rFonts w:ascii="Calibri" w:eastAsia="Calibri" w:hAnsi="Calibri" w:cs="Arial"/>
          <w:lang w:val="en-GB"/>
        </w:rPr>
        <w:t xml:space="preserve"> International Research Conference on Social Security, Antwerp, 5-7 May. Accessed on 20/08/2012 from: </w:t>
      </w:r>
      <w:hyperlink r:id="rId19" w:history="1">
        <w:r w:rsidRPr="00B469BF">
          <w:rPr>
            <w:rFonts w:ascii="Calibri" w:eastAsia="Calibri" w:hAnsi="Calibri" w:cs="Arial"/>
            <w:color w:val="0000FF"/>
            <w:u w:val="single"/>
            <w:lang w:val="en-GB"/>
          </w:rPr>
          <w:t>http://www.issa.int/pdf/anvers03/keynotes/2esping.pdf</w:t>
        </w:r>
      </w:hyperlink>
      <w:r w:rsidRPr="00B469BF">
        <w:rPr>
          <w:rFonts w:ascii="Calibri" w:eastAsia="Calibri" w:hAnsi="Calibri" w:cs="Arial"/>
          <w:lang w:val="en-GB"/>
        </w:rPr>
        <w:t xml:space="preserve">. </w:t>
      </w:r>
    </w:p>
    <w:p w:rsidR="00B469BF" w:rsidRPr="00B469BF" w:rsidRDefault="00B469BF" w:rsidP="00B469BF">
      <w:pPr>
        <w:spacing w:after="0" w:line="360" w:lineRule="auto"/>
        <w:jc w:val="both"/>
        <w:rPr>
          <w:rFonts w:ascii="Calibri" w:eastAsia="Calibri" w:hAnsi="Calibri" w:cs="Arial"/>
          <w:lang w:val="en-GB"/>
        </w:rPr>
      </w:pPr>
    </w:p>
    <w:p w:rsidR="00B469BF" w:rsidRPr="00B469BF" w:rsidRDefault="00B469BF" w:rsidP="00B469BF">
      <w:pPr>
        <w:spacing w:after="0" w:line="360" w:lineRule="auto"/>
        <w:rPr>
          <w:rFonts w:ascii="Calibri" w:eastAsia="Calibri" w:hAnsi="Calibri" w:cs="Arial"/>
        </w:rPr>
      </w:pPr>
      <w:r w:rsidRPr="00B469BF">
        <w:rPr>
          <w:rFonts w:ascii="Calibri" w:eastAsia="Calibri" w:hAnsi="Calibri" w:cs="Arial"/>
        </w:rPr>
        <w:t xml:space="preserve">Eurobarometer (2011) </w:t>
      </w:r>
      <w:r w:rsidRPr="00B469BF">
        <w:rPr>
          <w:rFonts w:ascii="Calibri" w:eastAsia="Calibri" w:hAnsi="Calibri" w:cs="Arial"/>
          <w:i/>
          <w:iCs/>
        </w:rPr>
        <w:t>Corruption Report</w:t>
      </w:r>
      <w:r w:rsidRPr="00B469BF">
        <w:rPr>
          <w:rFonts w:ascii="Calibri" w:eastAsia="Calibri" w:hAnsi="Calibri" w:cs="Arial"/>
        </w:rPr>
        <w:t xml:space="preserve">, European Commission.  Available at </w:t>
      </w:r>
      <w:hyperlink r:id="rId20" w:history="1">
        <w:r w:rsidRPr="00B469BF">
          <w:rPr>
            <w:rFonts w:ascii="Calibri" w:eastAsia="Calibri" w:hAnsi="Calibri" w:cs="Arial"/>
            <w:color w:val="0000FF"/>
            <w:u w:val="single"/>
          </w:rPr>
          <w:t>http://ec.europa.eu/public_opinion/archives/ebs/ebs_374_en.pdf</w:t>
        </w:r>
      </w:hyperlink>
      <w:r w:rsidRPr="00B469BF">
        <w:rPr>
          <w:rFonts w:ascii="Calibri" w:eastAsia="Calibri" w:hAnsi="Calibri" w:cs="Arial"/>
        </w:rPr>
        <w:t>, accessed 29/08/2012.</w:t>
      </w:r>
    </w:p>
    <w:p w:rsidR="00B469BF" w:rsidRPr="00B469BF" w:rsidRDefault="00B469BF" w:rsidP="00B469BF">
      <w:pPr>
        <w:spacing w:after="0" w:line="360" w:lineRule="auto"/>
        <w:rPr>
          <w:rFonts w:ascii="Calibri" w:eastAsia="Calibri" w:hAnsi="Calibri" w:cs="Arial"/>
        </w:rPr>
      </w:pPr>
    </w:p>
    <w:p w:rsidR="00B469BF" w:rsidRPr="00B469BF" w:rsidRDefault="00B469BF" w:rsidP="00B469BF">
      <w:pPr>
        <w:spacing w:after="0" w:line="360" w:lineRule="auto"/>
        <w:rPr>
          <w:rFonts w:ascii="Calibri" w:eastAsia="Calibri" w:hAnsi="Calibri" w:cs="Arial"/>
        </w:rPr>
      </w:pPr>
      <w:r w:rsidRPr="00B469BF">
        <w:rPr>
          <w:rFonts w:ascii="Calibri" w:eastAsia="Calibri" w:hAnsi="Calibri" w:cs="Arial"/>
        </w:rPr>
        <w:t xml:space="preserve">European Social Survey (2008) Religious attendance, available from </w:t>
      </w:r>
      <w:hyperlink r:id="rId21" w:history="1">
        <w:r w:rsidRPr="00B469BF">
          <w:rPr>
            <w:rFonts w:ascii="Calibri" w:eastAsia="Calibri" w:hAnsi="Calibri" w:cs="Arial"/>
            <w:color w:val="0000FF"/>
            <w:u w:val="single"/>
          </w:rPr>
          <w:t>http://www.europeansocialsurvey.org/index.php?option=com_docman&amp;task=cat_view&amp;gid=169&amp;Itemid=80</w:t>
        </w:r>
      </w:hyperlink>
      <w:r w:rsidRPr="00B469BF">
        <w:rPr>
          <w:rFonts w:ascii="Calibri" w:eastAsia="Calibri" w:hAnsi="Calibri" w:cs="Arial"/>
        </w:rPr>
        <w:t>, accessed 27/08/2012.</w:t>
      </w:r>
    </w:p>
    <w:p w:rsidR="00B469BF" w:rsidRPr="00B469BF" w:rsidRDefault="00B469BF" w:rsidP="00B469BF">
      <w:pPr>
        <w:keepNext/>
        <w:keepLines/>
        <w:spacing w:after="0" w:line="360" w:lineRule="auto"/>
        <w:jc w:val="both"/>
        <w:rPr>
          <w:rFonts w:ascii="Calibri" w:eastAsia="Calibri" w:hAnsi="Calibri" w:cs="Arial"/>
        </w:rPr>
      </w:pPr>
    </w:p>
    <w:p w:rsidR="00B469BF" w:rsidRPr="00B469BF" w:rsidRDefault="00B469BF" w:rsidP="00B469BF">
      <w:pPr>
        <w:keepNext/>
        <w:keepLines/>
        <w:spacing w:after="0" w:line="360" w:lineRule="auto"/>
        <w:jc w:val="both"/>
        <w:rPr>
          <w:rFonts w:ascii="Calibri" w:eastAsia="Calibri" w:hAnsi="Calibri" w:cs="Arial"/>
          <w:color w:val="0000FF"/>
          <w:u w:val="single"/>
        </w:rPr>
      </w:pPr>
      <w:r w:rsidRPr="00B469BF">
        <w:rPr>
          <w:rFonts w:ascii="Calibri" w:eastAsia="Calibri" w:hAnsi="Calibri" w:cs="Arial"/>
        </w:rPr>
        <w:t xml:space="preserve">Eurostat (2011) Number of persons in households, accessed on 30/08/2012 from </w:t>
      </w:r>
      <w:hyperlink r:id="rId22" w:history="1">
        <w:r w:rsidRPr="00B469BF">
          <w:rPr>
            <w:rFonts w:ascii="Calibri" w:eastAsia="Calibri" w:hAnsi="Calibri" w:cs="Arial"/>
            <w:color w:val="0000FF"/>
            <w:u w:val="single"/>
          </w:rPr>
          <w:t>http://epp.eurostat.ec.europa.eu/tgm/table.do?tab=table&amp;init=1&amp;plugin=1&amp;language=en&amp;pcode=tsdpc510</w:t>
        </w:r>
      </w:hyperlink>
    </w:p>
    <w:p w:rsidR="00B469BF" w:rsidRPr="00B469BF" w:rsidRDefault="00B469BF" w:rsidP="00B469BF">
      <w:pPr>
        <w:keepNext/>
        <w:keepLines/>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Eurostat (2012) Labour market participation by sex and age, accessed on 30/08/2012 from: </w:t>
      </w:r>
      <w:hyperlink r:id="rId23" w:history="1">
        <w:r w:rsidRPr="00B469BF">
          <w:rPr>
            <w:rFonts w:ascii="Calibri" w:eastAsia="Calibri" w:hAnsi="Calibri" w:cs="Arial"/>
            <w:color w:val="0000FF"/>
            <w:u w:val="single"/>
          </w:rPr>
          <w:t>http://epp.eurostat.ec.europa.eu/statistics_explained/index.php/Labour_market_participation_by_sex_and_age</w:t>
        </w:r>
      </w:hyperlink>
      <w:r w:rsidRPr="00B469BF">
        <w:rPr>
          <w:rFonts w:ascii="Calibri" w:eastAsia="Calibri" w:hAnsi="Calibri" w:cs="Arial"/>
        </w:rPr>
        <w:t xml:space="preserve"> </w:t>
      </w:r>
    </w:p>
    <w:p w:rsidR="00B469BF" w:rsidRPr="00B469BF" w:rsidRDefault="00B469BF" w:rsidP="00B469BF">
      <w:pPr>
        <w:spacing w:after="0" w:line="360" w:lineRule="auto"/>
        <w:jc w:val="both"/>
        <w:rPr>
          <w:rFonts w:ascii="Calibri" w:eastAsia="Calibri" w:hAnsi="Calibri" w:cs="Arial"/>
        </w:rPr>
      </w:pPr>
    </w:p>
    <w:p w:rsidR="00BA48A3" w:rsidRPr="00B469BF" w:rsidRDefault="00BA48A3" w:rsidP="00BA48A3">
      <w:pPr>
        <w:spacing w:after="0" w:line="360" w:lineRule="auto"/>
        <w:jc w:val="both"/>
        <w:rPr>
          <w:rFonts w:ascii="Calibri" w:eastAsia="Calibri" w:hAnsi="Calibri" w:cs="Arial"/>
        </w:rPr>
      </w:pPr>
      <w:r w:rsidRPr="00BA48A3">
        <w:rPr>
          <w:rFonts w:ascii="Calibri" w:eastAsia="Calibri" w:hAnsi="Calibri" w:cs="Arial"/>
        </w:rPr>
        <w:t xml:space="preserve">Ferragina, E. and Seeleib-Kaiser, M. (2011), </w:t>
      </w:r>
      <w:r>
        <w:rPr>
          <w:rFonts w:ascii="Calibri" w:eastAsia="Calibri" w:hAnsi="Calibri" w:cs="Arial"/>
        </w:rPr>
        <w:t>“</w:t>
      </w:r>
      <w:r w:rsidRPr="00BA48A3">
        <w:rPr>
          <w:rFonts w:ascii="Calibri" w:eastAsia="Calibri" w:hAnsi="Calibri" w:cs="Arial"/>
        </w:rPr>
        <w:t>Welfare regime debate: past, present,</w:t>
      </w:r>
      <w:r>
        <w:rPr>
          <w:rFonts w:ascii="Calibri" w:eastAsia="Calibri" w:hAnsi="Calibri" w:cs="Arial"/>
        </w:rPr>
        <w:t xml:space="preserve"> </w:t>
      </w:r>
      <w:r w:rsidRPr="00BA48A3">
        <w:rPr>
          <w:rFonts w:ascii="Calibri" w:eastAsia="Calibri" w:hAnsi="Calibri" w:cs="Arial"/>
        </w:rPr>
        <w:t>futures?</w:t>
      </w:r>
      <w:r>
        <w:rPr>
          <w:rFonts w:ascii="Calibri" w:eastAsia="Calibri" w:hAnsi="Calibri" w:cs="Arial"/>
        </w:rPr>
        <w:t>”</w:t>
      </w:r>
      <w:r w:rsidRPr="00BA48A3">
        <w:rPr>
          <w:rFonts w:ascii="Calibri" w:eastAsia="Calibri" w:hAnsi="Calibri" w:cs="Arial"/>
        </w:rPr>
        <w:t xml:space="preserve"> </w:t>
      </w:r>
      <w:r w:rsidRPr="00BA48A3">
        <w:rPr>
          <w:rFonts w:ascii="Calibri" w:eastAsia="Calibri" w:hAnsi="Calibri" w:cs="Arial"/>
          <w:i/>
          <w:iCs/>
        </w:rPr>
        <w:t>Policy &amp; Politics</w:t>
      </w:r>
      <w:r w:rsidRPr="00BA48A3">
        <w:rPr>
          <w:rFonts w:ascii="Calibri" w:eastAsia="Calibri" w:hAnsi="Calibri" w:cs="Arial"/>
        </w:rPr>
        <w:t>, 39</w:t>
      </w:r>
      <w:r>
        <w:rPr>
          <w:rFonts w:ascii="Calibri" w:eastAsia="Calibri" w:hAnsi="Calibri" w:cs="Arial"/>
        </w:rPr>
        <w:t>(</w:t>
      </w:r>
      <w:r w:rsidRPr="00BA48A3">
        <w:rPr>
          <w:rFonts w:ascii="Calibri" w:eastAsia="Calibri" w:hAnsi="Calibri" w:cs="Arial"/>
        </w:rPr>
        <w:t>4</w:t>
      </w:r>
      <w:r>
        <w:rPr>
          <w:rFonts w:ascii="Calibri" w:eastAsia="Calibri" w:hAnsi="Calibri" w:cs="Arial"/>
        </w:rPr>
        <w:t>),</w:t>
      </w:r>
      <w:r w:rsidRPr="00BA48A3">
        <w:rPr>
          <w:rFonts w:ascii="Calibri" w:eastAsia="Calibri" w:hAnsi="Calibri" w:cs="Arial"/>
        </w:rPr>
        <w:t xml:space="preserve"> 583–611.</w:t>
      </w:r>
    </w:p>
    <w:p w:rsidR="00BA48A3" w:rsidRDefault="00BA48A3" w:rsidP="00B469BF">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Ferrera, M. (1996) “The southern model of welfare in social Europe”, </w:t>
      </w:r>
      <w:r w:rsidRPr="00B469BF">
        <w:rPr>
          <w:rFonts w:ascii="Calibri" w:eastAsia="Calibri" w:hAnsi="Calibri" w:cs="Arial"/>
          <w:i/>
          <w:iCs/>
        </w:rPr>
        <w:t>Journal of European Social Policy</w:t>
      </w:r>
      <w:r w:rsidRPr="00B469BF">
        <w:rPr>
          <w:rFonts w:ascii="Calibri" w:eastAsia="Calibri" w:hAnsi="Calibri" w:cs="Arial"/>
        </w:rPr>
        <w:t>, 6(1), 17–37.</w:t>
      </w:r>
    </w:p>
    <w:p w:rsidR="00B469BF" w:rsidRPr="00B469BF" w:rsidRDefault="00B469BF" w:rsidP="00B469BF">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 xml:space="preserve">Gal, J. (2010) “Is there an extended family of Mediterranean welfare states?”, </w:t>
      </w:r>
      <w:r w:rsidRPr="00B469BF">
        <w:rPr>
          <w:rFonts w:ascii="Calibri" w:eastAsia="Calibri" w:hAnsi="Calibri" w:cs="Arial"/>
          <w:i/>
        </w:rPr>
        <w:t>Journal of European Social Policy</w:t>
      </w:r>
      <w:r w:rsidRPr="00B469BF">
        <w:rPr>
          <w:rFonts w:ascii="Calibri" w:eastAsia="Calibri" w:hAnsi="Calibri" w:cs="Arial"/>
        </w:rPr>
        <w:t>, 20(4), 283-300.</w:t>
      </w:r>
    </w:p>
    <w:p w:rsidR="00B469BF" w:rsidRDefault="00B469BF" w:rsidP="00B469BF">
      <w:pPr>
        <w:spacing w:after="0" w:line="360" w:lineRule="auto"/>
        <w:jc w:val="both"/>
        <w:rPr>
          <w:rFonts w:ascii="Calibri" w:eastAsia="Calibri" w:hAnsi="Calibri" w:cs="Arial"/>
        </w:rPr>
      </w:pPr>
    </w:p>
    <w:p w:rsidR="00904F8B" w:rsidRDefault="00904F8B" w:rsidP="00904F8B">
      <w:pPr>
        <w:spacing w:after="0" w:line="360" w:lineRule="auto"/>
        <w:jc w:val="both"/>
        <w:rPr>
          <w:rFonts w:ascii="Calibri" w:eastAsia="Calibri" w:hAnsi="Calibri" w:cs="Arial"/>
        </w:rPr>
      </w:pPr>
      <w:r w:rsidRPr="00904F8B">
        <w:rPr>
          <w:rFonts w:ascii="Calibri" w:eastAsia="Calibri" w:hAnsi="Calibri" w:cs="Arial"/>
        </w:rPr>
        <w:t>Gough, I. (2001</w:t>
      </w:r>
      <w:r>
        <w:rPr>
          <w:rFonts w:ascii="Calibri" w:eastAsia="Calibri" w:hAnsi="Calibri" w:cs="Arial"/>
        </w:rPr>
        <w:t>)</w:t>
      </w:r>
      <w:r w:rsidRPr="00904F8B">
        <w:rPr>
          <w:rFonts w:ascii="Calibri" w:eastAsia="Calibri" w:hAnsi="Calibri" w:cs="Arial"/>
        </w:rPr>
        <w:t xml:space="preserve"> </w:t>
      </w:r>
      <w:r>
        <w:rPr>
          <w:rFonts w:ascii="Calibri" w:eastAsia="Calibri" w:hAnsi="Calibri" w:cs="Arial"/>
        </w:rPr>
        <w:t>“</w:t>
      </w:r>
      <w:r w:rsidRPr="00904F8B">
        <w:rPr>
          <w:rFonts w:ascii="Calibri" w:eastAsia="Calibri" w:hAnsi="Calibri" w:cs="Arial"/>
        </w:rPr>
        <w:t>Social assistance regimes: a cluster analysis</w:t>
      </w:r>
      <w:r>
        <w:rPr>
          <w:rFonts w:ascii="Calibri" w:eastAsia="Calibri" w:hAnsi="Calibri" w:cs="Arial"/>
        </w:rPr>
        <w:t>”</w:t>
      </w:r>
      <w:r w:rsidRPr="00904F8B">
        <w:rPr>
          <w:rFonts w:ascii="Calibri" w:eastAsia="Calibri" w:hAnsi="Calibri" w:cs="Arial"/>
        </w:rPr>
        <w:t xml:space="preserve">, </w:t>
      </w:r>
      <w:r w:rsidRPr="00904F8B">
        <w:rPr>
          <w:rFonts w:ascii="Calibri" w:eastAsia="Calibri" w:hAnsi="Calibri" w:cs="Arial"/>
          <w:i/>
          <w:iCs/>
        </w:rPr>
        <w:t xml:space="preserve">Journal of European </w:t>
      </w:r>
      <w:r>
        <w:rPr>
          <w:rFonts w:ascii="Calibri" w:eastAsia="Calibri" w:hAnsi="Calibri" w:cs="Arial"/>
          <w:i/>
          <w:iCs/>
        </w:rPr>
        <w:t>S</w:t>
      </w:r>
      <w:r w:rsidRPr="00904F8B">
        <w:rPr>
          <w:rFonts w:ascii="Calibri" w:eastAsia="Calibri" w:hAnsi="Calibri" w:cs="Arial"/>
          <w:i/>
          <w:iCs/>
        </w:rPr>
        <w:t>ocial</w:t>
      </w:r>
      <w:r>
        <w:rPr>
          <w:rFonts w:ascii="Calibri" w:eastAsia="Calibri" w:hAnsi="Calibri" w:cs="Arial"/>
          <w:i/>
          <w:iCs/>
        </w:rPr>
        <w:t xml:space="preserve"> P</w:t>
      </w:r>
      <w:r w:rsidRPr="00904F8B">
        <w:rPr>
          <w:rFonts w:ascii="Calibri" w:eastAsia="Calibri" w:hAnsi="Calibri" w:cs="Arial"/>
          <w:i/>
          <w:iCs/>
        </w:rPr>
        <w:t>olicy</w:t>
      </w:r>
      <w:r w:rsidRPr="00904F8B">
        <w:rPr>
          <w:rFonts w:ascii="Calibri" w:eastAsia="Calibri" w:hAnsi="Calibri" w:cs="Arial"/>
        </w:rPr>
        <w:t>, 11</w:t>
      </w:r>
      <w:r>
        <w:rPr>
          <w:rFonts w:ascii="Calibri" w:eastAsia="Calibri" w:hAnsi="Calibri" w:cs="Arial"/>
        </w:rPr>
        <w:t>(2),</w:t>
      </w:r>
      <w:r w:rsidRPr="00904F8B">
        <w:rPr>
          <w:rFonts w:ascii="Calibri" w:eastAsia="Calibri" w:hAnsi="Calibri" w:cs="Arial"/>
        </w:rPr>
        <w:t xml:space="preserve"> 165–70.</w:t>
      </w:r>
    </w:p>
    <w:p w:rsidR="00B469BF" w:rsidRDefault="00B469BF" w:rsidP="00B469BF">
      <w:pPr>
        <w:spacing w:after="0" w:line="360" w:lineRule="auto"/>
        <w:jc w:val="both"/>
        <w:rPr>
          <w:rFonts w:ascii="Calibri" w:eastAsia="Calibri" w:hAnsi="Calibri" w:cs="Calibri"/>
        </w:rPr>
      </w:pPr>
    </w:p>
    <w:p w:rsidR="007463E6" w:rsidRDefault="007463E6" w:rsidP="00B76026">
      <w:pPr>
        <w:spacing w:after="0" w:line="360" w:lineRule="auto"/>
        <w:rPr>
          <w:rFonts w:ascii="Calibri" w:eastAsia="Calibri" w:hAnsi="Calibri" w:cs="Calibri"/>
        </w:rPr>
      </w:pPr>
      <w:r w:rsidRPr="007463E6">
        <w:rPr>
          <w:rFonts w:ascii="Calibri" w:eastAsia="Calibri" w:hAnsi="Calibri" w:cs="Calibri"/>
        </w:rPr>
        <w:t>Guill</w:t>
      </w:r>
      <w:r>
        <w:rPr>
          <w:rFonts w:ascii="Calibri" w:eastAsia="Calibri" w:hAnsi="Calibri" w:cs="Calibri"/>
        </w:rPr>
        <w:t>en, A-M. and Alvarez, S. (2001)</w:t>
      </w:r>
      <w:r w:rsidRPr="007463E6">
        <w:rPr>
          <w:rFonts w:ascii="Calibri" w:eastAsia="Calibri" w:hAnsi="Calibri" w:cs="Calibri"/>
        </w:rPr>
        <w:t xml:space="preserve"> </w:t>
      </w:r>
      <w:r>
        <w:rPr>
          <w:rFonts w:ascii="Calibri" w:eastAsia="Calibri" w:hAnsi="Calibri" w:cs="Calibri"/>
        </w:rPr>
        <w:t>“</w:t>
      </w:r>
      <w:r w:rsidRPr="007463E6">
        <w:rPr>
          <w:rFonts w:ascii="Calibri" w:eastAsia="Calibri" w:hAnsi="Calibri" w:cs="Calibri"/>
        </w:rPr>
        <w:t>Globalization and the Southern Welfare States</w:t>
      </w:r>
      <w:r>
        <w:rPr>
          <w:rFonts w:ascii="Calibri" w:eastAsia="Calibri" w:hAnsi="Calibri" w:cs="Calibri"/>
        </w:rPr>
        <w:t>”</w:t>
      </w:r>
      <w:r w:rsidR="00DB5496">
        <w:rPr>
          <w:rFonts w:ascii="Calibri" w:eastAsia="Calibri" w:hAnsi="Calibri" w:cs="Calibri"/>
        </w:rPr>
        <w:t>,</w:t>
      </w:r>
      <w:r>
        <w:rPr>
          <w:rFonts w:ascii="Calibri" w:eastAsia="Calibri" w:hAnsi="Calibri" w:cs="Calibri"/>
        </w:rPr>
        <w:t xml:space="preserve"> </w:t>
      </w:r>
      <w:r w:rsidR="00DB5496">
        <w:rPr>
          <w:rFonts w:ascii="Calibri" w:eastAsia="Calibri" w:hAnsi="Calibri" w:cs="Calibri"/>
        </w:rPr>
        <w:t>i</w:t>
      </w:r>
      <w:r w:rsidRPr="007463E6">
        <w:rPr>
          <w:rFonts w:ascii="Calibri" w:eastAsia="Calibri" w:hAnsi="Calibri" w:cs="Calibri"/>
        </w:rPr>
        <w:t xml:space="preserve">n R. Sykes et al. (eds) </w:t>
      </w:r>
      <w:r w:rsidRPr="00B76026">
        <w:rPr>
          <w:rFonts w:ascii="Calibri" w:eastAsia="Calibri" w:hAnsi="Calibri" w:cs="Calibri"/>
          <w:i/>
          <w:iCs/>
        </w:rPr>
        <w:t>Globalization and European Welfare States</w:t>
      </w:r>
      <w:r w:rsidRPr="007463E6">
        <w:rPr>
          <w:rFonts w:ascii="Calibri" w:eastAsia="Calibri" w:hAnsi="Calibri" w:cs="Calibri"/>
        </w:rPr>
        <w:t>, Basingstoke: Palgrave,</w:t>
      </w:r>
      <w:r w:rsidR="00DB5496">
        <w:rPr>
          <w:rFonts w:ascii="Calibri" w:eastAsia="Calibri" w:hAnsi="Calibri" w:cs="Calibri"/>
        </w:rPr>
        <w:t xml:space="preserve"> </w:t>
      </w:r>
      <w:r w:rsidRPr="007463E6">
        <w:rPr>
          <w:rFonts w:ascii="Calibri" w:eastAsia="Calibri" w:hAnsi="Calibri" w:cs="Calibri"/>
        </w:rPr>
        <w:t>pp. 103–26.</w:t>
      </w:r>
    </w:p>
    <w:p w:rsidR="007463E6" w:rsidRPr="00B469BF" w:rsidRDefault="007463E6" w:rsidP="007463E6">
      <w:pPr>
        <w:spacing w:after="0" w:line="360" w:lineRule="auto"/>
        <w:jc w:val="both"/>
        <w:rPr>
          <w:rFonts w:ascii="Calibri" w:eastAsia="Calibri" w:hAnsi="Calibri" w:cs="Calibri"/>
        </w:rPr>
      </w:pPr>
    </w:p>
    <w:p w:rsidR="00823F13" w:rsidRPr="00823F13" w:rsidRDefault="00823F13" w:rsidP="00823F13">
      <w:pPr>
        <w:spacing w:after="0" w:line="360" w:lineRule="auto"/>
        <w:jc w:val="both"/>
        <w:rPr>
          <w:rFonts w:ascii="Calibri" w:eastAsia="Calibri" w:hAnsi="Calibri" w:cs="Calibri"/>
          <w:lang w:val="en-GB"/>
        </w:rPr>
      </w:pPr>
      <w:r w:rsidRPr="00823F13">
        <w:rPr>
          <w:rFonts w:ascii="Calibri" w:eastAsia="Calibri" w:hAnsi="Calibri" w:cs="Calibri"/>
          <w:lang w:val="en-GB"/>
        </w:rPr>
        <w:t xml:space="preserve">Hoekstra, J. (2010) </w:t>
      </w:r>
      <w:r w:rsidRPr="00823F13">
        <w:rPr>
          <w:rFonts w:ascii="Calibri" w:eastAsia="Calibri" w:hAnsi="Calibri" w:cs="Calibri"/>
          <w:i/>
          <w:iCs/>
          <w:lang w:val="en-GB"/>
        </w:rPr>
        <w:t>Divergence in European Housing and Welfare Systems</w:t>
      </w:r>
      <w:r w:rsidRPr="00823F13">
        <w:rPr>
          <w:rFonts w:ascii="Calibri" w:eastAsia="Calibri" w:hAnsi="Calibri" w:cs="Calibri"/>
          <w:lang w:val="en-GB"/>
        </w:rPr>
        <w:t>, Sustainable Urban Areas 38, Delft University Press.</w:t>
      </w:r>
    </w:p>
    <w:p w:rsidR="00B469BF" w:rsidRPr="00823F13" w:rsidRDefault="00B469BF" w:rsidP="00B469BF">
      <w:pPr>
        <w:spacing w:after="0" w:line="360" w:lineRule="auto"/>
        <w:jc w:val="both"/>
        <w:rPr>
          <w:rFonts w:ascii="Calibri" w:eastAsia="Calibri" w:hAnsi="Calibri" w:cs="Calibri"/>
          <w:lang w:val="en-GB"/>
        </w:rPr>
      </w:pPr>
    </w:p>
    <w:p w:rsidR="00B469BF" w:rsidRPr="00B469BF" w:rsidRDefault="00B469BF" w:rsidP="006E55A0">
      <w:pPr>
        <w:spacing w:after="0" w:line="360" w:lineRule="auto"/>
        <w:jc w:val="both"/>
        <w:rPr>
          <w:rFonts w:ascii="Calibri" w:eastAsia="Calibri" w:hAnsi="Calibri" w:cs="Arial"/>
        </w:rPr>
      </w:pPr>
      <w:r w:rsidRPr="00B469BF">
        <w:rPr>
          <w:rFonts w:ascii="Calibri" w:eastAsia="Calibri" w:hAnsi="Calibri" w:cs="Arial"/>
        </w:rPr>
        <w:t xml:space="preserve">Iacovou, M. and Skew, A. (2010) “Household Structure in the EU”, </w:t>
      </w:r>
      <w:r w:rsidR="006E55A0">
        <w:rPr>
          <w:rFonts w:ascii="Calibri" w:eastAsia="Calibri" w:hAnsi="Calibri" w:cs="Arial"/>
        </w:rPr>
        <w:t>Eurostat Methodologies and Working Papers</w:t>
      </w:r>
      <w:r w:rsidRPr="00B469BF">
        <w:rPr>
          <w:rFonts w:ascii="Calibri" w:eastAsia="Calibri" w:hAnsi="Calibri" w:cs="Arial"/>
        </w:rPr>
        <w:t>.</w:t>
      </w:r>
    </w:p>
    <w:p w:rsidR="00B469BF" w:rsidRPr="00B469BF" w:rsidRDefault="00B469BF" w:rsidP="00B469BF">
      <w:pPr>
        <w:spacing w:after="0" w:line="360" w:lineRule="auto"/>
        <w:jc w:val="both"/>
        <w:rPr>
          <w:rFonts w:ascii="Calibri" w:eastAsia="Calibri" w:hAnsi="Calibri" w:cs="Arial"/>
        </w:rPr>
      </w:pPr>
    </w:p>
    <w:p w:rsidR="00B469BF" w:rsidRPr="00B469BF" w:rsidRDefault="00B469BF" w:rsidP="00B469BF">
      <w:pPr>
        <w:spacing w:after="0" w:line="360" w:lineRule="auto"/>
        <w:jc w:val="both"/>
        <w:rPr>
          <w:rFonts w:ascii="Calibri" w:eastAsia="Calibri" w:hAnsi="Calibri" w:cs="Arial"/>
        </w:rPr>
      </w:pPr>
      <w:r w:rsidRPr="00B469BF">
        <w:rPr>
          <w:rFonts w:ascii="Calibri" w:eastAsia="Calibri" w:hAnsi="Calibri" w:cs="Arial"/>
        </w:rPr>
        <w:t>Kääriäinen, J. and Lehtonen, H. (2006) “The variety of social capital in welfare state regimes – a comparative study of 21 countries”,</w:t>
      </w:r>
      <w:r w:rsidRPr="00B469BF">
        <w:rPr>
          <w:rFonts w:ascii="Calibri" w:eastAsia="Calibri" w:hAnsi="Calibri" w:cs="Arial"/>
          <w:i/>
        </w:rPr>
        <w:t xml:space="preserve"> European Societies</w:t>
      </w:r>
      <w:r w:rsidRPr="00B469BF">
        <w:rPr>
          <w:rFonts w:ascii="Calibri" w:eastAsia="Calibri" w:hAnsi="Calibri" w:cs="Arial"/>
        </w:rPr>
        <w:t xml:space="preserve">, </w:t>
      </w:r>
      <w:r w:rsidRPr="00B469BF">
        <w:rPr>
          <w:rFonts w:ascii="Calibri" w:eastAsia="Calibri" w:hAnsi="Calibri" w:cs="Arial"/>
          <w:i/>
        </w:rPr>
        <w:t>8</w:t>
      </w:r>
      <w:r w:rsidRPr="00B469BF">
        <w:rPr>
          <w:rFonts w:ascii="Calibri" w:eastAsia="Calibri" w:hAnsi="Calibri" w:cs="Arial"/>
        </w:rPr>
        <w:t xml:space="preserve">(1), 27-57. </w:t>
      </w:r>
    </w:p>
    <w:p w:rsidR="00B469BF" w:rsidRDefault="00B469BF" w:rsidP="00B469BF">
      <w:pPr>
        <w:spacing w:after="0" w:line="360" w:lineRule="auto"/>
        <w:jc w:val="both"/>
        <w:rPr>
          <w:rFonts w:ascii="Calibri" w:eastAsia="Calibri" w:hAnsi="Calibri" w:cs="Arial"/>
        </w:rPr>
      </w:pPr>
    </w:p>
    <w:p w:rsidR="00B02A6C" w:rsidRDefault="00B02A6C" w:rsidP="00525949">
      <w:pPr>
        <w:spacing w:after="0" w:line="360" w:lineRule="auto"/>
        <w:jc w:val="both"/>
        <w:rPr>
          <w:rFonts w:ascii="Calibri" w:eastAsia="Calibri" w:hAnsi="Calibri" w:cs="Arial"/>
        </w:rPr>
      </w:pPr>
      <w:r>
        <w:rPr>
          <w:rFonts w:ascii="Calibri" w:eastAsia="Calibri" w:hAnsi="Calibri" w:cs="Arial"/>
        </w:rPr>
        <w:t>Keefer, P. (2007) “C</w:t>
      </w:r>
      <w:r w:rsidRPr="00B02A6C">
        <w:rPr>
          <w:rFonts w:ascii="Calibri" w:eastAsia="Calibri" w:hAnsi="Calibri" w:cs="Arial"/>
        </w:rPr>
        <w:t>lientelism, credibility, and the policy choices of young democracies</w:t>
      </w:r>
      <w:r>
        <w:rPr>
          <w:rFonts w:ascii="Calibri" w:eastAsia="Calibri" w:hAnsi="Calibri" w:cs="Arial"/>
        </w:rPr>
        <w:t xml:space="preserve">”, </w:t>
      </w:r>
      <w:r w:rsidRPr="00145867">
        <w:rPr>
          <w:rFonts w:ascii="Calibri" w:eastAsia="Calibri" w:hAnsi="Calibri" w:cs="Arial"/>
          <w:i/>
          <w:iCs/>
        </w:rPr>
        <w:t>American Journal of Political Science</w:t>
      </w:r>
      <w:r>
        <w:rPr>
          <w:rFonts w:ascii="Calibri" w:eastAsia="Calibri" w:hAnsi="Calibri" w:cs="Arial"/>
        </w:rPr>
        <w:t xml:space="preserve">, </w:t>
      </w:r>
      <w:r w:rsidRPr="00B02A6C">
        <w:rPr>
          <w:rFonts w:ascii="Calibri" w:eastAsia="Calibri" w:hAnsi="Calibri" w:cs="Arial"/>
        </w:rPr>
        <w:t>51</w:t>
      </w:r>
      <w:r>
        <w:rPr>
          <w:rFonts w:ascii="Calibri" w:eastAsia="Calibri" w:hAnsi="Calibri" w:cs="Arial"/>
        </w:rPr>
        <w:t>(</w:t>
      </w:r>
      <w:r w:rsidRPr="00B02A6C">
        <w:rPr>
          <w:rFonts w:ascii="Calibri" w:eastAsia="Calibri" w:hAnsi="Calibri" w:cs="Arial"/>
        </w:rPr>
        <w:t>4</w:t>
      </w:r>
      <w:r>
        <w:rPr>
          <w:rFonts w:ascii="Calibri" w:eastAsia="Calibri" w:hAnsi="Calibri" w:cs="Arial"/>
        </w:rPr>
        <w:t>)</w:t>
      </w:r>
      <w:r w:rsidRPr="00B02A6C">
        <w:rPr>
          <w:rFonts w:ascii="Calibri" w:eastAsia="Calibri" w:hAnsi="Calibri" w:cs="Arial"/>
        </w:rPr>
        <w:t>, 804–821</w:t>
      </w:r>
      <w:r>
        <w:rPr>
          <w:rFonts w:ascii="Calibri" w:eastAsia="Calibri" w:hAnsi="Calibri" w:cs="Arial"/>
        </w:rPr>
        <w:t>.</w:t>
      </w:r>
    </w:p>
    <w:p w:rsidR="00B02A6C" w:rsidRDefault="00B02A6C">
      <w:pPr>
        <w:spacing w:after="0" w:line="360" w:lineRule="auto"/>
        <w:jc w:val="both"/>
        <w:rPr>
          <w:rFonts w:ascii="Calibri" w:eastAsia="Calibri" w:hAnsi="Calibri" w:cs="Arial"/>
        </w:rPr>
      </w:pPr>
    </w:p>
    <w:p w:rsidR="00602302" w:rsidRDefault="00602302" w:rsidP="00602302">
      <w:pPr>
        <w:spacing w:after="0" w:line="360" w:lineRule="auto"/>
        <w:jc w:val="both"/>
        <w:rPr>
          <w:rFonts w:ascii="Calibri" w:eastAsia="Calibri" w:hAnsi="Calibri" w:cs="Arial"/>
          <w:lang w:val="en-GB"/>
        </w:rPr>
      </w:pPr>
      <w:r w:rsidRPr="00602302">
        <w:rPr>
          <w:rFonts w:ascii="Calibri" w:eastAsia="Calibri" w:hAnsi="Calibri" w:cs="Arial"/>
          <w:lang w:val="en-GB"/>
        </w:rPr>
        <w:lastRenderedPageBreak/>
        <w:t xml:space="preserve">Kemeny, J. (1992) </w:t>
      </w:r>
      <w:r w:rsidRPr="00602302">
        <w:rPr>
          <w:rFonts w:ascii="Calibri" w:eastAsia="Calibri" w:hAnsi="Calibri" w:cs="Arial"/>
          <w:bCs/>
          <w:i/>
          <w:iCs/>
          <w:lang w:val="en-GB"/>
        </w:rPr>
        <w:t>Housing and Social Theory</w:t>
      </w:r>
      <w:r w:rsidRPr="00602302">
        <w:rPr>
          <w:rFonts w:ascii="Calibri" w:eastAsia="Calibri" w:hAnsi="Calibri" w:cs="Arial"/>
          <w:lang w:val="en-GB"/>
        </w:rPr>
        <w:t>, London/New York: Routledge.</w:t>
      </w:r>
    </w:p>
    <w:p w:rsidR="00602302" w:rsidRPr="00602302" w:rsidRDefault="00602302" w:rsidP="00602302">
      <w:pPr>
        <w:spacing w:after="0" w:line="360" w:lineRule="auto"/>
        <w:jc w:val="both"/>
        <w:rPr>
          <w:rFonts w:ascii="Calibri" w:eastAsia="Calibri" w:hAnsi="Calibri" w:cs="Arial"/>
          <w:lang w:val="en-GB"/>
        </w:rPr>
      </w:pPr>
    </w:p>
    <w:p w:rsidR="00602302" w:rsidRPr="00602302" w:rsidRDefault="00602302" w:rsidP="00602302">
      <w:pPr>
        <w:spacing w:after="0" w:line="360" w:lineRule="auto"/>
        <w:jc w:val="both"/>
        <w:rPr>
          <w:rFonts w:ascii="Calibri" w:eastAsia="Calibri" w:hAnsi="Calibri" w:cs="Arial"/>
          <w:lang w:val="en-GB"/>
        </w:rPr>
      </w:pPr>
      <w:r>
        <w:rPr>
          <w:rFonts w:ascii="Calibri" w:eastAsia="Calibri" w:hAnsi="Calibri" w:cs="Arial"/>
          <w:lang w:val="en-GB"/>
        </w:rPr>
        <w:t>Kemeny, J. (2006)</w:t>
      </w:r>
      <w:r w:rsidRPr="00602302">
        <w:rPr>
          <w:rFonts w:ascii="Calibri" w:eastAsia="Calibri" w:hAnsi="Calibri" w:cs="Arial"/>
          <w:lang w:val="en-GB"/>
        </w:rPr>
        <w:t xml:space="preserve"> </w:t>
      </w:r>
      <w:r>
        <w:rPr>
          <w:rFonts w:ascii="Calibri" w:eastAsia="Calibri" w:hAnsi="Calibri" w:cs="Arial"/>
          <w:lang w:val="en-GB"/>
        </w:rPr>
        <w:t>“Corporatism and housing regimes”,</w:t>
      </w:r>
      <w:r w:rsidRPr="00602302">
        <w:rPr>
          <w:rFonts w:ascii="Calibri" w:eastAsia="Calibri" w:hAnsi="Calibri" w:cs="Arial"/>
          <w:lang w:val="en-GB"/>
        </w:rPr>
        <w:t xml:space="preserve"> </w:t>
      </w:r>
      <w:r w:rsidRPr="00602302">
        <w:rPr>
          <w:rFonts w:ascii="Calibri" w:eastAsia="Calibri" w:hAnsi="Calibri" w:cs="Arial"/>
          <w:i/>
          <w:iCs/>
          <w:lang w:val="en-GB"/>
        </w:rPr>
        <w:t>Housing, Theory and Society,</w:t>
      </w:r>
      <w:r w:rsidRPr="00602302">
        <w:rPr>
          <w:rFonts w:ascii="Calibri" w:eastAsia="Calibri" w:hAnsi="Calibri" w:cs="Arial"/>
          <w:lang w:val="en-GB"/>
        </w:rPr>
        <w:t xml:space="preserve"> 23(1), 1-18.</w:t>
      </w:r>
    </w:p>
    <w:p w:rsidR="0004008C" w:rsidRDefault="0004008C" w:rsidP="0004008C">
      <w:pPr>
        <w:spacing w:after="0" w:line="360" w:lineRule="auto"/>
        <w:jc w:val="both"/>
        <w:rPr>
          <w:rFonts w:ascii="Calibri" w:eastAsia="Calibri" w:hAnsi="Calibri" w:cs="Arial"/>
        </w:rPr>
      </w:pPr>
    </w:p>
    <w:p w:rsidR="0004008C" w:rsidRPr="0004008C" w:rsidRDefault="0004008C" w:rsidP="0004008C">
      <w:pPr>
        <w:spacing w:after="0" w:line="360" w:lineRule="auto"/>
        <w:jc w:val="both"/>
        <w:rPr>
          <w:rFonts w:ascii="Calibri" w:eastAsia="Calibri" w:hAnsi="Calibri" w:cs="Arial"/>
        </w:rPr>
      </w:pPr>
      <w:r w:rsidRPr="0004008C">
        <w:rPr>
          <w:rFonts w:ascii="Calibri" w:eastAsia="Calibri" w:hAnsi="Calibri" w:cs="Arial" w:hint="eastAsia"/>
        </w:rPr>
        <w:t xml:space="preserve">Korpi, </w:t>
      </w:r>
      <w:r w:rsidRPr="0004008C">
        <w:rPr>
          <w:rFonts w:ascii="Calibri" w:eastAsia="Calibri" w:hAnsi="Calibri" w:cs="Arial"/>
        </w:rPr>
        <w:t>W. (</w:t>
      </w:r>
      <w:r w:rsidRPr="0004008C">
        <w:rPr>
          <w:rFonts w:ascii="Calibri" w:eastAsia="Calibri" w:hAnsi="Calibri" w:cs="Arial" w:hint="eastAsia"/>
        </w:rPr>
        <w:t>2000</w:t>
      </w:r>
      <w:r w:rsidRPr="0004008C">
        <w:rPr>
          <w:rFonts w:ascii="Calibri" w:eastAsia="Calibri" w:hAnsi="Calibri" w:cs="Arial"/>
        </w:rPr>
        <w:t>)</w:t>
      </w:r>
      <w:r w:rsidRPr="0004008C">
        <w:rPr>
          <w:rFonts w:ascii="Calibri" w:eastAsia="Calibri" w:hAnsi="Calibri" w:cs="Arial" w:hint="eastAsia"/>
          <w:b/>
          <w:bCs/>
        </w:rPr>
        <w:t xml:space="preserve"> </w:t>
      </w:r>
      <w:r w:rsidRPr="0004008C">
        <w:rPr>
          <w:rFonts w:ascii="Calibri" w:eastAsia="Calibri" w:hAnsi="Calibri" w:cs="Arial"/>
          <w:b/>
          <w:bCs/>
        </w:rPr>
        <w:t>“</w:t>
      </w:r>
      <w:r w:rsidRPr="0004008C">
        <w:rPr>
          <w:rFonts w:ascii="Calibri" w:eastAsia="Calibri" w:hAnsi="Calibri" w:cs="Arial" w:hint="eastAsia"/>
        </w:rPr>
        <w:t>Faces of inequality: gender, class and patterns of inequalities in different types of welfare states</w:t>
      </w:r>
      <w:r w:rsidRPr="0004008C">
        <w:rPr>
          <w:rFonts w:ascii="Calibri" w:eastAsia="Calibri" w:hAnsi="Calibri" w:cs="Arial"/>
        </w:rPr>
        <w:t xml:space="preserve">”, </w:t>
      </w:r>
      <w:r w:rsidRPr="0004008C">
        <w:rPr>
          <w:rFonts w:ascii="Calibri" w:eastAsia="Calibri" w:hAnsi="Calibri" w:cs="Arial"/>
          <w:i/>
          <w:iCs/>
        </w:rPr>
        <w:t>S</w:t>
      </w:r>
      <w:r w:rsidRPr="0004008C">
        <w:rPr>
          <w:rFonts w:ascii="Calibri" w:eastAsia="Calibri" w:hAnsi="Calibri" w:cs="Arial" w:hint="eastAsia"/>
          <w:i/>
          <w:iCs/>
        </w:rPr>
        <w:t>ocial Politics</w:t>
      </w:r>
      <w:r w:rsidRPr="0004008C">
        <w:rPr>
          <w:rFonts w:ascii="Calibri" w:eastAsia="Calibri" w:hAnsi="Calibri" w:cs="Arial" w:hint="eastAsia"/>
        </w:rPr>
        <w:t>, 7(2), 127–191</w:t>
      </w:r>
      <w:r w:rsidRPr="0004008C">
        <w:rPr>
          <w:rFonts w:ascii="Calibri" w:eastAsia="Calibri" w:hAnsi="Calibri" w:cs="Arial"/>
        </w:rPr>
        <w:t>.</w:t>
      </w:r>
    </w:p>
    <w:p w:rsidR="00602302" w:rsidRPr="0004008C" w:rsidRDefault="00602302" w:rsidP="00B469BF">
      <w:pPr>
        <w:spacing w:after="0" w:line="360" w:lineRule="auto"/>
        <w:jc w:val="both"/>
        <w:rPr>
          <w:rFonts w:ascii="Calibri" w:eastAsia="Calibri" w:hAnsi="Calibri" w:cs="Arial"/>
        </w:rPr>
      </w:pPr>
    </w:p>
    <w:p w:rsidR="00823F13" w:rsidRDefault="00823F13" w:rsidP="00823F13">
      <w:pPr>
        <w:spacing w:after="0" w:line="360" w:lineRule="auto"/>
        <w:jc w:val="both"/>
        <w:rPr>
          <w:rFonts w:ascii="Calibri" w:eastAsia="Calibri" w:hAnsi="Calibri" w:cs="Arial"/>
          <w:bCs/>
          <w:lang w:val="en-GB"/>
        </w:rPr>
      </w:pPr>
      <w:r w:rsidRPr="00823F13">
        <w:rPr>
          <w:rFonts w:ascii="Calibri" w:eastAsia="Calibri" w:hAnsi="Calibri" w:cs="Arial"/>
          <w:bCs/>
          <w:lang w:val="en-GB"/>
        </w:rPr>
        <w:t xml:space="preserve">Lewis, J. (1992) “Gender and the Development of Welfare Regimes”, </w:t>
      </w:r>
      <w:r w:rsidRPr="00823F13">
        <w:rPr>
          <w:rFonts w:ascii="Calibri" w:eastAsia="Calibri" w:hAnsi="Calibri" w:cs="Arial"/>
          <w:bCs/>
          <w:i/>
          <w:iCs/>
          <w:lang w:val="en-GB"/>
        </w:rPr>
        <w:t>Journal of European Social Policy</w:t>
      </w:r>
      <w:r w:rsidRPr="00823F13">
        <w:rPr>
          <w:rFonts w:ascii="Calibri" w:eastAsia="Calibri" w:hAnsi="Calibri" w:cs="Arial"/>
          <w:bCs/>
          <w:lang w:val="en-GB"/>
        </w:rPr>
        <w:t>, 2(3), 159-173.</w:t>
      </w:r>
    </w:p>
    <w:p w:rsidR="00823F13" w:rsidRPr="00823F13" w:rsidRDefault="00823F13" w:rsidP="00823F13">
      <w:pPr>
        <w:spacing w:after="0" w:line="360" w:lineRule="auto"/>
        <w:jc w:val="both"/>
        <w:rPr>
          <w:rFonts w:ascii="Calibri" w:eastAsia="Calibri" w:hAnsi="Calibri" w:cs="Arial"/>
          <w:bCs/>
          <w:lang w:val="en-GB"/>
        </w:rPr>
      </w:pPr>
    </w:p>
    <w:p w:rsidR="007C10D5" w:rsidRDefault="00B91A83" w:rsidP="00C43718">
      <w:pPr>
        <w:spacing w:after="0" w:line="360" w:lineRule="auto"/>
        <w:jc w:val="both"/>
        <w:rPr>
          <w:rFonts w:ascii="Calibri" w:eastAsia="Calibri" w:hAnsi="Calibri" w:cs="Arial"/>
          <w:bCs/>
        </w:rPr>
      </w:pPr>
      <w:r>
        <w:rPr>
          <w:rFonts w:ascii="Calibri" w:eastAsia="Calibri" w:hAnsi="Calibri" w:cs="Arial"/>
          <w:bCs/>
        </w:rPr>
        <w:t>Minas, C., Jacobson, D. and McMullan, C. (2013</w:t>
      </w:r>
      <w:r w:rsidR="007C10D5">
        <w:rPr>
          <w:rFonts w:ascii="Calibri" w:eastAsia="Calibri" w:hAnsi="Calibri" w:cs="Arial"/>
          <w:bCs/>
        </w:rPr>
        <w:t>a</w:t>
      </w:r>
      <w:r>
        <w:rPr>
          <w:rFonts w:ascii="Calibri" w:eastAsia="Calibri" w:hAnsi="Calibri" w:cs="Arial"/>
          <w:bCs/>
        </w:rPr>
        <w:t xml:space="preserve">) “Welfare Regime and Inter-Household Food Provision: The Case of Cyprus”, </w:t>
      </w:r>
      <w:r>
        <w:rPr>
          <w:rFonts w:ascii="Calibri" w:eastAsia="Calibri" w:hAnsi="Calibri" w:cs="Arial"/>
          <w:bCs/>
          <w:i/>
          <w:iCs/>
        </w:rPr>
        <w:t>Journal of European Social Policy</w:t>
      </w:r>
      <w:r>
        <w:rPr>
          <w:rFonts w:ascii="Calibri" w:eastAsia="Calibri" w:hAnsi="Calibri" w:cs="Arial"/>
          <w:bCs/>
        </w:rPr>
        <w:t xml:space="preserve">, </w:t>
      </w:r>
      <w:r w:rsidR="00C43718" w:rsidRPr="00C43718">
        <w:rPr>
          <w:rFonts w:ascii="Calibri" w:eastAsia="Calibri" w:hAnsi="Calibri" w:cs="Arial"/>
          <w:bCs/>
        </w:rPr>
        <w:t>23</w:t>
      </w:r>
      <w:r w:rsidR="00C43718">
        <w:rPr>
          <w:rFonts w:ascii="Calibri" w:eastAsia="Calibri" w:hAnsi="Calibri" w:cs="Arial"/>
          <w:bCs/>
        </w:rPr>
        <w:t>(</w:t>
      </w:r>
      <w:r w:rsidR="00C43718" w:rsidRPr="00C43718">
        <w:rPr>
          <w:rFonts w:ascii="Calibri" w:eastAsia="Calibri" w:hAnsi="Calibri" w:cs="Arial"/>
          <w:bCs/>
        </w:rPr>
        <w:t>3</w:t>
      </w:r>
      <w:r w:rsidR="00C43718">
        <w:rPr>
          <w:rFonts w:ascii="Calibri" w:eastAsia="Calibri" w:hAnsi="Calibri" w:cs="Arial"/>
          <w:bCs/>
        </w:rPr>
        <w:t>)</w:t>
      </w:r>
      <w:r w:rsidR="00C43718" w:rsidRPr="00C43718">
        <w:rPr>
          <w:rFonts w:ascii="Calibri" w:eastAsia="Calibri" w:hAnsi="Calibri" w:cs="Arial"/>
          <w:bCs/>
        </w:rPr>
        <w:t>, 300-314.</w:t>
      </w:r>
      <w:r>
        <w:rPr>
          <w:rFonts w:ascii="Calibri" w:eastAsia="Calibri" w:hAnsi="Calibri" w:cs="Arial"/>
          <w:bCs/>
        </w:rPr>
        <w:t xml:space="preserve"> </w:t>
      </w:r>
    </w:p>
    <w:p w:rsidR="007C10D5" w:rsidRDefault="007C10D5" w:rsidP="007C10D5">
      <w:pPr>
        <w:spacing w:after="0" w:line="360" w:lineRule="auto"/>
        <w:jc w:val="both"/>
        <w:rPr>
          <w:rFonts w:ascii="Calibri" w:eastAsia="Calibri" w:hAnsi="Calibri" w:cs="Arial"/>
        </w:rPr>
      </w:pPr>
    </w:p>
    <w:p w:rsidR="007C10D5" w:rsidRDefault="007C10D5" w:rsidP="00C43718">
      <w:pPr>
        <w:spacing w:after="0" w:line="360" w:lineRule="auto"/>
        <w:jc w:val="both"/>
        <w:rPr>
          <w:rFonts w:ascii="Calibri" w:eastAsia="Calibri" w:hAnsi="Calibri" w:cs="Arial"/>
          <w:bCs/>
        </w:rPr>
      </w:pPr>
      <w:r>
        <w:rPr>
          <w:rFonts w:ascii="Calibri" w:eastAsia="Calibri" w:hAnsi="Calibri" w:cs="Arial"/>
        </w:rPr>
        <w:t>Minas, C., Mavrikiou, P. and Jacobson, D. (2013b) “</w:t>
      </w:r>
      <w:r>
        <w:rPr>
          <w:rFonts w:ascii="Calibri" w:eastAsia="Calibri" w:hAnsi="Calibri" w:cs="Arial"/>
          <w:bCs/>
        </w:rPr>
        <w:t>H</w:t>
      </w:r>
      <w:r w:rsidRPr="006B3877">
        <w:rPr>
          <w:rFonts w:ascii="Calibri" w:eastAsia="Calibri" w:hAnsi="Calibri" w:cs="Arial"/>
          <w:bCs/>
        </w:rPr>
        <w:t xml:space="preserve">omeownership, </w:t>
      </w:r>
      <w:r>
        <w:rPr>
          <w:rFonts w:ascii="Calibri" w:eastAsia="Calibri" w:hAnsi="Calibri" w:cs="Arial"/>
          <w:bCs/>
        </w:rPr>
        <w:t>F</w:t>
      </w:r>
      <w:r w:rsidRPr="006B3877">
        <w:rPr>
          <w:rFonts w:ascii="Calibri" w:eastAsia="Calibri" w:hAnsi="Calibri" w:cs="Arial"/>
          <w:bCs/>
        </w:rPr>
        <w:t xml:space="preserve">amily and the </w:t>
      </w:r>
      <w:r>
        <w:rPr>
          <w:rFonts w:ascii="Calibri" w:eastAsia="Calibri" w:hAnsi="Calibri" w:cs="Arial"/>
          <w:bCs/>
        </w:rPr>
        <w:t>G</w:t>
      </w:r>
      <w:r w:rsidRPr="006B3877">
        <w:rPr>
          <w:rFonts w:ascii="Calibri" w:eastAsia="Calibri" w:hAnsi="Calibri" w:cs="Arial"/>
          <w:bCs/>
        </w:rPr>
        <w:t xml:space="preserve">ift </w:t>
      </w:r>
      <w:r>
        <w:rPr>
          <w:rFonts w:ascii="Calibri" w:eastAsia="Calibri" w:hAnsi="Calibri" w:cs="Arial"/>
          <w:bCs/>
        </w:rPr>
        <w:t>E</w:t>
      </w:r>
      <w:r w:rsidRPr="006B3877">
        <w:rPr>
          <w:rFonts w:ascii="Calibri" w:eastAsia="Calibri" w:hAnsi="Calibri" w:cs="Arial"/>
          <w:bCs/>
        </w:rPr>
        <w:t xml:space="preserve">ffect: </w:t>
      </w:r>
      <w:r>
        <w:rPr>
          <w:rFonts w:ascii="Calibri" w:eastAsia="Calibri" w:hAnsi="Calibri" w:cs="Arial"/>
          <w:bCs/>
        </w:rPr>
        <w:t>T</w:t>
      </w:r>
      <w:r w:rsidRPr="006B3877">
        <w:rPr>
          <w:rFonts w:ascii="Calibri" w:eastAsia="Calibri" w:hAnsi="Calibri" w:cs="Arial"/>
          <w:bCs/>
        </w:rPr>
        <w:t xml:space="preserve">he </w:t>
      </w:r>
      <w:r>
        <w:rPr>
          <w:rFonts w:ascii="Calibri" w:eastAsia="Calibri" w:hAnsi="Calibri" w:cs="Arial"/>
          <w:bCs/>
        </w:rPr>
        <w:t>C</w:t>
      </w:r>
      <w:r w:rsidRPr="006B3877">
        <w:rPr>
          <w:rFonts w:ascii="Calibri" w:eastAsia="Calibri" w:hAnsi="Calibri" w:cs="Arial"/>
          <w:bCs/>
        </w:rPr>
        <w:t xml:space="preserve">ase of </w:t>
      </w:r>
      <w:r>
        <w:rPr>
          <w:rFonts w:ascii="Calibri" w:eastAsia="Calibri" w:hAnsi="Calibri" w:cs="Arial"/>
          <w:bCs/>
        </w:rPr>
        <w:t>C</w:t>
      </w:r>
      <w:r w:rsidRPr="006B3877">
        <w:rPr>
          <w:rFonts w:ascii="Calibri" w:eastAsia="Calibri" w:hAnsi="Calibri" w:cs="Arial"/>
          <w:bCs/>
        </w:rPr>
        <w:t>yprus</w:t>
      </w:r>
      <w:r>
        <w:rPr>
          <w:rFonts w:ascii="Calibri" w:eastAsia="Calibri" w:hAnsi="Calibri" w:cs="Arial"/>
          <w:bCs/>
        </w:rPr>
        <w:t xml:space="preserve">”, </w:t>
      </w:r>
      <w:r w:rsidRPr="00B91A83">
        <w:rPr>
          <w:rFonts w:ascii="Calibri" w:eastAsia="Calibri" w:hAnsi="Calibri" w:cs="Arial"/>
          <w:i/>
          <w:iCs/>
        </w:rPr>
        <w:t>Journal of Housing and the Built Environment</w:t>
      </w:r>
      <w:r w:rsidRPr="00B91A83">
        <w:rPr>
          <w:rFonts w:ascii="Calibri" w:eastAsia="Calibri" w:hAnsi="Calibri" w:cs="Arial"/>
        </w:rPr>
        <w:t>,</w:t>
      </w:r>
      <w:r>
        <w:rPr>
          <w:rFonts w:ascii="Calibri" w:eastAsia="Calibri" w:hAnsi="Calibri" w:cs="Arial"/>
          <w:b/>
          <w:bCs/>
        </w:rPr>
        <w:t xml:space="preserve"> </w:t>
      </w:r>
      <w:r w:rsidR="00C43718">
        <w:rPr>
          <w:rFonts w:ascii="Calibri" w:eastAsia="Calibri" w:hAnsi="Calibri" w:cs="Arial"/>
        </w:rPr>
        <w:t>28(1), 1-15.</w:t>
      </w:r>
    </w:p>
    <w:p w:rsidR="00095A7F" w:rsidRDefault="00095A7F" w:rsidP="001652B1">
      <w:pPr>
        <w:spacing w:after="0" w:line="360" w:lineRule="auto"/>
        <w:jc w:val="both"/>
        <w:rPr>
          <w:rFonts w:ascii="Calibri" w:eastAsia="Calibri" w:hAnsi="Calibri" w:cs="Arial"/>
          <w:bCs/>
        </w:rPr>
      </w:pPr>
    </w:p>
    <w:p w:rsidR="0073595C" w:rsidRDefault="0073595C" w:rsidP="0073595C">
      <w:pPr>
        <w:spacing w:after="0" w:line="360" w:lineRule="auto"/>
        <w:jc w:val="both"/>
        <w:rPr>
          <w:rFonts w:ascii="Calibri" w:eastAsia="Calibri" w:hAnsi="Calibri" w:cs="Arial"/>
          <w:bCs/>
        </w:rPr>
      </w:pPr>
      <w:r>
        <w:rPr>
          <w:rFonts w:ascii="Calibri" w:eastAsia="Calibri" w:hAnsi="Calibri" w:cs="Arial"/>
          <w:bCs/>
        </w:rPr>
        <w:t xml:space="preserve">Obinger, H. and Wagschal, U. (2001) “Families of nations and public policy”, </w:t>
      </w:r>
      <w:r w:rsidRPr="0073595C">
        <w:rPr>
          <w:rFonts w:ascii="Calibri" w:eastAsia="Calibri" w:hAnsi="Calibri" w:cs="Arial"/>
          <w:bCs/>
          <w:i/>
          <w:iCs/>
        </w:rPr>
        <w:t>West European Politics</w:t>
      </w:r>
      <w:r w:rsidRPr="0073595C">
        <w:rPr>
          <w:rFonts w:ascii="Calibri" w:eastAsia="Calibri" w:hAnsi="Calibri" w:cs="Arial"/>
          <w:bCs/>
        </w:rPr>
        <w:t>, 24</w:t>
      </w:r>
      <w:r>
        <w:rPr>
          <w:rFonts w:ascii="Calibri" w:eastAsia="Calibri" w:hAnsi="Calibri" w:cs="Arial"/>
          <w:bCs/>
        </w:rPr>
        <w:t>(</w:t>
      </w:r>
      <w:r w:rsidRPr="0073595C">
        <w:rPr>
          <w:rFonts w:ascii="Calibri" w:eastAsia="Calibri" w:hAnsi="Calibri" w:cs="Arial"/>
          <w:bCs/>
        </w:rPr>
        <w:t>l</w:t>
      </w:r>
      <w:r>
        <w:rPr>
          <w:rFonts w:ascii="Calibri" w:eastAsia="Calibri" w:hAnsi="Calibri" w:cs="Arial"/>
          <w:bCs/>
        </w:rPr>
        <w:t>)</w:t>
      </w:r>
      <w:r w:rsidRPr="0073595C">
        <w:rPr>
          <w:rFonts w:ascii="Calibri" w:eastAsia="Calibri" w:hAnsi="Calibri" w:cs="Arial"/>
          <w:bCs/>
        </w:rPr>
        <w:t>, 99-114</w:t>
      </w:r>
      <w:r>
        <w:rPr>
          <w:rFonts w:ascii="Calibri" w:eastAsia="Calibri" w:hAnsi="Calibri" w:cs="Arial"/>
          <w:bCs/>
        </w:rPr>
        <w:t>.</w:t>
      </w:r>
    </w:p>
    <w:p w:rsidR="0073595C" w:rsidRDefault="0073595C" w:rsidP="0073595C">
      <w:pPr>
        <w:spacing w:after="0" w:line="360" w:lineRule="auto"/>
        <w:jc w:val="both"/>
        <w:rPr>
          <w:rFonts w:ascii="Calibri" w:eastAsia="Calibri" w:hAnsi="Calibri" w:cs="Arial"/>
          <w:bCs/>
        </w:rPr>
      </w:pPr>
    </w:p>
    <w:p w:rsidR="00F24680" w:rsidRDefault="00095A7F" w:rsidP="002D7750">
      <w:pPr>
        <w:spacing w:after="0" w:line="360" w:lineRule="auto"/>
        <w:jc w:val="both"/>
        <w:rPr>
          <w:rFonts w:ascii="Calibri" w:eastAsia="Calibri" w:hAnsi="Calibri" w:cs="Arial"/>
          <w:bCs/>
        </w:rPr>
      </w:pPr>
      <w:r w:rsidRPr="00095A7F">
        <w:rPr>
          <w:rFonts w:ascii="Calibri" w:eastAsia="Calibri" w:hAnsi="Calibri" w:cs="Arial"/>
          <w:bCs/>
        </w:rPr>
        <w:t>Powell, M. and Barrientos, A. (2004</w:t>
      </w:r>
      <w:r>
        <w:rPr>
          <w:rFonts w:ascii="Calibri" w:eastAsia="Calibri" w:hAnsi="Calibri" w:cs="Arial"/>
          <w:bCs/>
        </w:rPr>
        <w:t>)</w:t>
      </w:r>
      <w:r w:rsidRPr="00095A7F">
        <w:rPr>
          <w:rFonts w:ascii="Calibri" w:eastAsia="Calibri" w:hAnsi="Calibri" w:cs="Arial"/>
          <w:bCs/>
        </w:rPr>
        <w:t xml:space="preserve"> </w:t>
      </w:r>
      <w:r>
        <w:rPr>
          <w:rFonts w:ascii="Calibri" w:eastAsia="Calibri" w:hAnsi="Calibri" w:cs="Arial"/>
          <w:bCs/>
        </w:rPr>
        <w:t>“</w:t>
      </w:r>
      <w:r w:rsidRPr="00095A7F">
        <w:rPr>
          <w:rFonts w:ascii="Calibri" w:eastAsia="Calibri" w:hAnsi="Calibri" w:cs="Arial"/>
          <w:bCs/>
        </w:rPr>
        <w:t>Welfare regimes and the welfare mix</w:t>
      </w:r>
      <w:r>
        <w:rPr>
          <w:rFonts w:ascii="Calibri" w:eastAsia="Calibri" w:hAnsi="Calibri" w:cs="Arial"/>
          <w:bCs/>
        </w:rPr>
        <w:t>”</w:t>
      </w:r>
      <w:r w:rsidRPr="00095A7F">
        <w:rPr>
          <w:rFonts w:ascii="Calibri" w:eastAsia="Calibri" w:hAnsi="Calibri" w:cs="Arial"/>
          <w:bCs/>
        </w:rPr>
        <w:t xml:space="preserve">, </w:t>
      </w:r>
      <w:r w:rsidRPr="00095A7F">
        <w:rPr>
          <w:rFonts w:ascii="Calibri" w:eastAsia="Calibri" w:hAnsi="Calibri" w:cs="Arial"/>
          <w:bCs/>
          <w:i/>
          <w:iCs/>
        </w:rPr>
        <w:t>European</w:t>
      </w:r>
      <w:r>
        <w:rPr>
          <w:rFonts w:ascii="Calibri" w:eastAsia="Calibri" w:hAnsi="Calibri" w:cs="Arial"/>
          <w:bCs/>
          <w:i/>
          <w:iCs/>
        </w:rPr>
        <w:t xml:space="preserve"> </w:t>
      </w:r>
      <w:r w:rsidRPr="00095A7F">
        <w:rPr>
          <w:rFonts w:ascii="Calibri" w:eastAsia="Calibri" w:hAnsi="Calibri" w:cs="Arial"/>
          <w:bCs/>
          <w:i/>
          <w:iCs/>
        </w:rPr>
        <w:t>Journal of Political Research</w:t>
      </w:r>
      <w:r w:rsidRPr="00095A7F">
        <w:rPr>
          <w:rFonts w:ascii="Calibri" w:eastAsia="Calibri" w:hAnsi="Calibri" w:cs="Arial"/>
          <w:bCs/>
        </w:rPr>
        <w:t>, 43</w:t>
      </w:r>
      <w:r>
        <w:rPr>
          <w:rFonts w:ascii="Calibri" w:eastAsia="Calibri" w:hAnsi="Calibri" w:cs="Arial"/>
          <w:bCs/>
        </w:rPr>
        <w:t>(</w:t>
      </w:r>
      <w:r w:rsidRPr="00095A7F">
        <w:rPr>
          <w:rFonts w:ascii="Calibri" w:eastAsia="Calibri" w:hAnsi="Calibri" w:cs="Arial"/>
          <w:bCs/>
        </w:rPr>
        <w:t>1</w:t>
      </w:r>
      <w:r>
        <w:rPr>
          <w:rFonts w:ascii="Calibri" w:eastAsia="Calibri" w:hAnsi="Calibri" w:cs="Arial"/>
          <w:bCs/>
        </w:rPr>
        <w:t>),</w:t>
      </w:r>
      <w:r w:rsidRPr="00095A7F">
        <w:rPr>
          <w:rFonts w:ascii="Calibri" w:eastAsia="Calibri" w:hAnsi="Calibri" w:cs="Arial"/>
          <w:bCs/>
        </w:rPr>
        <w:t xml:space="preserve"> 83–105.</w:t>
      </w:r>
    </w:p>
    <w:p w:rsidR="00095A7F" w:rsidRDefault="00095A7F" w:rsidP="00095A7F">
      <w:pPr>
        <w:spacing w:after="0" w:line="360" w:lineRule="auto"/>
        <w:jc w:val="both"/>
        <w:rPr>
          <w:rFonts w:ascii="Calibri" w:eastAsia="Calibri" w:hAnsi="Calibri" w:cs="Arial"/>
          <w:bCs/>
        </w:rPr>
      </w:pPr>
    </w:p>
    <w:p w:rsidR="002D7750" w:rsidRDefault="002D7750" w:rsidP="002D7750">
      <w:pPr>
        <w:spacing w:after="0" w:line="360" w:lineRule="auto"/>
        <w:jc w:val="both"/>
        <w:rPr>
          <w:rFonts w:ascii="Calibri" w:eastAsia="Calibri" w:hAnsi="Calibri" w:cs="Arial"/>
          <w:bCs/>
        </w:rPr>
      </w:pPr>
      <w:r w:rsidRPr="002D7750">
        <w:rPr>
          <w:rFonts w:ascii="Calibri" w:eastAsia="Calibri" w:hAnsi="Calibri" w:cs="Arial"/>
          <w:bCs/>
        </w:rPr>
        <w:t>Powell, M. and Barrientos, A. (2011</w:t>
      </w:r>
      <w:r>
        <w:rPr>
          <w:rFonts w:ascii="Calibri" w:eastAsia="Calibri" w:hAnsi="Calibri" w:cs="Arial"/>
          <w:bCs/>
        </w:rPr>
        <w:t>)</w:t>
      </w:r>
      <w:r w:rsidRPr="002D7750">
        <w:rPr>
          <w:rFonts w:ascii="Calibri" w:eastAsia="Calibri" w:hAnsi="Calibri" w:cs="Arial"/>
          <w:bCs/>
        </w:rPr>
        <w:t xml:space="preserve"> </w:t>
      </w:r>
      <w:r>
        <w:rPr>
          <w:rFonts w:ascii="Calibri" w:eastAsia="Calibri" w:hAnsi="Calibri" w:cs="Arial"/>
          <w:bCs/>
        </w:rPr>
        <w:t>“</w:t>
      </w:r>
      <w:r w:rsidRPr="002D7750">
        <w:rPr>
          <w:rFonts w:ascii="Calibri" w:eastAsia="Calibri" w:hAnsi="Calibri" w:cs="Arial"/>
          <w:bCs/>
        </w:rPr>
        <w:t>An audit of the welfare modelling business</w:t>
      </w:r>
      <w:r>
        <w:rPr>
          <w:rFonts w:ascii="Calibri" w:eastAsia="Calibri" w:hAnsi="Calibri" w:cs="Arial"/>
          <w:bCs/>
        </w:rPr>
        <w:t>”</w:t>
      </w:r>
      <w:r w:rsidRPr="002D7750">
        <w:rPr>
          <w:rFonts w:ascii="Calibri" w:eastAsia="Calibri" w:hAnsi="Calibri" w:cs="Arial"/>
          <w:bCs/>
        </w:rPr>
        <w:t xml:space="preserve">, </w:t>
      </w:r>
      <w:r w:rsidRPr="002D7750">
        <w:rPr>
          <w:rFonts w:ascii="Calibri" w:eastAsia="Calibri" w:hAnsi="Calibri" w:cs="Arial"/>
          <w:bCs/>
          <w:i/>
          <w:iCs/>
        </w:rPr>
        <w:t>Social</w:t>
      </w:r>
      <w:r>
        <w:rPr>
          <w:rFonts w:ascii="Calibri" w:eastAsia="Calibri" w:hAnsi="Calibri" w:cs="Arial"/>
          <w:bCs/>
          <w:i/>
          <w:iCs/>
        </w:rPr>
        <w:t xml:space="preserve"> </w:t>
      </w:r>
      <w:r w:rsidRPr="002D7750">
        <w:rPr>
          <w:rFonts w:ascii="Calibri" w:eastAsia="Calibri" w:hAnsi="Calibri" w:cs="Arial"/>
          <w:bCs/>
          <w:i/>
          <w:iCs/>
        </w:rPr>
        <w:t>Policy &amp; Administration</w:t>
      </w:r>
      <w:r w:rsidRPr="002D7750">
        <w:rPr>
          <w:rFonts w:ascii="Calibri" w:eastAsia="Calibri" w:hAnsi="Calibri" w:cs="Arial"/>
          <w:bCs/>
        </w:rPr>
        <w:t>, 45</w:t>
      </w:r>
      <w:r>
        <w:rPr>
          <w:rFonts w:ascii="Calibri" w:eastAsia="Calibri" w:hAnsi="Calibri" w:cs="Arial"/>
          <w:bCs/>
        </w:rPr>
        <w:t>(</w:t>
      </w:r>
      <w:r w:rsidRPr="002D7750">
        <w:rPr>
          <w:rFonts w:ascii="Calibri" w:eastAsia="Calibri" w:hAnsi="Calibri" w:cs="Arial"/>
          <w:bCs/>
        </w:rPr>
        <w:t>1</w:t>
      </w:r>
      <w:r>
        <w:rPr>
          <w:rFonts w:ascii="Calibri" w:eastAsia="Calibri" w:hAnsi="Calibri" w:cs="Arial"/>
          <w:bCs/>
        </w:rPr>
        <w:t>),</w:t>
      </w:r>
      <w:r w:rsidRPr="002D7750">
        <w:rPr>
          <w:rFonts w:ascii="Calibri" w:eastAsia="Calibri" w:hAnsi="Calibri" w:cs="Arial"/>
          <w:bCs/>
        </w:rPr>
        <w:t xml:space="preserve"> 69–84.</w:t>
      </w:r>
    </w:p>
    <w:p w:rsidR="000F3F3D" w:rsidRDefault="000F3F3D" w:rsidP="002D7750">
      <w:pPr>
        <w:spacing w:after="0" w:line="360" w:lineRule="auto"/>
        <w:jc w:val="both"/>
        <w:rPr>
          <w:rFonts w:ascii="Calibri" w:eastAsia="Calibri" w:hAnsi="Calibri" w:cs="Arial"/>
          <w:bCs/>
        </w:rPr>
      </w:pPr>
    </w:p>
    <w:p w:rsidR="002D7750" w:rsidRPr="000F3F3D" w:rsidRDefault="000F3F3D" w:rsidP="000F3F3D">
      <w:pPr>
        <w:spacing w:after="0" w:line="360" w:lineRule="auto"/>
        <w:jc w:val="both"/>
        <w:rPr>
          <w:rFonts w:ascii="Calibri" w:eastAsia="Calibri" w:hAnsi="Calibri" w:cs="Arial"/>
        </w:rPr>
      </w:pPr>
      <w:r w:rsidRPr="000F3F3D">
        <w:rPr>
          <w:rFonts w:ascii="Calibri" w:eastAsia="Calibri" w:hAnsi="Calibri" w:cs="Arial"/>
          <w:bCs/>
        </w:rPr>
        <w:t>Saint-Arnaud</w:t>
      </w:r>
      <w:r>
        <w:rPr>
          <w:rFonts w:ascii="Calibri" w:eastAsia="Calibri" w:hAnsi="Calibri" w:cs="Arial"/>
          <w:bCs/>
        </w:rPr>
        <w:t>, S.</w:t>
      </w:r>
      <w:r w:rsidRPr="000F3F3D">
        <w:rPr>
          <w:rFonts w:ascii="Calibri" w:eastAsia="Calibri" w:hAnsi="Calibri" w:cs="Arial"/>
          <w:bCs/>
        </w:rPr>
        <w:t xml:space="preserve"> and Bernard, </w:t>
      </w:r>
      <w:r>
        <w:rPr>
          <w:rFonts w:ascii="Calibri" w:eastAsia="Calibri" w:hAnsi="Calibri" w:cs="Arial"/>
          <w:bCs/>
        </w:rPr>
        <w:t>P. (</w:t>
      </w:r>
      <w:r w:rsidRPr="000F3F3D">
        <w:rPr>
          <w:rFonts w:ascii="Calibri" w:eastAsia="Calibri" w:hAnsi="Calibri" w:cs="Arial"/>
          <w:bCs/>
        </w:rPr>
        <w:t>2003</w:t>
      </w:r>
      <w:r>
        <w:rPr>
          <w:rFonts w:ascii="Calibri" w:eastAsia="Calibri" w:hAnsi="Calibri" w:cs="Arial"/>
          <w:bCs/>
        </w:rPr>
        <w:t>) “</w:t>
      </w:r>
      <w:r w:rsidRPr="000F3F3D">
        <w:rPr>
          <w:rFonts w:ascii="Calibri" w:eastAsia="Calibri" w:hAnsi="Calibri" w:cs="Arial"/>
        </w:rPr>
        <w:t xml:space="preserve">Convergence or </w:t>
      </w:r>
      <w:r>
        <w:rPr>
          <w:rFonts w:ascii="Calibri" w:eastAsia="Calibri" w:hAnsi="Calibri" w:cs="Arial"/>
        </w:rPr>
        <w:t>r</w:t>
      </w:r>
      <w:r w:rsidRPr="000F3F3D">
        <w:rPr>
          <w:rFonts w:ascii="Calibri" w:eastAsia="Calibri" w:hAnsi="Calibri" w:cs="Arial"/>
        </w:rPr>
        <w:t>esilience? A hierarchical cluster analysis of the welfare</w:t>
      </w:r>
      <w:r>
        <w:rPr>
          <w:rFonts w:ascii="Calibri" w:eastAsia="Calibri" w:hAnsi="Calibri" w:cs="Arial"/>
        </w:rPr>
        <w:t xml:space="preserve"> regimes in advanced countries”, </w:t>
      </w:r>
      <w:r>
        <w:rPr>
          <w:rFonts w:ascii="Calibri" w:eastAsia="Calibri" w:hAnsi="Calibri" w:cs="Arial"/>
          <w:i/>
          <w:iCs/>
        </w:rPr>
        <w:t>Current Sociology</w:t>
      </w:r>
      <w:r>
        <w:rPr>
          <w:rFonts w:ascii="Calibri" w:eastAsia="Calibri" w:hAnsi="Calibri" w:cs="Arial"/>
        </w:rPr>
        <w:t>, 51(5),</w:t>
      </w:r>
      <w:r w:rsidRPr="000F3F3D">
        <w:rPr>
          <w:rFonts w:ascii="Calibri" w:eastAsia="Calibri" w:hAnsi="Calibri" w:cs="Arial"/>
        </w:rPr>
        <w:t xml:space="preserve"> 499–527</w:t>
      </w:r>
      <w:r>
        <w:rPr>
          <w:rFonts w:ascii="Calibri" w:eastAsia="Calibri" w:hAnsi="Calibri" w:cs="Arial"/>
        </w:rPr>
        <w:t>.</w:t>
      </w:r>
    </w:p>
    <w:p w:rsidR="000F3F3D" w:rsidRDefault="000F3F3D" w:rsidP="008A58E2">
      <w:pPr>
        <w:spacing w:after="0" w:line="360" w:lineRule="auto"/>
        <w:jc w:val="both"/>
        <w:rPr>
          <w:rFonts w:ascii="Calibri" w:eastAsia="Calibri" w:hAnsi="Calibri" w:cs="Arial"/>
          <w:bCs/>
        </w:rPr>
      </w:pPr>
    </w:p>
    <w:p w:rsidR="00624FA3" w:rsidRDefault="00624FA3" w:rsidP="00624FA3">
      <w:pPr>
        <w:spacing w:after="0" w:line="360" w:lineRule="auto"/>
        <w:jc w:val="both"/>
        <w:rPr>
          <w:rFonts w:ascii="Calibri" w:eastAsia="Calibri" w:hAnsi="Calibri" w:cs="Arial"/>
          <w:bCs/>
        </w:rPr>
      </w:pPr>
      <w:r>
        <w:rPr>
          <w:rFonts w:ascii="Calibri" w:eastAsia="Calibri" w:hAnsi="Calibri" w:cs="Arial"/>
          <w:bCs/>
        </w:rPr>
        <w:t>Singer, M. (2009) “B</w:t>
      </w:r>
      <w:r w:rsidRPr="00624FA3">
        <w:rPr>
          <w:rFonts w:ascii="Calibri" w:eastAsia="Calibri" w:hAnsi="Calibri" w:cs="Arial"/>
          <w:bCs/>
        </w:rPr>
        <w:t>uying voters with dirty money: the relationship between clientelism and corruption</w:t>
      </w:r>
      <w:r>
        <w:rPr>
          <w:rFonts w:ascii="Calibri" w:eastAsia="Calibri" w:hAnsi="Calibri" w:cs="Arial"/>
          <w:bCs/>
        </w:rPr>
        <w:t>”, Paper presented at the American Political Science Association Annual Conference, Toronto.</w:t>
      </w:r>
    </w:p>
    <w:p w:rsidR="008A58E2" w:rsidRPr="008A58E2" w:rsidRDefault="008A58E2" w:rsidP="008A58E2">
      <w:pPr>
        <w:spacing w:after="0" w:line="360" w:lineRule="auto"/>
        <w:jc w:val="both"/>
        <w:rPr>
          <w:rFonts w:ascii="Calibri" w:eastAsia="Calibri" w:hAnsi="Calibri" w:cs="Arial"/>
          <w:bCs/>
        </w:rPr>
      </w:pPr>
      <w:r>
        <w:rPr>
          <w:rFonts w:ascii="Calibri" w:eastAsia="Calibri" w:hAnsi="Calibri" w:cs="Arial"/>
          <w:bCs/>
        </w:rPr>
        <w:t>Stoy, V. (2012, forthcoming) “</w:t>
      </w:r>
      <w:r w:rsidRPr="008A58E2">
        <w:rPr>
          <w:rFonts w:ascii="Calibri" w:eastAsia="Calibri" w:hAnsi="Calibri" w:cs="Arial"/>
          <w:bCs/>
        </w:rPr>
        <w:t>Worlds of welfare services: from discovery</w:t>
      </w:r>
      <w:r>
        <w:rPr>
          <w:rFonts w:ascii="Calibri" w:eastAsia="Calibri" w:hAnsi="Calibri" w:cs="Arial"/>
          <w:bCs/>
        </w:rPr>
        <w:t xml:space="preserve"> </w:t>
      </w:r>
      <w:r w:rsidRPr="008A58E2">
        <w:rPr>
          <w:rFonts w:ascii="Calibri" w:eastAsia="Calibri" w:hAnsi="Calibri" w:cs="Arial"/>
          <w:bCs/>
        </w:rPr>
        <w:t>to exploration</w:t>
      </w:r>
      <w:r>
        <w:rPr>
          <w:rFonts w:ascii="Calibri" w:eastAsia="Calibri" w:hAnsi="Calibri" w:cs="Arial"/>
          <w:bCs/>
        </w:rPr>
        <w:t xml:space="preserve">”, </w:t>
      </w:r>
      <w:r>
        <w:rPr>
          <w:rFonts w:ascii="Calibri" w:eastAsia="Calibri" w:hAnsi="Calibri" w:cs="Arial"/>
          <w:bCs/>
          <w:i/>
          <w:iCs/>
        </w:rPr>
        <w:t>Social Policy &amp; Administration</w:t>
      </w:r>
      <w:r>
        <w:rPr>
          <w:rFonts w:ascii="Calibri" w:eastAsia="Calibri" w:hAnsi="Calibri" w:cs="Arial"/>
          <w:bCs/>
        </w:rPr>
        <w:t>, DOI: 10.1111.</w:t>
      </w:r>
    </w:p>
    <w:p w:rsidR="008A58E2" w:rsidRDefault="008A58E2" w:rsidP="008A58E2">
      <w:pPr>
        <w:spacing w:after="0" w:line="360" w:lineRule="auto"/>
        <w:jc w:val="both"/>
        <w:rPr>
          <w:rFonts w:ascii="Calibri" w:eastAsia="Calibri" w:hAnsi="Calibri" w:cs="Arial"/>
          <w:bCs/>
        </w:rPr>
      </w:pPr>
    </w:p>
    <w:p w:rsidR="00B02A6C" w:rsidRDefault="00B02A6C" w:rsidP="00145867">
      <w:pPr>
        <w:spacing w:after="0" w:line="360" w:lineRule="auto"/>
        <w:rPr>
          <w:rFonts w:ascii="Calibri" w:eastAsia="Calibri" w:hAnsi="Calibri" w:cs="Arial"/>
          <w:bCs/>
        </w:rPr>
      </w:pPr>
      <w:r>
        <w:rPr>
          <w:rFonts w:ascii="Calibri" w:eastAsia="Calibri" w:hAnsi="Calibri" w:cs="Arial"/>
          <w:bCs/>
        </w:rPr>
        <w:t>Treisman, D</w:t>
      </w:r>
      <w:r w:rsidRPr="00B02A6C">
        <w:rPr>
          <w:rFonts w:ascii="Calibri" w:eastAsia="Calibri" w:hAnsi="Calibri" w:cs="Arial"/>
          <w:bCs/>
        </w:rPr>
        <w:t xml:space="preserve">. </w:t>
      </w:r>
      <w:r>
        <w:rPr>
          <w:rFonts w:ascii="Calibri" w:eastAsia="Calibri" w:hAnsi="Calibri" w:cs="Arial"/>
          <w:bCs/>
        </w:rPr>
        <w:t>(</w:t>
      </w:r>
      <w:r w:rsidRPr="00B02A6C">
        <w:rPr>
          <w:rFonts w:ascii="Calibri" w:eastAsia="Calibri" w:hAnsi="Calibri" w:cs="Arial"/>
          <w:bCs/>
        </w:rPr>
        <w:t>2007</w:t>
      </w:r>
      <w:r>
        <w:rPr>
          <w:rFonts w:ascii="Calibri" w:eastAsia="Calibri" w:hAnsi="Calibri" w:cs="Arial"/>
          <w:bCs/>
        </w:rPr>
        <w:t>)</w:t>
      </w:r>
      <w:r w:rsidRPr="00B02A6C">
        <w:rPr>
          <w:rFonts w:ascii="Calibri" w:eastAsia="Calibri" w:hAnsi="Calibri" w:cs="Arial"/>
          <w:bCs/>
        </w:rPr>
        <w:t xml:space="preserve"> </w:t>
      </w:r>
      <w:r>
        <w:rPr>
          <w:rFonts w:ascii="Calibri" w:eastAsia="Calibri" w:hAnsi="Calibri" w:cs="Arial"/>
          <w:bCs/>
        </w:rPr>
        <w:t>“</w:t>
      </w:r>
      <w:r w:rsidRPr="00B02A6C">
        <w:rPr>
          <w:rFonts w:ascii="Calibri" w:eastAsia="Calibri" w:hAnsi="Calibri" w:cs="Arial"/>
          <w:bCs/>
        </w:rPr>
        <w:t>W</w:t>
      </w:r>
      <w:r>
        <w:rPr>
          <w:rFonts w:ascii="Calibri" w:eastAsia="Calibri" w:hAnsi="Calibri" w:cs="Arial"/>
          <w:bCs/>
        </w:rPr>
        <w:t>hat have we</w:t>
      </w:r>
      <w:r w:rsidRPr="00B02A6C">
        <w:rPr>
          <w:rFonts w:ascii="Calibri" w:eastAsia="Calibri" w:hAnsi="Calibri" w:cs="Arial"/>
          <w:bCs/>
        </w:rPr>
        <w:t xml:space="preserve"> learned about the causes of corruption from ten years</w:t>
      </w:r>
      <w:r>
        <w:rPr>
          <w:rFonts w:ascii="Calibri" w:eastAsia="Calibri" w:hAnsi="Calibri" w:cs="Arial"/>
          <w:bCs/>
        </w:rPr>
        <w:t xml:space="preserve"> </w:t>
      </w:r>
      <w:r w:rsidRPr="00B02A6C">
        <w:rPr>
          <w:rFonts w:ascii="Calibri" w:eastAsia="Calibri" w:hAnsi="Calibri" w:cs="Arial"/>
          <w:bCs/>
        </w:rPr>
        <w:t>of cross-national empirical research</w:t>
      </w:r>
      <w:r>
        <w:rPr>
          <w:rFonts w:ascii="Calibri" w:eastAsia="Calibri" w:hAnsi="Calibri" w:cs="Arial"/>
          <w:bCs/>
        </w:rPr>
        <w:t>”,</w:t>
      </w:r>
      <w:r w:rsidRPr="00B02A6C">
        <w:rPr>
          <w:rFonts w:ascii="Calibri" w:eastAsia="Calibri" w:hAnsi="Calibri" w:cs="Arial"/>
          <w:bCs/>
        </w:rPr>
        <w:t xml:space="preserve"> </w:t>
      </w:r>
      <w:r w:rsidRPr="00145867">
        <w:rPr>
          <w:rFonts w:ascii="Calibri" w:eastAsia="Calibri" w:hAnsi="Calibri" w:cs="Arial"/>
          <w:bCs/>
          <w:i/>
          <w:iCs/>
        </w:rPr>
        <w:t>Annual Review of Political Science</w:t>
      </w:r>
      <w:r>
        <w:rPr>
          <w:rFonts w:ascii="Calibri" w:eastAsia="Calibri" w:hAnsi="Calibri" w:cs="Arial"/>
          <w:bCs/>
        </w:rPr>
        <w:t>,</w:t>
      </w:r>
      <w:r w:rsidRPr="00B02A6C">
        <w:rPr>
          <w:rFonts w:ascii="Calibri" w:eastAsia="Calibri" w:hAnsi="Calibri" w:cs="Arial"/>
          <w:bCs/>
        </w:rPr>
        <w:t xml:space="preserve"> </w:t>
      </w:r>
      <w:r>
        <w:rPr>
          <w:rFonts w:ascii="Calibri" w:eastAsia="Calibri" w:hAnsi="Calibri" w:cs="Arial"/>
          <w:bCs/>
        </w:rPr>
        <w:t xml:space="preserve">10, </w:t>
      </w:r>
      <w:r w:rsidRPr="00B02A6C">
        <w:rPr>
          <w:rFonts w:ascii="Calibri" w:eastAsia="Calibri" w:hAnsi="Calibri" w:cs="Arial"/>
          <w:bCs/>
        </w:rPr>
        <w:t>211-44.</w:t>
      </w:r>
    </w:p>
    <w:p w:rsidR="00B02A6C" w:rsidRPr="008A58E2" w:rsidRDefault="00B02A6C" w:rsidP="00145867">
      <w:pPr>
        <w:spacing w:after="0" w:line="360" w:lineRule="auto"/>
        <w:rPr>
          <w:rFonts w:ascii="Calibri" w:eastAsia="Calibri" w:hAnsi="Calibri" w:cs="Arial"/>
          <w:bCs/>
        </w:rPr>
      </w:pPr>
    </w:p>
    <w:p w:rsidR="00F24680" w:rsidRDefault="00F24680" w:rsidP="002D7750">
      <w:pPr>
        <w:spacing w:after="0" w:line="360" w:lineRule="auto"/>
        <w:jc w:val="both"/>
        <w:rPr>
          <w:rFonts w:ascii="Calibri" w:eastAsia="Calibri" w:hAnsi="Calibri" w:cs="Arial"/>
          <w:bCs/>
        </w:rPr>
      </w:pPr>
      <w:r w:rsidRPr="00F24680">
        <w:rPr>
          <w:rFonts w:ascii="Calibri" w:eastAsia="Calibri" w:hAnsi="Calibri" w:cs="Arial"/>
          <w:bCs/>
        </w:rPr>
        <w:t xml:space="preserve">Wincott, D. (2001) “Reassessing the Social Foundations of Welfare (State) Regimes”, </w:t>
      </w:r>
      <w:r w:rsidRPr="00F24680">
        <w:rPr>
          <w:rFonts w:ascii="Calibri" w:eastAsia="Calibri" w:hAnsi="Calibri" w:cs="Arial"/>
          <w:bCs/>
          <w:i/>
          <w:iCs/>
        </w:rPr>
        <w:t>New Political Economy</w:t>
      </w:r>
      <w:r w:rsidR="00095A7F">
        <w:rPr>
          <w:rFonts w:ascii="Calibri" w:eastAsia="Calibri" w:hAnsi="Calibri" w:cs="Arial"/>
          <w:bCs/>
        </w:rPr>
        <w:t>, 6(3),</w:t>
      </w:r>
      <w:r w:rsidRPr="00F24680">
        <w:rPr>
          <w:rFonts w:ascii="Calibri" w:eastAsia="Calibri" w:hAnsi="Calibri" w:cs="Arial"/>
          <w:bCs/>
        </w:rPr>
        <w:t xml:space="preserve"> 409-425.</w:t>
      </w:r>
    </w:p>
    <w:p w:rsidR="000E0451" w:rsidRDefault="000E0451" w:rsidP="002D7750">
      <w:pPr>
        <w:spacing w:after="0" w:line="360" w:lineRule="auto"/>
        <w:jc w:val="both"/>
        <w:rPr>
          <w:rFonts w:ascii="Calibri" w:eastAsia="Calibri" w:hAnsi="Calibri" w:cs="Arial"/>
          <w:bCs/>
        </w:rPr>
      </w:pPr>
    </w:p>
    <w:p w:rsidR="000E0451" w:rsidRPr="00F24680" w:rsidRDefault="000E0451" w:rsidP="000E0451">
      <w:pPr>
        <w:spacing w:after="0" w:line="360" w:lineRule="auto"/>
        <w:jc w:val="both"/>
        <w:rPr>
          <w:rFonts w:ascii="Calibri" w:eastAsia="Calibri" w:hAnsi="Calibri" w:cs="Arial"/>
          <w:bCs/>
        </w:rPr>
      </w:pPr>
      <w:r>
        <w:rPr>
          <w:rFonts w:ascii="Calibri" w:eastAsia="Calibri" w:hAnsi="Calibri" w:cs="Arial"/>
          <w:bCs/>
        </w:rPr>
        <w:t>Wood, G. and Gough, I. (2006)</w:t>
      </w:r>
      <w:r>
        <w:rPr>
          <w:rFonts w:ascii="AdvEPSTIM" w:eastAsia="AdvEPSTIM" w:cs="AdvEPSTIM"/>
          <w:sz w:val="34"/>
          <w:szCs w:val="34"/>
        </w:rPr>
        <w:t xml:space="preserve"> </w:t>
      </w:r>
      <w:r w:rsidRPr="000E0451">
        <w:rPr>
          <w:rFonts w:ascii="AdvEPSTIM" w:eastAsia="AdvEPSTIM" w:cs="AdvEPSTIM"/>
        </w:rPr>
        <w:t>“</w:t>
      </w:r>
      <w:r>
        <w:rPr>
          <w:rFonts w:ascii="Calibri" w:eastAsia="Calibri" w:hAnsi="Calibri" w:cs="Arial"/>
          <w:bCs/>
        </w:rPr>
        <w:t>A comparative welfare regime a</w:t>
      </w:r>
      <w:r w:rsidRPr="000E0451">
        <w:rPr>
          <w:rFonts w:ascii="Calibri" w:eastAsia="Calibri" w:hAnsi="Calibri" w:cs="Arial"/>
          <w:bCs/>
        </w:rPr>
        <w:t>pproach</w:t>
      </w:r>
      <w:r>
        <w:rPr>
          <w:rFonts w:ascii="Calibri" w:eastAsia="Calibri" w:hAnsi="Calibri" w:cs="Arial"/>
          <w:bCs/>
        </w:rPr>
        <w:t xml:space="preserve"> to global social p</w:t>
      </w:r>
      <w:r w:rsidRPr="000E0451">
        <w:rPr>
          <w:rFonts w:ascii="Calibri" w:eastAsia="Calibri" w:hAnsi="Calibri" w:cs="Arial"/>
          <w:bCs/>
        </w:rPr>
        <w:t>olicy</w:t>
      </w:r>
      <w:r>
        <w:rPr>
          <w:rFonts w:ascii="Calibri" w:eastAsia="Calibri" w:hAnsi="Calibri" w:cs="Arial"/>
          <w:bCs/>
        </w:rPr>
        <w:t xml:space="preserve">”, </w:t>
      </w:r>
      <w:r w:rsidRPr="000E0451">
        <w:rPr>
          <w:rFonts w:ascii="Calibri" w:eastAsia="Calibri" w:hAnsi="Calibri" w:cs="Arial"/>
          <w:bCs/>
          <w:i/>
          <w:iCs/>
        </w:rPr>
        <w:t>World Development</w:t>
      </w:r>
      <w:r>
        <w:rPr>
          <w:rFonts w:ascii="Calibri" w:eastAsia="Calibri" w:hAnsi="Calibri" w:cs="Arial"/>
          <w:bCs/>
        </w:rPr>
        <w:t>,</w:t>
      </w:r>
      <w:r w:rsidRPr="000E0451">
        <w:rPr>
          <w:rFonts w:ascii="Calibri" w:eastAsia="Calibri" w:hAnsi="Calibri" w:cs="Arial"/>
          <w:bCs/>
        </w:rPr>
        <w:t xml:space="preserve"> 34</w:t>
      </w:r>
      <w:r>
        <w:rPr>
          <w:rFonts w:ascii="Calibri" w:eastAsia="Calibri" w:hAnsi="Calibri" w:cs="Arial"/>
          <w:bCs/>
        </w:rPr>
        <w:t>(</w:t>
      </w:r>
      <w:r w:rsidRPr="000E0451">
        <w:rPr>
          <w:rFonts w:ascii="Calibri" w:eastAsia="Calibri" w:hAnsi="Calibri" w:cs="Arial"/>
          <w:bCs/>
        </w:rPr>
        <w:t>10</w:t>
      </w:r>
      <w:r>
        <w:rPr>
          <w:rFonts w:ascii="Calibri" w:eastAsia="Calibri" w:hAnsi="Calibri" w:cs="Arial"/>
          <w:bCs/>
        </w:rPr>
        <w:t>)</w:t>
      </w:r>
      <w:r w:rsidRPr="000E0451">
        <w:rPr>
          <w:rFonts w:ascii="Calibri" w:eastAsia="Calibri" w:hAnsi="Calibri" w:cs="Arial"/>
          <w:bCs/>
        </w:rPr>
        <w:t>, 1696</w:t>
      </w:r>
      <w:r>
        <w:rPr>
          <w:rFonts w:ascii="Calibri" w:eastAsia="Calibri" w:hAnsi="Calibri" w:cs="Arial"/>
          <w:bCs/>
        </w:rPr>
        <w:t>-</w:t>
      </w:r>
      <w:r w:rsidRPr="000E0451">
        <w:rPr>
          <w:rFonts w:ascii="Calibri" w:eastAsia="Calibri" w:hAnsi="Calibri" w:cs="Arial"/>
          <w:bCs/>
        </w:rPr>
        <w:t>1712</w:t>
      </w:r>
      <w:r>
        <w:rPr>
          <w:rFonts w:ascii="Calibri" w:eastAsia="Calibri" w:hAnsi="Calibri" w:cs="Arial"/>
          <w:bCs/>
        </w:rPr>
        <w:t>.</w:t>
      </w:r>
    </w:p>
    <w:p w:rsidR="00B469BF" w:rsidRPr="00B469BF" w:rsidRDefault="00B469BF" w:rsidP="00B469BF">
      <w:pPr>
        <w:spacing w:after="0" w:line="360" w:lineRule="auto"/>
        <w:jc w:val="both"/>
        <w:rPr>
          <w:rFonts w:ascii="Calibri" w:eastAsia="Calibri" w:hAnsi="Calibri" w:cs="Arial"/>
        </w:rPr>
      </w:pPr>
    </w:p>
    <w:p w:rsidR="0057658D" w:rsidRPr="00B469BF" w:rsidRDefault="0057658D">
      <w:pPr>
        <w:spacing w:after="0" w:line="360" w:lineRule="auto"/>
        <w:jc w:val="both"/>
        <w:rPr>
          <w:rFonts w:ascii="Calibri" w:eastAsia="Calibri" w:hAnsi="Calibri" w:cs="Arial"/>
        </w:rPr>
      </w:pPr>
    </w:p>
    <w:sectPr w:rsidR="0057658D" w:rsidRPr="00B469BF" w:rsidSect="0021647A">
      <w:footnotePr>
        <w:numRestart w:val="eachSect"/>
      </w:footnotePr>
      <w:endnotePr>
        <w:numFmt w:val="decimal"/>
      </w:endnotePr>
      <w:pgSz w:w="11906" w:h="16838"/>
      <w:pgMar w:top="1134" w:right="124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55" w:rsidRDefault="005D4155" w:rsidP="00B469BF">
      <w:pPr>
        <w:spacing w:after="0" w:line="240" w:lineRule="auto"/>
      </w:pPr>
      <w:r>
        <w:separator/>
      </w:r>
    </w:p>
  </w:endnote>
  <w:endnote w:type="continuationSeparator" w:id="0">
    <w:p w:rsidR="005D4155" w:rsidRDefault="005D4155" w:rsidP="00B469BF">
      <w:pPr>
        <w:spacing w:after="0" w:line="240" w:lineRule="auto"/>
      </w:pPr>
      <w:r>
        <w:continuationSeparator/>
      </w:r>
    </w:p>
  </w:endnote>
  <w:endnote w:id="1">
    <w:p w:rsidR="00592760" w:rsidRDefault="00592760" w:rsidP="00121EA7">
      <w:pPr>
        <w:pStyle w:val="EndnoteText"/>
      </w:pPr>
      <w:r>
        <w:rPr>
          <w:rStyle w:val="EndnoteReference"/>
        </w:rPr>
        <w:endnoteRef/>
      </w:r>
      <w:r>
        <w:t xml:space="preserve"> It is of course possible that the analysis might suggest that the countries should be grouped into three or more clusters.</w:t>
      </w:r>
    </w:p>
  </w:endnote>
  <w:endnote w:id="2">
    <w:p w:rsidR="00592760" w:rsidRDefault="00592760">
      <w:pPr>
        <w:pStyle w:val="EndnoteText"/>
      </w:pPr>
      <w:r>
        <w:rPr>
          <w:rStyle w:val="EndnoteReference"/>
        </w:rPr>
        <w:endnoteRef/>
      </w:r>
      <w:r>
        <w:t xml:space="preserve"> These suffer the same constraint as pointed out by Allen (2006), namely that they are indicative of intra-household family, not inter-household family.</w:t>
      </w:r>
    </w:p>
  </w:endnote>
  <w:endnote w:id="3">
    <w:p w:rsidR="00592760" w:rsidRDefault="00592760" w:rsidP="0064051C">
      <w:pPr>
        <w:pStyle w:val="EndnoteText"/>
      </w:pPr>
      <w:r>
        <w:rPr>
          <w:rStyle w:val="EndnoteReference"/>
        </w:rPr>
        <w:endnoteRef/>
      </w:r>
      <w:r>
        <w:t xml:space="preserve"> Full definition for ESP/GDP: “</w:t>
      </w:r>
      <w:r w:rsidRPr="0064051C">
        <w:t>Expenditure on social protection as % of GDP, 2010.  Expenditure on social protection contains: social benefits, which consist of transfers, in cash or in kind, to households and individuals to relieve them of the burden of a defined set of risks or needs; administration costs, which represent the costs charged to the scheme for its management and administration; other expenditure, which consists of miscellaneous expenditure by social protection schemes (payment of property income and other)</w:t>
      </w:r>
      <w:r>
        <w:t>” (Eurostat)</w:t>
      </w:r>
      <w:r w:rsidRPr="0064051C">
        <w:t>.</w:t>
      </w:r>
    </w:p>
    <w:p w:rsidR="00592760" w:rsidRDefault="00592760" w:rsidP="0064051C">
      <w:pPr>
        <w:pStyle w:val="EndnoteText"/>
      </w:pPr>
      <w:r>
        <w:t>Full definition for GGC/GDP: “</w:t>
      </w:r>
      <w:r w:rsidRPr="0064051C">
        <w:t>General government contributions to receipts of social protection schemes as % of GDP, 2010. Receipts of social protection</w:t>
      </w:r>
      <w:r>
        <w:t xml:space="preserve"> </w:t>
      </w:r>
      <w:r w:rsidRPr="0064051C">
        <w:t>schemes comprise social contributions, general government contributions and other receipts. Employers' social contributions are the costs incurred by employers to secure entitlement to social benefits for their employees, former employees and their dependants. Employers' social contributions may be actual or imputed; they can be paid by resident or non-resident employers</w:t>
      </w:r>
      <w:r>
        <w:t>” (Eurostat)</w:t>
      </w:r>
      <w:r w:rsidRPr="0064051C">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dvEPSTIM">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55" w:rsidRDefault="005D4155" w:rsidP="00B469BF">
      <w:pPr>
        <w:spacing w:after="0" w:line="240" w:lineRule="auto"/>
      </w:pPr>
      <w:r>
        <w:separator/>
      </w:r>
    </w:p>
  </w:footnote>
  <w:footnote w:type="continuationSeparator" w:id="0">
    <w:p w:rsidR="005D4155" w:rsidRDefault="005D4155" w:rsidP="00B46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BF"/>
    <w:rsid w:val="00000B66"/>
    <w:rsid w:val="00005240"/>
    <w:rsid w:val="00005349"/>
    <w:rsid w:val="00005909"/>
    <w:rsid w:val="00005921"/>
    <w:rsid w:val="00017A24"/>
    <w:rsid w:val="00021EEC"/>
    <w:rsid w:val="00022299"/>
    <w:rsid w:val="00037EE2"/>
    <w:rsid w:val="0004008C"/>
    <w:rsid w:val="000416F0"/>
    <w:rsid w:val="000441ED"/>
    <w:rsid w:val="000631F3"/>
    <w:rsid w:val="000633DD"/>
    <w:rsid w:val="0007135D"/>
    <w:rsid w:val="000714EE"/>
    <w:rsid w:val="00072DA7"/>
    <w:rsid w:val="00080D69"/>
    <w:rsid w:val="0008797D"/>
    <w:rsid w:val="00087B97"/>
    <w:rsid w:val="00095A7F"/>
    <w:rsid w:val="000C0098"/>
    <w:rsid w:val="000C0117"/>
    <w:rsid w:val="000C5A33"/>
    <w:rsid w:val="000C7532"/>
    <w:rsid w:val="000D064A"/>
    <w:rsid w:val="000D156E"/>
    <w:rsid w:val="000E0451"/>
    <w:rsid w:val="000E378E"/>
    <w:rsid w:val="000E4A11"/>
    <w:rsid w:val="000E595D"/>
    <w:rsid w:val="000F32A0"/>
    <w:rsid w:val="000F3F3D"/>
    <w:rsid w:val="000F5A6F"/>
    <w:rsid w:val="00105CF1"/>
    <w:rsid w:val="00105F40"/>
    <w:rsid w:val="00107848"/>
    <w:rsid w:val="00121EA7"/>
    <w:rsid w:val="001325C6"/>
    <w:rsid w:val="001419F8"/>
    <w:rsid w:val="00145867"/>
    <w:rsid w:val="00146770"/>
    <w:rsid w:val="00161873"/>
    <w:rsid w:val="0016235F"/>
    <w:rsid w:val="00164B9A"/>
    <w:rsid w:val="001652B1"/>
    <w:rsid w:val="001748A0"/>
    <w:rsid w:val="00177BEE"/>
    <w:rsid w:val="00190968"/>
    <w:rsid w:val="001A12F3"/>
    <w:rsid w:val="001A667B"/>
    <w:rsid w:val="001A6FC5"/>
    <w:rsid w:val="001B55F4"/>
    <w:rsid w:val="001B5904"/>
    <w:rsid w:val="001C4ED7"/>
    <w:rsid w:val="001F49C9"/>
    <w:rsid w:val="001F56EA"/>
    <w:rsid w:val="001F7600"/>
    <w:rsid w:val="00200619"/>
    <w:rsid w:val="0020084B"/>
    <w:rsid w:val="00204408"/>
    <w:rsid w:val="00207FB8"/>
    <w:rsid w:val="00215288"/>
    <w:rsid w:val="0021647A"/>
    <w:rsid w:val="00230EC9"/>
    <w:rsid w:val="00231AB7"/>
    <w:rsid w:val="00232644"/>
    <w:rsid w:val="00233F42"/>
    <w:rsid w:val="002352F5"/>
    <w:rsid w:val="00257F90"/>
    <w:rsid w:val="00261002"/>
    <w:rsid w:val="00263027"/>
    <w:rsid w:val="00264C96"/>
    <w:rsid w:val="002773AF"/>
    <w:rsid w:val="00280F84"/>
    <w:rsid w:val="00282E10"/>
    <w:rsid w:val="002918E0"/>
    <w:rsid w:val="00292FBB"/>
    <w:rsid w:val="002A7644"/>
    <w:rsid w:val="002B10AB"/>
    <w:rsid w:val="002B3961"/>
    <w:rsid w:val="002B3A0E"/>
    <w:rsid w:val="002B6911"/>
    <w:rsid w:val="002C1E60"/>
    <w:rsid w:val="002C7714"/>
    <w:rsid w:val="002D4CB5"/>
    <w:rsid w:val="002D7750"/>
    <w:rsid w:val="002E5FE3"/>
    <w:rsid w:val="002E79C4"/>
    <w:rsid w:val="00303C0D"/>
    <w:rsid w:val="00304292"/>
    <w:rsid w:val="00310347"/>
    <w:rsid w:val="003117C9"/>
    <w:rsid w:val="00314778"/>
    <w:rsid w:val="003160C2"/>
    <w:rsid w:val="00316741"/>
    <w:rsid w:val="0032308B"/>
    <w:rsid w:val="003410DF"/>
    <w:rsid w:val="00344F59"/>
    <w:rsid w:val="00352E55"/>
    <w:rsid w:val="00367ED4"/>
    <w:rsid w:val="003707D2"/>
    <w:rsid w:val="0037495A"/>
    <w:rsid w:val="00375FEE"/>
    <w:rsid w:val="00383AC3"/>
    <w:rsid w:val="00383FD1"/>
    <w:rsid w:val="00384FE7"/>
    <w:rsid w:val="00386EFC"/>
    <w:rsid w:val="00387FAF"/>
    <w:rsid w:val="00391EFF"/>
    <w:rsid w:val="00394A67"/>
    <w:rsid w:val="00396B2D"/>
    <w:rsid w:val="003A255E"/>
    <w:rsid w:val="003A519C"/>
    <w:rsid w:val="003A674B"/>
    <w:rsid w:val="003A7BA9"/>
    <w:rsid w:val="003B4F3D"/>
    <w:rsid w:val="003B79A1"/>
    <w:rsid w:val="003C2CA4"/>
    <w:rsid w:val="003C3161"/>
    <w:rsid w:val="003C42B2"/>
    <w:rsid w:val="003C4DAE"/>
    <w:rsid w:val="003D0205"/>
    <w:rsid w:val="003E0712"/>
    <w:rsid w:val="003E229C"/>
    <w:rsid w:val="003E47DE"/>
    <w:rsid w:val="003F5204"/>
    <w:rsid w:val="003F7186"/>
    <w:rsid w:val="00416FE3"/>
    <w:rsid w:val="00420524"/>
    <w:rsid w:val="004227C7"/>
    <w:rsid w:val="00423FC5"/>
    <w:rsid w:val="004242B8"/>
    <w:rsid w:val="0044759A"/>
    <w:rsid w:val="00454825"/>
    <w:rsid w:val="00454D77"/>
    <w:rsid w:val="00465B6C"/>
    <w:rsid w:val="00466C5F"/>
    <w:rsid w:val="00467DBC"/>
    <w:rsid w:val="00470D00"/>
    <w:rsid w:val="00472A82"/>
    <w:rsid w:val="00474D95"/>
    <w:rsid w:val="00475284"/>
    <w:rsid w:val="004859F9"/>
    <w:rsid w:val="00490C38"/>
    <w:rsid w:val="00491CDC"/>
    <w:rsid w:val="004953BC"/>
    <w:rsid w:val="004A0264"/>
    <w:rsid w:val="004A1F49"/>
    <w:rsid w:val="004A29A3"/>
    <w:rsid w:val="004A5F56"/>
    <w:rsid w:val="004B367A"/>
    <w:rsid w:val="004B4B8E"/>
    <w:rsid w:val="004C0FE3"/>
    <w:rsid w:val="004C12D9"/>
    <w:rsid w:val="004D156B"/>
    <w:rsid w:val="004D1C63"/>
    <w:rsid w:val="004D3B87"/>
    <w:rsid w:val="004E1BB0"/>
    <w:rsid w:val="004E4D50"/>
    <w:rsid w:val="004F6B0B"/>
    <w:rsid w:val="005017DD"/>
    <w:rsid w:val="00505E88"/>
    <w:rsid w:val="00512BC0"/>
    <w:rsid w:val="005143F9"/>
    <w:rsid w:val="00516B5E"/>
    <w:rsid w:val="0052150B"/>
    <w:rsid w:val="005231D7"/>
    <w:rsid w:val="00525949"/>
    <w:rsid w:val="005276E1"/>
    <w:rsid w:val="0053591C"/>
    <w:rsid w:val="00535A28"/>
    <w:rsid w:val="00535C12"/>
    <w:rsid w:val="00536641"/>
    <w:rsid w:val="00541E8C"/>
    <w:rsid w:val="005444B7"/>
    <w:rsid w:val="005479B2"/>
    <w:rsid w:val="005574FC"/>
    <w:rsid w:val="005615A0"/>
    <w:rsid w:val="005716D2"/>
    <w:rsid w:val="00571EF5"/>
    <w:rsid w:val="0057658D"/>
    <w:rsid w:val="00584889"/>
    <w:rsid w:val="00590092"/>
    <w:rsid w:val="00592760"/>
    <w:rsid w:val="00596639"/>
    <w:rsid w:val="005A4F57"/>
    <w:rsid w:val="005A584A"/>
    <w:rsid w:val="005C052A"/>
    <w:rsid w:val="005C1AA3"/>
    <w:rsid w:val="005C1CEB"/>
    <w:rsid w:val="005C20DA"/>
    <w:rsid w:val="005C53A0"/>
    <w:rsid w:val="005C5C17"/>
    <w:rsid w:val="005C7134"/>
    <w:rsid w:val="005D0DD2"/>
    <w:rsid w:val="005D0E20"/>
    <w:rsid w:val="005D1D6D"/>
    <w:rsid w:val="005D4155"/>
    <w:rsid w:val="005D5B4A"/>
    <w:rsid w:val="005E22F1"/>
    <w:rsid w:val="005E5E35"/>
    <w:rsid w:val="005E6437"/>
    <w:rsid w:val="005F163B"/>
    <w:rsid w:val="0060187B"/>
    <w:rsid w:val="00602302"/>
    <w:rsid w:val="00612231"/>
    <w:rsid w:val="00620777"/>
    <w:rsid w:val="00624FA3"/>
    <w:rsid w:val="00635CCF"/>
    <w:rsid w:val="0064051C"/>
    <w:rsid w:val="00647A8B"/>
    <w:rsid w:val="00654179"/>
    <w:rsid w:val="00654582"/>
    <w:rsid w:val="00654EA6"/>
    <w:rsid w:val="00655F2F"/>
    <w:rsid w:val="006658B6"/>
    <w:rsid w:val="006671FA"/>
    <w:rsid w:val="00672243"/>
    <w:rsid w:val="0067456C"/>
    <w:rsid w:val="00676F8A"/>
    <w:rsid w:val="00677016"/>
    <w:rsid w:val="00692FC8"/>
    <w:rsid w:val="00696691"/>
    <w:rsid w:val="0069756F"/>
    <w:rsid w:val="006A6838"/>
    <w:rsid w:val="006B10AB"/>
    <w:rsid w:val="006B1D7E"/>
    <w:rsid w:val="006B3877"/>
    <w:rsid w:val="006B3D44"/>
    <w:rsid w:val="006B703F"/>
    <w:rsid w:val="006C336B"/>
    <w:rsid w:val="006C6F05"/>
    <w:rsid w:val="006E192F"/>
    <w:rsid w:val="006E55A0"/>
    <w:rsid w:val="006F4D8E"/>
    <w:rsid w:val="007026F2"/>
    <w:rsid w:val="00712057"/>
    <w:rsid w:val="00725D75"/>
    <w:rsid w:val="00727A9A"/>
    <w:rsid w:val="0073595C"/>
    <w:rsid w:val="007463E6"/>
    <w:rsid w:val="0075371C"/>
    <w:rsid w:val="0075407B"/>
    <w:rsid w:val="00757B16"/>
    <w:rsid w:val="00771CD5"/>
    <w:rsid w:val="00774B4B"/>
    <w:rsid w:val="007815E0"/>
    <w:rsid w:val="0078727C"/>
    <w:rsid w:val="007931B3"/>
    <w:rsid w:val="007969AF"/>
    <w:rsid w:val="007A42D8"/>
    <w:rsid w:val="007A45E5"/>
    <w:rsid w:val="007A5B14"/>
    <w:rsid w:val="007B0543"/>
    <w:rsid w:val="007B0968"/>
    <w:rsid w:val="007B2256"/>
    <w:rsid w:val="007C10D5"/>
    <w:rsid w:val="007C50D4"/>
    <w:rsid w:val="007C5209"/>
    <w:rsid w:val="007C60EE"/>
    <w:rsid w:val="007C7333"/>
    <w:rsid w:val="007F4260"/>
    <w:rsid w:val="007F735D"/>
    <w:rsid w:val="00804A7C"/>
    <w:rsid w:val="00805B11"/>
    <w:rsid w:val="00806506"/>
    <w:rsid w:val="0081754C"/>
    <w:rsid w:val="00823F13"/>
    <w:rsid w:val="00826B23"/>
    <w:rsid w:val="008303E5"/>
    <w:rsid w:val="00831F01"/>
    <w:rsid w:val="008328B1"/>
    <w:rsid w:val="00835636"/>
    <w:rsid w:val="008414B4"/>
    <w:rsid w:val="00843CC2"/>
    <w:rsid w:val="00843DFD"/>
    <w:rsid w:val="00853D6F"/>
    <w:rsid w:val="00854CEB"/>
    <w:rsid w:val="00862063"/>
    <w:rsid w:val="00867081"/>
    <w:rsid w:val="00877CB7"/>
    <w:rsid w:val="0088319F"/>
    <w:rsid w:val="00897156"/>
    <w:rsid w:val="008A58E2"/>
    <w:rsid w:val="008B16AA"/>
    <w:rsid w:val="008B3353"/>
    <w:rsid w:val="008C2A54"/>
    <w:rsid w:val="008C6D8B"/>
    <w:rsid w:val="008C6F78"/>
    <w:rsid w:val="008D324F"/>
    <w:rsid w:val="008D577C"/>
    <w:rsid w:val="008D76D8"/>
    <w:rsid w:val="008E0EB7"/>
    <w:rsid w:val="008E24C4"/>
    <w:rsid w:val="008E5099"/>
    <w:rsid w:val="008E7D6A"/>
    <w:rsid w:val="008F186C"/>
    <w:rsid w:val="008F2856"/>
    <w:rsid w:val="008F4F56"/>
    <w:rsid w:val="00901185"/>
    <w:rsid w:val="00904F8B"/>
    <w:rsid w:val="00907158"/>
    <w:rsid w:val="00914A07"/>
    <w:rsid w:val="009168C0"/>
    <w:rsid w:val="00920477"/>
    <w:rsid w:val="00920866"/>
    <w:rsid w:val="00921A00"/>
    <w:rsid w:val="00927587"/>
    <w:rsid w:val="00931BAC"/>
    <w:rsid w:val="009405AC"/>
    <w:rsid w:val="0094211F"/>
    <w:rsid w:val="00945CC6"/>
    <w:rsid w:val="009478D5"/>
    <w:rsid w:val="0095475D"/>
    <w:rsid w:val="00964CD4"/>
    <w:rsid w:val="0096599F"/>
    <w:rsid w:val="00971F2B"/>
    <w:rsid w:val="009744F1"/>
    <w:rsid w:val="00975F0F"/>
    <w:rsid w:val="00984BFB"/>
    <w:rsid w:val="009A0D8A"/>
    <w:rsid w:val="009A7FD2"/>
    <w:rsid w:val="009B2151"/>
    <w:rsid w:val="009B3DE0"/>
    <w:rsid w:val="009B3E13"/>
    <w:rsid w:val="009B783E"/>
    <w:rsid w:val="009C47C7"/>
    <w:rsid w:val="009C6837"/>
    <w:rsid w:val="009D3587"/>
    <w:rsid w:val="009D3FDB"/>
    <w:rsid w:val="009D6C3F"/>
    <w:rsid w:val="009E179C"/>
    <w:rsid w:val="009F3B2D"/>
    <w:rsid w:val="009F529B"/>
    <w:rsid w:val="009F5808"/>
    <w:rsid w:val="00A015AB"/>
    <w:rsid w:val="00A07C12"/>
    <w:rsid w:val="00A147D8"/>
    <w:rsid w:val="00A160DB"/>
    <w:rsid w:val="00A32144"/>
    <w:rsid w:val="00A70211"/>
    <w:rsid w:val="00A842E4"/>
    <w:rsid w:val="00A864EF"/>
    <w:rsid w:val="00A8655D"/>
    <w:rsid w:val="00A87F0E"/>
    <w:rsid w:val="00A913B6"/>
    <w:rsid w:val="00A92285"/>
    <w:rsid w:val="00A92696"/>
    <w:rsid w:val="00A977D4"/>
    <w:rsid w:val="00AA158D"/>
    <w:rsid w:val="00AA1C16"/>
    <w:rsid w:val="00AA3EC5"/>
    <w:rsid w:val="00AA73B6"/>
    <w:rsid w:val="00AA7A57"/>
    <w:rsid w:val="00AB17A6"/>
    <w:rsid w:val="00AB396D"/>
    <w:rsid w:val="00AB75DA"/>
    <w:rsid w:val="00AB7B47"/>
    <w:rsid w:val="00AC3F15"/>
    <w:rsid w:val="00AC7C4A"/>
    <w:rsid w:val="00AC7E7F"/>
    <w:rsid w:val="00AD0CEB"/>
    <w:rsid w:val="00AD6067"/>
    <w:rsid w:val="00AD73B0"/>
    <w:rsid w:val="00B02A6C"/>
    <w:rsid w:val="00B03219"/>
    <w:rsid w:val="00B10BA2"/>
    <w:rsid w:val="00B11662"/>
    <w:rsid w:val="00B12105"/>
    <w:rsid w:val="00B1795B"/>
    <w:rsid w:val="00B17FBE"/>
    <w:rsid w:val="00B25EFC"/>
    <w:rsid w:val="00B44390"/>
    <w:rsid w:val="00B469BF"/>
    <w:rsid w:val="00B513E5"/>
    <w:rsid w:val="00B539F6"/>
    <w:rsid w:val="00B55FEC"/>
    <w:rsid w:val="00B56E20"/>
    <w:rsid w:val="00B633E8"/>
    <w:rsid w:val="00B73F5E"/>
    <w:rsid w:val="00B75B4A"/>
    <w:rsid w:val="00B76026"/>
    <w:rsid w:val="00B80EC4"/>
    <w:rsid w:val="00B8225A"/>
    <w:rsid w:val="00B822AE"/>
    <w:rsid w:val="00B91A83"/>
    <w:rsid w:val="00B91DDB"/>
    <w:rsid w:val="00B944DC"/>
    <w:rsid w:val="00B959E1"/>
    <w:rsid w:val="00BA0D06"/>
    <w:rsid w:val="00BA2811"/>
    <w:rsid w:val="00BA36F8"/>
    <w:rsid w:val="00BA48A3"/>
    <w:rsid w:val="00BA6E13"/>
    <w:rsid w:val="00BB0B99"/>
    <w:rsid w:val="00BB7E7D"/>
    <w:rsid w:val="00BC70D3"/>
    <w:rsid w:val="00BD4512"/>
    <w:rsid w:val="00BD54E2"/>
    <w:rsid w:val="00BD6D14"/>
    <w:rsid w:val="00BE11E0"/>
    <w:rsid w:val="00BE2428"/>
    <w:rsid w:val="00BE58D9"/>
    <w:rsid w:val="00C01903"/>
    <w:rsid w:val="00C02271"/>
    <w:rsid w:val="00C02C23"/>
    <w:rsid w:val="00C05E3D"/>
    <w:rsid w:val="00C06211"/>
    <w:rsid w:val="00C13188"/>
    <w:rsid w:val="00C16452"/>
    <w:rsid w:val="00C243A8"/>
    <w:rsid w:val="00C24711"/>
    <w:rsid w:val="00C27505"/>
    <w:rsid w:val="00C31118"/>
    <w:rsid w:val="00C41FEA"/>
    <w:rsid w:val="00C43718"/>
    <w:rsid w:val="00C47CE9"/>
    <w:rsid w:val="00C55E57"/>
    <w:rsid w:val="00C563A4"/>
    <w:rsid w:val="00C65797"/>
    <w:rsid w:val="00C66453"/>
    <w:rsid w:val="00C72801"/>
    <w:rsid w:val="00C77EBE"/>
    <w:rsid w:val="00C874CE"/>
    <w:rsid w:val="00C9440D"/>
    <w:rsid w:val="00CA2002"/>
    <w:rsid w:val="00CA5A0D"/>
    <w:rsid w:val="00CB24E3"/>
    <w:rsid w:val="00CC1FCC"/>
    <w:rsid w:val="00CD2392"/>
    <w:rsid w:val="00CD26C3"/>
    <w:rsid w:val="00CD6F2B"/>
    <w:rsid w:val="00CE69ED"/>
    <w:rsid w:val="00D123BA"/>
    <w:rsid w:val="00D1287F"/>
    <w:rsid w:val="00D14E7A"/>
    <w:rsid w:val="00D208B6"/>
    <w:rsid w:val="00D2481E"/>
    <w:rsid w:val="00D259AD"/>
    <w:rsid w:val="00D31001"/>
    <w:rsid w:val="00D343F5"/>
    <w:rsid w:val="00D44BC0"/>
    <w:rsid w:val="00D479F1"/>
    <w:rsid w:val="00D47C70"/>
    <w:rsid w:val="00D536E6"/>
    <w:rsid w:val="00D556B4"/>
    <w:rsid w:val="00D55802"/>
    <w:rsid w:val="00D57C06"/>
    <w:rsid w:val="00D608D0"/>
    <w:rsid w:val="00D63503"/>
    <w:rsid w:val="00D67C65"/>
    <w:rsid w:val="00D71D56"/>
    <w:rsid w:val="00D737E4"/>
    <w:rsid w:val="00D829B3"/>
    <w:rsid w:val="00D8313F"/>
    <w:rsid w:val="00D839A3"/>
    <w:rsid w:val="00D86744"/>
    <w:rsid w:val="00D90800"/>
    <w:rsid w:val="00D90BC5"/>
    <w:rsid w:val="00D93A8D"/>
    <w:rsid w:val="00D956C5"/>
    <w:rsid w:val="00DA1515"/>
    <w:rsid w:val="00DA26B8"/>
    <w:rsid w:val="00DB0467"/>
    <w:rsid w:val="00DB5496"/>
    <w:rsid w:val="00DC52AF"/>
    <w:rsid w:val="00DE0086"/>
    <w:rsid w:val="00DE3D75"/>
    <w:rsid w:val="00DE6AA9"/>
    <w:rsid w:val="00DF3039"/>
    <w:rsid w:val="00DF381C"/>
    <w:rsid w:val="00E000BE"/>
    <w:rsid w:val="00E06B96"/>
    <w:rsid w:val="00E13DA8"/>
    <w:rsid w:val="00E2020D"/>
    <w:rsid w:val="00E21F20"/>
    <w:rsid w:val="00E25E25"/>
    <w:rsid w:val="00E26523"/>
    <w:rsid w:val="00E325AC"/>
    <w:rsid w:val="00E32A33"/>
    <w:rsid w:val="00E4207D"/>
    <w:rsid w:val="00E44445"/>
    <w:rsid w:val="00E45095"/>
    <w:rsid w:val="00E4661A"/>
    <w:rsid w:val="00E50774"/>
    <w:rsid w:val="00E51602"/>
    <w:rsid w:val="00E51944"/>
    <w:rsid w:val="00E51A26"/>
    <w:rsid w:val="00E557A8"/>
    <w:rsid w:val="00E60129"/>
    <w:rsid w:val="00E67FF7"/>
    <w:rsid w:val="00E71FF3"/>
    <w:rsid w:val="00E7298B"/>
    <w:rsid w:val="00E7359A"/>
    <w:rsid w:val="00E74E67"/>
    <w:rsid w:val="00E77462"/>
    <w:rsid w:val="00E8010C"/>
    <w:rsid w:val="00E81566"/>
    <w:rsid w:val="00E82717"/>
    <w:rsid w:val="00E85635"/>
    <w:rsid w:val="00EA250A"/>
    <w:rsid w:val="00EA32BD"/>
    <w:rsid w:val="00EA3C33"/>
    <w:rsid w:val="00EB34ED"/>
    <w:rsid w:val="00EB4A3A"/>
    <w:rsid w:val="00EC1D1C"/>
    <w:rsid w:val="00ED5158"/>
    <w:rsid w:val="00ED7522"/>
    <w:rsid w:val="00EF0A6F"/>
    <w:rsid w:val="00EF2A43"/>
    <w:rsid w:val="00F014C7"/>
    <w:rsid w:val="00F03D48"/>
    <w:rsid w:val="00F0479F"/>
    <w:rsid w:val="00F1366A"/>
    <w:rsid w:val="00F23072"/>
    <w:rsid w:val="00F23226"/>
    <w:rsid w:val="00F24363"/>
    <w:rsid w:val="00F24680"/>
    <w:rsid w:val="00F24778"/>
    <w:rsid w:val="00F3076B"/>
    <w:rsid w:val="00F37F45"/>
    <w:rsid w:val="00F43833"/>
    <w:rsid w:val="00F44DE7"/>
    <w:rsid w:val="00F66135"/>
    <w:rsid w:val="00F6620A"/>
    <w:rsid w:val="00F76777"/>
    <w:rsid w:val="00F81D51"/>
    <w:rsid w:val="00F85E44"/>
    <w:rsid w:val="00F910F5"/>
    <w:rsid w:val="00F95DA4"/>
    <w:rsid w:val="00FA1375"/>
    <w:rsid w:val="00FA171D"/>
    <w:rsid w:val="00FA5F2F"/>
    <w:rsid w:val="00FA7A3D"/>
    <w:rsid w:val="00FB587D"/>
    <w:rsid w:val="00FB61F4"/>
    <w:rsid w:val="00FC3EF5"/>
    <w:rsid w:val="00FD0500"/>
    <w:rsid w:val="00FE4B24"/>
    <w:rsid w:val="00FF79AB"/>
    <w:rsid w:val="00FF7B7E"/>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7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469B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469BF"/>
    <w:rPr>
      <w:rFonts w:ascii="Calibri" w:eastAsia="Calibri" w:hAnsi="Calibri" w:cs="Times New Roman"/>
      <w:sz w:val="20"/>
      <w:szCs w:val="20"/>
    </w:rPr>
  </w:style>
  <w:style w:type="character" w:styleId="FootnoteReference">
    <w:name w:val="footnote reference"/>
    <w:uiPriority w:val="99"/>
    <w:semiHidden/>
    <w:rsid w:val="00B469BF"/>
    <w:rPr>
      <w:rFonts w:cs="Times New Roman"/>
      <w:vertAlign w:val="superscript"/>
    </w:rPr>
  </w:style>
  <w:style w:type="paragraph" w:styleId="BalloonText">
    <w:name w:val="Balloon Text"/>
    <w:basedOn w:val="Normal"/>
    <w:link w:val="BalloonTextChar"/>
    <w:uiPriority w:val="99"/>
    <w:semiHidden/>
    <w:unhideWhenUsed/>
    <w:rsid w:val="00B46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9BF"/>
    <w:rPr>
      <w:rFonts w:ascii="Tahoma" w:hAnsi="Tahoma" w:cs="Tahoma"/>
      <w:sz w:val="16"/>
      <w:szCs w:val="16"/>
    </w:rPr>
  </w:style>
  <w:style w:type="table" w:styleId="TableGrid">
    <w:name w:val="Table Grid"/>
    <w:basedOn w:val="TableNormal"/>
    <w:uiPriority w:val="59"/>
    <w:rsid w:val="00C3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D50"/>
    <w:rPr>
      <w:color w:val="0000FF" w:themeColor="hyperlink"/>
      <w:u w:val="single"/>
    </w:rPr>
  </w:style>
  <w:style w:type="paragraph" w:styleId="EndnoteText">
    <w:name w:val="endnote text"/>
    <w:basedOn w:val="Normal"/>
    <w:link w:val="EndnoteTextChar"/>
    <w:uiPriority w:val="99"/>
    <w:semiHidden/>
    <w:unhideWhenUsed/>
    <w:rsid w:val="00A977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77D4"/>
    <w:rPr>
      <w:sz w:val="20"/>
      <w:szCs w:val="20"/>
    </w:rPr>
  </w:style>
  <w:style w:type="character" w:styleId="EndnoteReference">
    <w:name w:val="endnote reference"/>
    <w:basedOn w:val="DefaultParagraphFont"/>
    <w:uiPriority w:val="99"/>
    <w:semiHidden/>
    <w:unhideWhenUsed/>
    <w:rsid w:val="00A977D4"/>
    <w:rPr>
      <w:vertAlign w:val="superscript"/>
    </w:rPr>
  </w:style>
  <w:style w:type="character" w:customStyle="1" w:styleId="Heading1Char">
    <w:name w:val="Heading 1 Char"/>
    <w:basedOn w:val="DefaultParagraphFont"/>
    <w:link w:val="Heading1"/>
    <w:uiPriority w:val="9"/>
    <w:rsid w:val="00E67FF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1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75"/>
  </w:style>
  <w:style w:type="paragraph" w:styleId="Footer">
    <w:name w:val="footer"/>
    <w:basedOn w:val="Normal"/>
    <w:link w:val="FooterChar"/>
    <w:uiPriority w:val="99"/>
    <w:unhideWhenUsed/>
    <w:rsid w:val="00FA1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75"/>
  </w:style>
  <w:style w:type="character" w:styleId="CommentReference">
    <w:name w:val="annotation reference"/>
    <w:basedOn w:val="DefaultParagraphFont"/>
    <w:uiPriority w:val="99"/>
    <w:semiHidden/>
    <w:unhideWhenUsed/>
    <w:rsid w:val="00843DFD"/>
    <w:rPr>
      <w:sz w:val="16"/>
      <w:szCs w:val="16"/>
    </w:rPr>
  </w:style>
  <w:style w:type="paragraph" w:styleId="CommentText">
    <w:name w:val="annotation text"/>
    <w:basedOn w:val="Normal"/>
    <w:link w:val="CommentTextChar"/>
    <w:uiPriority w:val="99"/>
    <w:semiHidden/>
    <w:unhideWhenUsed/>
    <w:rsid w:val="00843DFD"/>
    <w:pPr>
      <w:spacing w:line="240" w:lineRule="auto"/>
    </w:pPr>
    <w:rPr>
      <w:sz w:val="20"/>
      <w:szCs w:val="20"/>
    </w:rPr>
  </w:style>
  <w:style w:type="character" w:customStyle="1" w:styleId="CommentTextChar">
    <w:name w:val="Comment Text Char"/>
    <w:basedOn w:val="DefaultParagraphFont"/>
    <w:link w:val="CommentText"/>
    <w:uiPriority w:val="99"/>
    <w:semiHidden/>
    <w:rsid w:val="00843DFD"/>
    <w:rPr>
      <w:sz w:val="20"/>
      <w:szCs w:val="20"/>
    </w:rPr>
  </w:style>
  <w:style w:type="paragraph" w:styleId="CommentSubject">
    <w:name w:val="annotation subject"/>
    <w:basedOn w:val="CommentText"/>
    <w:next w:val="CommentText"/>
    <w:link w:val="CommentSubjectChar"/>
    <w:uiPriority w:val="99"/>
    <w:semiHidden/>
    <w:unhideWhenUsed/>
    <w:rsid w:val="00843DFD"/>
    <w:rPr>
      <w:b/>
      <w:bCs/>
    </w:rPr>
  </w:style>
  <w:style w:type="character" w:customStyle="1" w:styleId="CommentSubjectChar">
    <w:name w:val="Comment Subject Char"/>
    <w:basedOn w:val="CommentTextChar"/>
    <w:link w:val="CommentSubject"/>
    <w:uiPriority w:val="99"/>
    <w:semiHidden/>
    <w:rsid w:val="00843DFD"/>
    <w:rPr>
      <w:b/>
      <w:bCs/>
      <w:sz w:val="20"/>
      <w:szCs w:val="20"/>
    </w:rPr>
  </w:style>
  <w:style w:type="paragraph" w:customStyle="1" w:styleId="Default">
    <w:name w:val="Default"/>
    <w:rsid w:val="00FF7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7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469B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469BF"/>
    <w:rPr>
      <w:rFonts w:ascii="Calibri" w:eastAsia="Calibri" w:hAnsi="Calibri" w:cs="Times New Roman"/>
      <w:sz w:val="20"/>
      <w:szCs w:val="20"/>
    </w:rPr>
  </w:style>
  <w:style w:type="character" w:styleId="FootnoteReference">
    <w:name w:val="footnote reference"/>
    <w:uiPriority w:val="99"/>
    <w:semiHidden/>
    <w:rsid w:val="00B469BF"/>
    <w:rPr>
      <w:rFonts w:cs="Times New Roman"/>
      <w:vertAlign w:val="superscript"/>
    </w:rPr>
  </w:style>
  <w:style w:type="paragraph" w:styleId="BalloonText">
    <w:name w:val="Balloon Text"/>
    <w:basedOn w:val="Normal"/>
    <w:link w:val="BalloonTextChar"/>
    <w:uiPriority w:val="99"/>
    <w:semiHidden/>
    <w:unhideWhenUsed/>
    <w:rsid w:val="00B46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9BF"/>
    <w:rPr>
      <w:rFonts w:ascii="Tahoma" w:hAnsi="Tahoma" w:cs="Tahoma"/>
      <w:sz w:val="16"/>
      <w:szCs w:val="16"/>
    </w:rPr>
  </w:style>
  <w:style w:type="table" w:styleId="TableGrid">
    <w:name w:val="Table Grid"/>
    <w:basedOn w:val="TableNormal"/>
    <w:uiPriority w:val="59"/>
    <w:rsid w:val="00C3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D50"/>
    <w:rPr>
      <w:color w:val="0000FF" w:themeColor="hyperlink"/>
      <w:u w:val="single"/>
    </w:rPr>
  </w:style>
  <w:style w:type="paragraph" w:styleId="EndnoteText">
    <w:name w:val="endnote text"/>
    <w:basedOn w:val="Normal"/>
    <w:link w:val="EndnoteTextChar"/>
    <w:uiPriority w:val="99"/>
    <w:semiHidden/>
    <w:unhideWhenUsed/>
    <w:rsid w:val="00A977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77D4"/>
    <w:rPr>
      <w:sz w:val="20"/>
      <w:szCs w:val="20"/>
    </w:rPr>
  </w:style>
  <w:style w:type="character" w:styleId="EndnoteReference">
    <w:name w:val="endnote reference"/>
    <w:basedOn w:val="DefaultParagraphFont"/>
    <w:uiPriority w:val="99"/>
    <w:semiHidden/>
    <w:unhideWhenUsed/>
    <w:rsid w:val="00A977D4"/>
    <w:rPr>
      <w:vertAlign w:val="superscript"/>
    </w:rPr>
  </w:style>
  <w:style w:type="character" w:customStyle="1" w:styleId="Heading1Char">
    <w:name w:val="Heading 1 Char"/>
    <w:basedOn w:val="DefaultParagraphFont"/>
    <w:link w:val="Heading1"/>
    <w:uiPriority w:val="9"/>
    <w:rsid w:val="00E67FF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1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75"/>
  </w:style>
  <w:style w:type="paragraph" w:styleId="Footer">
    <w:name w:val="footer"/>
    <w:basedOn w:val="Normal"/>
    <w:link w:val="FooterChar"/>
    <w:uiPriority w:val="99"/>
    <w:unhideWhenUsed/>
    <w:rsid w:val="00FA1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75"/>
  </w:style>
  <w:style w:type="character" w:styleId="CommentReference">
    <w:name w:val="annotation reference"/>
    <w:basedOn w:val="DefaultParagraphFont"/>
    <w:uiPriority w:val="99"/>
    <w:semiHidden/>
    <w:unhideWhenUsed/>
    <w:rsid w:val="00843DFD"/>
    <w:rPr>
      <w:sz w:val="16"/>
      <w:szCs w:val="16"/>
    </w:rPr>
  </w:style>
  <w:style w:type="paragraph" w:styleId="CommentText">
    <w:name w:val="annotation text"/>
    <w:basedOn w:val="Normal"/>
    <w:link w:val="CommentTextChar"/>
    <w:uiPriority w:val="99"/>
    <w:semiHidden/>
    <w:unhideWhenUsed/>
    <w:rsid w:val="00843DFD"/>
    <w:pPr>
      <w:spacing w:line="240" w:lineRule="auto"/>
    </w:pPr>
    <w:rPr>
      <w:sz w:val="20"/>
      <w:szCs w:val="20"/>
    </w:rPr>
  </w:style>
  <w:style w:type="character" w:customStyle="1" w:styleId="CommentTextChar">
    <w:name w:val="Comment Text Char"/>
    <w:basedOn w:val="DefaultParagraphFont"/>
    <w:link w:val="CommentText"/>
    <w:uiPriority w:val="99"/>
    <w:semiHidden/>
    <w:rsid w:val="00843DFD"/>
    <w:rPr>
      <w:sz w:val="20"/>
      <w:szCs w:val="20"/>
    </w:rPr>
  </w:style>
  <w:style w:type="paragraph" w:styleId="CommentSubject">
    <w:name w:val="annotation subject"/>
    <w:basedOn w:val="CommentText"/>
    <w:next w:val="CommentText"/>
    <w:link w:val="CommentSubjectChar"/>
    <w:uiPriority w:val="99"/>
    <w:semiHidden/>
    <w:unhideWhenUsed/>
    <w:rsid w:val="00843DFD"/>
    <w:rPr>
      <w:b/>
      <w:bCs/>
    </w:rPr>
  </w:style>
  <w:style w:type="character" w:customStyle="1" w:styleId="CommentSubjectChar">
    <w:name w:val="Comment Subject Char"/>
    <w:basedOn w:val="CommentTextChar"/>
    <w:link w:val="CommentSubject"/>
    <w:uiPriority w:val="99"/>
    <w:semiHidden/>
    <w:rsid w:val="00843DFD"/>
    <w:rPr>
      <w:b/>
      <w:bCs/>
      <w:sz w:val="20"/>
      <w:szCs w:val="20"/>
    </w:rPr>
  </w:style>
  <w:style w:type="paragraph" w:customStyle="1" w:styleId="Default">
    <w:name w:val="Default"/>
    <w:rsid w:val="00FF7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89381">
      <w:bodyDiv w:val="1"/>
      <w:marLeft w:val="0"/>
      <w:marRight w:val="0"/>
      <w:marTop w:val="0"/>
      <w:marBottom w:val="0"/>
      <w:divBdr>
        <w:top w:val="none" w:sz="0" w:space="0" w:color="auto"/>
        <w:left w:val="none" w:sz="0" w:space="0" w:color="auto"/>
        <w:bottom w:val="none" w:sz="0" w:space="0" w:color="auto"/>
        <w:right w:val="none" w:sz="0" w:space="0" w:color="auto"/>
      </w:divBdr>
    </w:div>
    <w:div w:id="1027608671">
      <w:bodyDiv w:val="1"/>
      <w:marLeft w:val="0"/>
      <w:marRight w:val="0"/>
      <w:marTop w:val="0"/>
      <w:marBottom w:val="0"/>
      <w:divBdr>
        <w:top w:val="none" w:sz="0" w:space="0" w:color="auto"/>
        <w:left w:val="none" w:sz="0" w:space="0" w:color="auto"/>
        <w:bottom w:val="none" w:sz="0" w:space="0" w:color="auto"/>
        <w:right w:val="none" w:sz="0" w:space="0" w:color="auto"/>
      </w:divBdr>
    </w:div>
    <w:div w:id="1088309287">
      <w:bodyDiv w:val="1"/>
      <w:marLeft w:val="0"/>
      <w:marRight w:val="0"/>
      <w:marTop w:val="0"/>
      <w:marBottom w:val="0"/>
      <w:divBdr>
        <w:top w:val="none" w:sz="0" w:space="0" w:color="auto"/>
        <w:left w:val="none" w:sz="0" w:space="0" w:color="auto"/>
        <w:bottom w:val="none" w:sz="0" w:space="0" w:color="auto"/>
        <w:right w:val="none" w:sz="0" w:space="0" w:color="auto"/>
      </w:divBdr>
    </w:div>
    <w:div w:id="1103771523">
      <w:bodyDiv w:val="1"/>
      <w:marLeft w:val="0"/>
      <w:marRight w:val="0"/>
      <w:marTop w:val="0"/>
      <w:marBottom w:val="0"/>
      <w:divBdr>
        <w:top w:val="none" w:sz="0" w:space="0" w:color="auto"/>
        <w:left w:val="none" w:sz="0" w:space="0" w:color="auto"/>
        <w:bottom w:val="none" w:sz="0" w:space="0" w:color="auto"/>
        <w:right w:val="none" w:sz="0" w:space="0" w:color="auto"/>
      </w:divBdr>
    </w:div>
    <w:div w:id="1178424784">
      <w:bodyDiv w:val="1"/>
      <w:marLeft w:val="0"/>
      <w:marRight w:val="0"/>
      <w:marTop w:val="0"/>
      <w:marBottom w:val="0"/>
      <w:divBdr>
        <w:top w:val="none" w:sz="0" w:space="0" w:color="auto"/>
        <w:left w:val="none" w:sz="0" w:space="0" w:color="auto"/>
        <w:bottom w:val="none" w:sz="0" w:space="0" w:color="auto"/>
        <w:right w:val="none" w:sz="0" w:space="0" w:color="auto"/>
      </w:divBdr>
    </w:div>
    <w:div w:id="1181897696">
      <w:bodyDiv w:val="1"/>
      <w:marLeft w:val="0"/>
      <w:marRight w:val="0"/>
      <w:marTop w:val="0"/>
      <w:marBottom w:val="0"/>
      <w:divBdr>
        <w:top w:val="none" w:sz="0" w:space="0" w:color="auto"/>
        <w:left w:val="none" w:sz="0" w:space="0" w:color="auto"/>
        <w:bottom w:val="none" w:sz="0" w:space="0" w:color="auto"/>
        <w:right w:val="none" w:sz="0" w:space="0" w:color="auto"/>
      </w:divBdr>
    </w:div>
    <w:div w:id="123647288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343051255">
      <w:bodyDiv w:val="1"/>
      <w:marLeft w:val="0"/>
      <w:marRight w:val="0"/>
      <w:marTop w:val="0"/>
      <w:marBottom w:val="0"/>
      <w:divBdr>
        <w:top w:val="none" w:sz="0" w:space="0" w:color="auto"/>
        <w:left w:val="none" w:sz="0" w:space="0" w:color="auto"/>
        <w:bottom w:val="none" w:sz="0" w:space="0" w:color="auto"/>
        <w:right w:val="none" w:sz="0" w:space="0" w:color="auto"/>
      </w:divBdr>
    </w:div>
    <w:div w:id="1379663969">
      <w:bodyDiv w:val="1"/>
      <w:marLeft w:val="0"/>
      <w:marRight w:val="0"/>
      <w:marTop w:val="0"/>
      <w:marBottom w:val="0"/>
      <w:divBdr>
        <w:top w:val="none" w:sz="0" w:space="0" w:color="auto"/>
        <w:left w:val="none" w:sz="0" w:space="0" w:color="auto"/>
        <w:bottom w:val="none" w:sz="0" w:space="0" w:color="auto"/>
        <w:right w:val="none" w:sz="0" w:space="0" w:color="auto"/>
      </w:divBdr>
    </w:div>
    <w:div w:id="1527908710">
      <w:bodyDiv w:val="1"/>
      <w:marLeft w:val="0"/>
      <w:marRight w:val="0"/>
      <w:marTop w:val="0"/>
      <w:marBottom w:val="0"/>
      <w:divBdr>
        <w:top w:val="none" w:sz="0" w:space="0" w:color="auto"/>
        <w:left w:val="none" w:sz="0" w:space="0" w:color="auto"/>
        <w:bottom w:val="none" w:sz="0" w:space="0" w:color="auto"/>
        <w:right w:val="none" w:sz="0" w:space="0" w:color="auto"/>
      </w:divBdr>
    </w:div>
    <w:div w:id="1549612009">
      <w:bodyDiv w:val="1"/>
      <w:marLeft w:val="0"/>
      <w:marRight w:val="0"/>
      <w:marTop w:val="0"/>
      <w:marBottom w:val="0"/>
      <w:divBdr>
        <w:top w:val="none" w:sz="0" w:space="0" w:color="auto"/>
        <w:left w:val="none" w:sz="0" w:space="0" w:color="auto"/>
        <w:bottom w:val="none" w:sz="0" w:space="0" w:color="auto"/>
        <w:right w:val="none" w:sz="0" w:space="0" w:color="auto"/>
      </w:divBdr>
    </w:div>
    <w:div w:id="1567303447">
      <w:bodyDiv w:val="1"/>
      <w:marLeft w:val="0"/>
      <w:marRight w:val="0"/>
      <w:marTop w:val="0"/>
      <w:marBottom w:val="0"/>
      <w:divBdr>
        <w:top w:val="none" w:sz="0" w:space="0" w:color="auto"/>
        <w:left w:val="none" w:sz="0" w:space="0" w:color="auto"/>
        <w:bottom w:val="none" w:sz="0" w:space="0" w:color="auto"/>
        <w:right w:val="none" w:sz="0" w:space="0" w:color="auto"/>
      </w:divBdr>
    </w:div>
    <w:div w:id="1590383977">
      <w:bodyDiv w:val="1"/>
      <w:marLeft w:val="0"/>
      <w:marRight w:val="0"/>
      <w:marTop w:val="0"/>
      <w:marBottom w:val="0"/>
      <w:divBdr>
        <w:top w:val="none" w:sz="0" w:space="0" w:color="auto"/>
        <w:left w:val="none" w:sz="0" w:space="0" w:color="auto"/>
        <w:bottom w:val="none" w:sz="0" w:space="0" w:color="auto"/>
        <w:right w:val="none" w:sz="0" w:space="0" w:color="auto"/>
      </w:divBdr>
    </w:div>
    <w:div w:id="1711489864">
      <w:bodyDiv w:val="1"/>
      <w:marLeft w:val="0"/>
      <w:marRight w:val="0"/>
      <w:marTop w:val="0"/>
      <w:marBottom w:val="0"/>
      <w:divBdr>
        <w:top w:val="none" w:sz="0" w:space="0" w:color="auto"/>
        <w:left w:val="none" w:sz="0" w:space="0" w:color="auto"/>
        <w:bottom w:val="none" w:sz="0" w:space="0" w:color="auto"/>
        <w:right w:val="none" w:sz="0" w:space="0" w:color="auto"/>
      </w:divBdr>
    </w:div>
    <w:div w:id="1886990224">
      <w:bodyDiv w:val="1"/>
      <w:marLeft w:val="0"/>
      <w:marRight w:val="0"/>
      <w:marTop w:val="0"/>
      <w:marBottom w:val="0"/>
      <w:divBdr>
        <w:top w:val="none" w:sz="0" w:space="0" w:color="auto"/>
        <w:left w:val="none" w:sz="0" w:space="0" w:color="auto"/>
        <w:bottom w:val="none" w:sz="0" w:space="0" w:color="auto"/>
        <w:right w:val="none" w:sz="0" w:space="0" w:color="auto"/>
      </w:divBdr>
    </w:div>
    <w:div w:id="19008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stat.eu" TargetMode="External"/><Relationship Id="rId13" Type="http://schemas.openxmlformats.org/officeDocument/2006/relationships/image" Target="media/image2.emf"/><Relationship Id="rId18" Type="http://schemas.openxmlformats.org/officeDocument/2006/relationships/hyperlink" Target="http://www.march.es/ceacs/publicaciones/working/archivos/1995_71.pdf" TargetMode="External"/><Relationship Id="rId3" Type="http://schemas.microsoft.com/office/2007/relationships/stylesWithEffects" Target="stylesWithEffects.xml"/><Relationship Id="rId21" Type="http://schemas.openxmlformats.org/officeDocument/2006/relationships/hyperlink" Target="http://www.europeansocialsurvey.org/index.php?option=com_docman&amp;task=cat_view&amp;gid=169&amp;Itemid=80"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http://ec.europa.eu/public_opinion/archives/ebs/ebs_374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epp.eurostat.ec.europa.eu/statistics_explained/index.php/Labour_market_participation_by_sex_and_age" TargetMode="External"/><Relationship Id="rId10" Type="http://schemas.openxmlformats.org/officeDocument/2006/relationships/hyperlink" Target="http://www.europeansocialsurvey.org" TargetMode="External"/><Relationship Id="rId19" Type="http://schemas.openxmlformats.org/officeDocument/2006/relationships/hyperlink" Target="http://www.issa.int/pdf/anvers03/keynotes/2esping.pdf" TargetMode="External"/><Relationship Id="rId4" Type="http://schemas.openxmlformats.org/officeDocument/2006/relationships/settings" Target="settings.xml"/><Relationship Id="rId9" Type="http://schemas.openxmlformats.org/officeDocument/2006/relationships/hyperlink" Target="http://www.worldvaluessurvey.org" TargetMode="External"/><Relationship Id="rId14" Type="http://schemas.openxmlformats.org/officeDocument/2006/relationships/oleObject" Target="embeddings/oleObject2.bin"/><Relationship Id="rId22" Type="http://schemas.openxmlformats.org/officeDocument/2006/relationships/hyperlink" Target="http://epp.eurostat.ec.europa.eu/tgm/table.do?tab=table&amp;init=1&amp;plugin=1&amp;language=en&amp;pcode=tsdpc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73E8-D779-4907-BFB4-62725ABB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7501</Words>
  <Characters>42756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dcu</cp:lastModifiedBy>
  <cp:revision>2</cp:revision>
  <dcterms:created xsi:type="dcterms:W3CDTF">2015-11-09T13:03:00Z</dcterms:created>
  <dcterms:modified xsi:type="dcterms:W3CDTF">2015-11-09T13:03:00Z</dcterms:modified>
</cp:coreProperties>
</file>