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0A86" w:rsidRPr="00873C4C" w:rsidRDefault="00CB0A86" w:rsidP="00057B42">
      <w:pPr>
        <w:spacing w:line="360" w:lineRule="auto"/>
        <w:rPr>
          <w:color w:val="000000"/>
        </w:rPr>
      </w:pPr>
    </w:p>
    <w:p w:rsidR="00CB0A86" w:rsidRPr="00B523B3" w:rsidRDefault="00CB0A86" w:rsidP="00057B42">
      <w:pPr>
        <w:spacing w:line="360" w:lineRule="auto"/>
        <w:jc w:val="center"/>
        <w:rPr>
          <w:color w:val="000000"/>
          <w:sz w:val="48"/>
          <w:szCs w:val="48"/>
        </w:rPr>
      </w:pPr>
      <w:r w:rsidRPr="00B523B3">
        <w:rPr>
          <w:color w:val="000000"/>
          <w:sz w:val="48"/>
          <w:szCs w:val="48"/>
        </w:rPr>
        <w:t>Investigating</w:t>
      </w:r>
    </w:p>
    <w:p w:rsidR="00CB0A86" w:rsidRPr="00B523B3" w:rsidRDefault="00FB2211" w:rsidP="00057B42">
      <w:pPr>
        <w:spacing w:line="360" w:lineRule="auto"/>
        <w:jc w:val="center"/>
        <w:rPr>
          <w:color w:val="000000"/>
          <w:sz w:val="48"/>
          <w:szCs w:val="48"/>
        </w:rPr>
      </w:pPr>
      <w:r>
        <w:rPr>
          <w:color w:val="000000"/>
          <w:sz w:val="48"/>
          <w:szCs w:val="48"/>
        </w:rPr>
        <w:t>biomarkers in clinical samples that are</w:t>
      </w:r>
      <w:r w:rsidR="00CB0A86" w:rsidRPr="00B523B3">
        <w:rPr>
          <w:color w:val="000000"/>
          <w:sz w:val="48"/>
          <w:szCs w:val="48"/>
        </w:rPr>
        <w:t xml:space="preserve"> predictive of response in</w:t>
      </w:r>
    </w:p>
    <w:p w:rsidR="00CB0A86" w:rsidRPr="00873C4C" w:rsidRDefault="00CB0A86" w:rsidP="00057B42">
      <w:pPr>
        <w:spacing w:line="360" w:lineRule="auto"/>
        <w:jc w:val="center"/>
        <w:rPr>
          <w:color w:val="000000"/>
          <w:sz w:val="56"/>
          <w:szCs w:val="56"/>
        </w:rPr>
      </w:pPr>
      <w:r w:rsidRPr="00B523B3">
        <w:rPr>
          <w:color w:val="000000"/>
          <w:sz w:val="48"/>
          <w:szCs w:val="48"/>
        </w:rPr>
        <w:t>Multiple Myeloma</w:t>
      </w:r>
    </w:p>
    <w:p w:rsidR="00CB0A86" w:rsidRPr="00873C4C" w:rsidRDefault="00CB0A86" w:rsidP="00057B42">
      <w:pPr>
        <w:spacing w:line="360" w:lineRule="auto"/>
        <w:jc w:val="center"/>
        <w:rPr>
          <w:color w:val="000000"/>
          <w:sz w:val="56"/>
          <w:szCs w:val="56"/>
        </w:rPr>
      </w:pPr>
    </w:p>
    <w:p w:rsidR="00C0014A" w:rsidRPr="00940460" w:rsidRDefault="00C0014A" w:rsidP="00057B42">
      <w:pPr>
        <w:autoSpaceDE w:val="0"/>
        <w:autoSpaceDN w:val="0"/>
        <w:adjustRightInd w:val="0"/>
        <w:spacing w:line="360" w:lineRule="auto"/>
        <w:jc w:val="center"/>
        <w:rPr>
          <w:sz w:val="32"/>
          <w:szCs w:val="32"/>
          <w:lang w:eastAsia="en-IE"/>
        </w:rPr>
      </w:pPr>
      <w:r w:rsidRPr="00940460">
        <w:rPr>
          <w:sz w:val="32"/>
          <w:szCs w:val="32"/>
          <w:lang w:eastAsia="en-IE"/>
        </w:rPr>
        <w:t>A thesis submitted for the degree of Ph.D.</w:t>
      </w:r>
    </w:p>
    <w:p w:rsidR="00C0014A" w:rsidRPr="00940460" w:rsidRDefault="00C0014A" w:rsidP="00057B42">
      <w:pPr>
        <w:spacing w:line="360" w:lineRule="auto"/>
        <w:jc w:val="center"/>
        <w:rPr>
          <w:sz w:val="32"/>
          <w:szCs w:val="32"/>
          <w:lang w:eastAsia="en-IE"/>
        </w:rPr>
      </w:pPr>
      <w:r w:rsidRPr="00940460">
        <w:rPr>
          <w:sz w:val="32"/>
          <w:szCs w:val="32"/>
          <w:lang w:eastAsia="en-IE"/>
        </w:rPr>
        <w:t>By</w:t>
      </w:r>
    </w:p>
    <w:p w:rsidR="00CB0A86" w:rsidRPr="00940460" w:rsidRDefault="00CB0A86" w:rsidP="00057B42">
      <w:pPr>
        <w:spacing w:line="360" w:lineRule="auto"/>
        <w:jc w:val="center"/>
        <w:rPr>
          <w:color w:val="000000"/>
          <w:sz w:val="32"/>
          <w:szCs w:val="32"/>
        </w:rPr>
      </w:pPr>
      <w:r w:rsidRPr="00940460">
        <w:rPr>
          <w:color w:val="000000"/>
          <w:sz w:val="32"/>
          <w:szCs w:val="32"/>
        </w:rPr>
        <w:t>Rajesh Rajpal</w:t>
      </w:r>
      <w:r w:rsidR="00C0014A" w:rsidRPr="00940460">
        <w:rPr>
          <w:color w:val="000000"/>
          <w:sz w:val="32"/>
          <w:szCs w:val="32"/>
        </w:rPr>
        <w:t xml:space="preserve"> MB, BS, MRCPI</w:t>
      </w:r>
    </w:p>
    <w:p w:rsidR="00C0014A" w:rsidRPr="00940460" w:rsidRDefault="00C0014A" w:rsidP="00057B42">
      <w:pPr>
        <w:autoSpaceDE w:val="0"/>
        <w:autoSpaceDN w:val="0"/>
        <w:adjustRightInd w:val="0"/>
        <w:spacing w:line="360" w:lineRule="auto"/>
        <w:jc w:val="center"/>
        <w:rPr>
          <w:sz w:val="32"/>
          <w:szCs w:val="32"/>
          <w:lang w:eastAsia="en-IE"/>
        </w:rPr>
      </w:pPr>
    </w:p>
    <w:p w:rsidR="009E1B2D" w:rsidRDefault="009E1B2D" w:rsidP="00057B42">
      <w:pPr>
        <w:autoSpaceDE w:val="0"/>
        <w:autoSpaceDN w:val="0"/>
        <w:adjustRightInd w:val="0"/>
        <w:spacing w:line="360" w:lineRule="auto"/>
        <w:jc w:val="center"/>
        <w:rPr>
          <w:sz w:val="32"/>
          <w:szCs w:val="32"/>
          <w:lang w:eastAsia="en-IE"/>
        </w:rPr>
      </w:pPr>
    </w:p>
    <w:p w:rsidR="00C0014A" w:rsidRPr="00940460" w:rsidRDefault="00141D85" w:rsidP="00057B42">
      <w:pPr>
        <w:autoSpaceDE w:val="0"/>
        <w:autoSpaceDN w:val="0"/>
        <w:adjustRightInd w:val="0"/>
        <w:spacing w:line="360" w:lineRule="auto"/>
        <w:jc w:val="center"/>
        <w:rPr>
          <w:sz w:val="32"/>
          <w:szCs w:val="32"/>
          <w:lang w:eastAsia="en-IE"/>
        </w:rPr>
      </w:pPr>
      <w:r>
        <w:rPr>
          <w:sz w:val="32"/>
          <w:szCs w:val="32"/>
          <w:lang w:eastAsia="en-IE"/>
        </w:rPr>
        <w:t>The</w:t>
      </w:r>
      <w:r w:rsidR="00C0014A" w:rsidRPr="00940460">
        <w:rPr>
          <w:sz w:val="32"/>
          <w:szCs w:val="32"/>
          <w:lang w:eastAsia="en-IE"/>
        </w:rPr>
        <w:t xml:space="preserve"> research work described in </w:t>
      </w:r>
      <w:r>
        <w:rPr>
          <w:sz w:val="32"/>
          <w:szCs w:val="32"/>
          <w:lang w:eastAsia="en-IE"/>
        </w:rPr>
        <w:t xml:space="preserve">this </w:t>
      </w:r>
      <w:r w:rsidR="00C0014A" w:rsidRPr="00940460">
        <w:rPr>
          <w:sz w:val="32"/>
          <w:szCs w:val="32"/>
          <w:lang w:eastAsia="en-IE"/>
        </w:rPr>
        <w:t>thesis was carried out under</w:t>
      </w:r>
      <w:r>
        <w:rPr>
          <w:sz w:val="32"/>
          <w:szCs w:val="32"/>
          <w:lang w:eastAsia="en-IE"/>
        </w:rPr>
        <w:t xml:space="preserve"> </w:t>
      </w:r>
      <w:r w:rsidR="00C0014A" w:rsidRPr="00940460">
        <w:rPr>
          <w:sz w:val="32"/>
          <w:szCs w:val="32"/>
          <w:lang w:eastAsia="en-IE"/>
        </w:rPr>
        <w:t>the supervision of</w:t>
      </w:r>
    </w:p>
    <w:p w:rsidR="00C0014A" w:rsidRPr="00940460" w:rsidRDefault="00C0014A" w:rsidP="00057B42">
      <w:pPr>
        <w:autoSpaceDE w:val="0"/>
        <w:autoSpaceDN w:val="0"/>
        <w:adjustRightInd w:val="0"/>
        <w:spacing w:line="360" w:lineRule="auto"/>
        <w:jc w:val="center"/>
        <w:rPr>
          <w:sz w:val="32"/>
          <w:szCs w:val="32"/>
          <w:lang w:eastAsia="en-IE"/>
        </w:rPr>
      </w:pPr>
    </w:p>
    <w:p w:rsidR="00C0014A" w:rsidRPr="00940460" w:rsidRDefault="00C0014A" w:rsidP="00057B42">
      <w:pPr>
        <w:autoSpaceDE w:val="0"/>
        <w:autoSpaceDN w:val="0"/>
        <w:adjustRightInd w:val="0"/>
        <w:spacing w:line="360" w:lineRule="auto"/>
        <w:jc w:val="center"/>
        <w:rPr>
          <w:sz w:val="32"/>
          <w:szCs w:val="32"/>
          <w:lang w:eastAsia="en-IE"/>
        </w:rPr>
      </w:pPr>
      <w:r w:rsidRPr="00940460">
        <w:rPr>
          <w:sz w:val="32"/>
          <w:szCs w:val="32"/>
          <w:lang w:eastAsia="en-IE"/>
        </w:rPr>
        <w:t>Dr. Paul Dowling, Dr Peter O’Gorman and Prof. Martin Clynes</w:t>
      </w:r>
    </w:p>
    <w:p w:rsidR="00C0014A" w:rsidRPr="00940460" w:rsidRDefault="00C0014A" w:rsidP="00057B42">
      <w:pPr>
        <w:autoSpaceDE w:val="0"/>
        <w:autoSpaceDN w:val="0"/>
        <w:adjustRightInd w:val="0"/>
        <w:spacing w:line="360" w:lineRule="auto"/>
        <w:jc w:val="center"/>
        <w:rPr>
          <w:sz w:val="32"/>
          <w:szCs w:val="32"/>
          <w:lang w:eastAsia="en-IE"/>
        </w:rPr>
      </w:pPr>
    </w:p>
    <w:p w:rsidR="00C0014A" w:rsidRPr="00940460" w:rsidRDefault="00C0014A" w:rsidP="00057B42">
      <w:pPr>
        <w:autoSpaceDE w:val="0"/>
        <w:autoSpaceDN w:val="0"/>
        <w:adjustRightInd w:val="0"/>
        <w:spacing w:line="360" w:lineRule="auto"/>
        <w:jc w:val="center"/>
        <w:rPr>
          <w:sz w:val="32"/>
          <w:szCs w:val="32"/>
          <w:lang w:eastAsia="en-IE"/>
        </w:rPr>
      </w:pPr>
      <w:r w:rsidRPr="00940460">
        <w:rPr>
          <w:sz w:val="32"/>
          <w:szCs w:val="32"/>
          <w:lang w:eastAsia="en-IE"/>
        </w:rPr>
        <w:t>National Institute for Cellular Biotechnology</w:t>
      </w:r>
    </w:p>
    <w:p w:rsidR="00C0014A" w:rsidRPr="00940460" w:rsidRDefault="00C0014A" w:rsidP="00057B42">
      <w:pPr>
        <w:autoSpaceDE w:val="0"/>
        <w:autoSpaceDN w:val="0"/>
        <w:adjustRightInd w:val="0"/>
        <w:spacing w:line="360" w:lineRule="auto"/>
        <w:jc w:val="center"/>
        <w:rPr>
          <w:sz w:val="32"/>
          <w:szCs w:val="32"/>
          <w:lang w:eastAsia="en-IE"/>
        </w:rPr>
      </w:pPr>
      <w:r w:rsidRPr="00940460">
        <w:rPr>
          <w:sz w:val="32"/>
          <w:szCs w:val="32"/>
          <w:lang w:eastAsia="en-IE"/>
        </w:rPr>
        <w:t>Dublin City University</w:t>
      </w:r>
    </w:p>
    <w:p w:rsidR="00C0014A" w:rsidRDefault="00C0014A" w:rsidP="00057B42">
      <w:pPr>
        <w:spacing w:line="360" w:lineRule="auto"/>
        <w:jc w:val="center"/>
        <w:rPr>
          <w:sz w:val="32"/>
          <w:szCs w:val="32"/>
          <w:lang w:eastAsia="en-IE"/>
        </w:rPr>
      </w:pPr>
      <w:r w:rsidRPr="00940460">
        <w:rPr>
          <w:sz w:val="32"/>
          <w:szCs w:val="32"/>
          <w:lang w:eastAsia="en-IE"/>
        </w:rPr>
        <w:t>2011</w:t>
      </w:r>
    </w:p>
    <w:p w:rsidR="0084312E" w:rsidRDefault="0084312E" w:rsidP="00057B42">
      <w:pPr>
        <w:spacing w:line="360" w:lineRule="auto"/>
        <w:jc w:val="center"/>
        <w:rPr>
          <w:b/>
          <w:color w:val="000000"/>
          <w:sz w:val="32"/>
          <w:szCs w:val="32"/>
        </w:rPr>
      </w:pPr>
    </w:p>
    <w:p w:rsidR="0084312E" w:rsidRDefault="0084312E" w:rsidP="00057B42">
      <w:pPr>
        <w:spacing w:line="360" w:lineRule="auto"/>
        <w:jc w:val="center"/>
        <w:rPr>
          <w:b/>
          <w:color w:val="000000"/>
          <w:sz w:val="32"/>
          <w:szCs w:val="32"/>
        </w:rPr>
      </w:pPr>
    </w:p>
    <w:p w:rsidR="0084312E" w:rsidRPr="00940460" w:rsidRDefault="0084312E" w:rsidP="00057B42">
      <w:pPr>
        <w:spacing w:line="360" w:lineRule="auto"/>
        <w:jc w:val="center"/>
        <w:rPr>
          <w:b/>
          <w:color w:val="000000"/>
          <w:sz w:val="32"/>
          <w:szCs w:val="32"/>
        </w:rPr>
      </w:pPr>
    </w:p>
    <w:p w:rsidR="002058EA" w:rsidRDefault="002058EA" w:rsidP="00057B42">
      <w:pPr>
        <w:autoSpaceDE w:val="0"/>
        <w:autoSpaceDN w:val="0"/>
        <w:adjustRightInd w:val="0"/>
        <w:spacing w:line="360" w:lineRule="auto"/>
        <w:jc w:val="both"/>
        <w:rPr>
          <w:i/>
          <w:iCs/>
          <w:sz w:val="28"/>
          <w:szCs w:val="27"/>
          <w:lang w:eastAsia="en-IE"/>
        </w:rPr>
      </w:pPr>
      <w:bookmarkStart w:id="0" w:name="_Toc260495814"/>
      <w:bookmarkStart w:id="1" w:name="_Toc260496065"/>
      <w:bookmarkStart w:id="2" w:name="_Toc260500458"/>
      <w:bookmarkStart w:id="3" w:name="_Toc261098497"/>
    </w:p>
    <w:p w:rsidR="00DD1808" w:rsidRPr="00DD1808" w:rsidRDefault="00DD1808" w:rsidP="00057B42">
      <w:pPr>
        <w:autoSpaceDE w:val="0"/>
        <w:autoSpaceDN w:val="0"/>
        <w:adjustRightInd w:val="0"/>
        <w:spacing w:line="360" w:lineRule="auto"/>
        <w:jc w:val="both"/>
        <w:rPr>
          <w:i/>
          <w:iCs/>
          <w:sz w:val="28"/>
          <w:szCs w:val="27"/>
          <w:lang w:eastAsia="en-IE"/>
        </w:rPr>
      </w:pPr>
      <w:r w:rsidRPr="00DD1808">
        <w:rPr>
          <w:i/>
          <w:iCs/>
          <w:sz w:val="28"/>
          <w:szCs w:val="27"/>
          <w:lang w:eastAsia="en-IE"/>
        </w:rPr>
        <w:lastRenderedPageBreak/>
        <w:t>I hereby certify that this material, which I now submit for assessment on the</w:t>
      </w:r>
      <w:r>
        <w:rPr>
          <w:i/>
          <w:iCs/>
          <w:sz w:val="28"/>
          <w:szCs w:val="27"/>
          <w:lang w:eastAsia="en-IE"/>
        </w:rPr>
        <w:t xml:space="preserve"> </w:t>
      </w:r>
      <w:r w:rsidRPr="00DD1808">
        <w:rPr>
          <w:i/>
          <w:iCs/>
          <w:sz w:val="28"/>
          <w:szCs w:val="27"/>
          <w:lang w:eastAsia="en-IE"/>
        </w:rPr>
        <w:t>programme of study leading to the award</w:t>
      </w:r>
      <w:r w:rsidR="00FB28CF">
        <w:rPr>
          <w:i/>
          <w:iCs/>
          <w:sz w:val="28"/>
          <w:szCs w:val="27"/>
          <w:lang w:eastAsia="en-IE"/>
        </w:rPr>
        <w:t xml:space="preserve"> of Ph</w:t>
      </w:r>
      <w:r w:rsidRPr="00DD1808">
        <w:rPr>
          <w:i/>
          <w:iCs/>
          <w:sz w:val="28"/>
          <w:szCs w:val="27"/>
          <w:lang w:eastAsia="en-IE"/>
        </w:rPr>
        <w:t>D. is entirely my own work,</w:t>
      </w:r>
      <w:r>
        <w:rPr>
          <w:i/>
          <w:iCs/>
          <w:sz w:val="28"/>
          <w:szCs w:val="27"/>
          <w:lang w:eastAsia="en-IE"/>
        </w:rPr>
        <w:t xml:space="preserve"> </w:t>
      </w:r>
      <w:r w:rsidRPr="00DD1808">
        <w:rPr>
          <w:i/>
          <w:iCs/>
          <w:sz w:val="28"/>
          <w:szCs w:val="27"/>
          <w:lang w:eastAsia="en-IE"/>
        </w:rPr>
        <w:t>that I have exercised reasonable care to ensure that the work is original, and</w:t>
      </w:r>
      <w:r>
        <w:rPr>
          <w:i/>
          <w:iCs/>
          <w:sz w:val="28"/>
          <w:szCs w:val="27"/>
          <w:lang w:eastAsia="en-IE"/>
        </w:rPr>
        <w:t xml:space="preserve"> </w:t>
      </w:r>
      <w:r w:rsidRPr="00DD1808">
        <w:rPr>
          <w:i/>
          <w:iCs/>
          <w:sz w:val="28"/>
          <w:szCs w:val="27"/>
          <w:lang w:eastAsia="en-IE"/>
        </w:rPr>
        <w:t>does not to the best of my knowledge breach any law of copyright, and has</w:t>
      </w:r>
      <w:r>
        <w:rPr>
          <w:i/>
          <w:iCs/>
          <w:sz w:val="28"/>
          <w:szCs w:val="27"/>
          <w:lang w:eastAsia="en-IE"/>
        </w:rPr>
        <w:t xml:space="preserve"> </w:t>
      </w:r>
      <w:r w:rsidRPr="00DD1808">
        <w:rPr>
          <w:i/>
          <w:iCs/>
          <w:sz w:val="28"/>
          <w:szCs w:val="27"/>
          <w:lang w:eastAsia="en-IE"/>
        </w:rPr>
        <w:t>not been taken from the work of others save and to the extent that such work</w:t>
      </w:r>
      <w:r>
        <w:rPr>
          <w:i/>
          <w:iCs/>
          <w:sz w:val="28"/>
          <w:szCs w:val="27"/>
          <w:lang w:eastAsia="en-IE"/>
        </w:rPr>
        <w:t xml:space="preserve"> </w:t>
      </w:r>
      <w:r w:rsidRPr="00DD1808">
        <w:rPr>
          <w:i/>
          <w:iCs/>
          <w:sz w:val="28"/>
          <w:szCs w:val="27"/>
          <w:lang w:eastAsia="en-IE"/>
        </w:rPr>
        <w:t>has been cited and acknowledged within the text of my work.</w:t>
      </w:r>
      <w:r w:rsidR="00A90E16">
        <w:rPr>
          <w:i/>
          <w:iCs/>
          <w:sz w:val="28"/>
          <w:szCs w:val="27"/>
          <w:lang w:eastAsia="en-IE"/>
        </w:rPr>
        <w:t xml:space="preserve"> </w:t>
      </w:r>
    </w:p>
    <w:p w:rsidR="00DD1808" w:rsidRDefault="00DD1808" w:rsidP="00057B42">
      <w:pPr>
        <w:autoSpaceDE w:val="0"/>
        <w:autoSpaceDN w:val="0"/>
        <w:adjustRightInd w:val="0"/>
        <w:spacing w:line="360" w:lineRule="auto"/>
        <w:jc w:val="both"/>
        <w:rPr>
          <w:i/>
          <w:sz w:val="28"/>
          <w:szCs w:val="27"/>
          <w:lang w:eastAsia="en-IE"/>
        </w:rPr>
      </w:pPr>
    </w:p>
    <w:p w:rsidR="00DD1808" w:rsidRDefault="00DD1808" w:rsidP="00057B42">
      <w:pPr>
        <w:autoSpaceDE w:val="0"/>
        <w:autoSpaceDN w:val="0"/>
        <w:adjustRightInd w:val="0"/>
        <w:spacing w:line="360" w:lineRule="auto"/>
        <w:rPr>
          <w:i/>
          <w:sz w:val="28"/>
          <w:szCs w:val="27"/>
          <w:lang w:eastAsia="en-IE"/>
        </w:rPr>
      </w:pPr>
    </w:p>
    <w:p w:rsidR="00DD1808" w:rsidRDefault="00DD1808" w:rsidP="00057B42">
      <w:pPr>
        <w:autoSpaceDE w:val="0"/>
        <w:autoSpaceDN w:val="0"/>
        <w:adjustRightInd w:val="0"/>
        <w:spacing w:line="360" w:lineRule="auto"/>
        <w:rPr>
          <w:i/>
          <w:sz w:val="28"/>
          <w:szCs w:val="27"/>
          <w:lang w:eastAsia="en-IE"/>
        </w:rPr>
      </w:pPr>
    </w:p>
    <w:p w:rsidR="00DD1808" w:rsidRDefault="00DD1808" w:rsidP="00057B42">
      <w:pPr>
        <w:autoSpaceDE w:val="0"/>
        <w:autoSpaceDN w:val="0"/>
        <w:adjustRightInd w:val="0"/>
        <w:spacing w:line="360" w:lineRule="auto"/>
        <w:rPr>
          <w:i/>
          <w:sz w:val="28"/>
          <w:szCs w:val="27"/>
          <w:lang w:eastAsia="en-IE"/>
        </w:rPr>
      </w:pPr>
      <w:r w:rsidRPr="00DD1808">
        <w:rPr>
          <w:i/>
          <w:sz w:val="28"/>
          <w:szCs w:val="27"/>
          <w:lang w:eastAsia="en-IE"/>
        </w:rPr>
        <w:t xml:space="preserve">Signed:___________________________ </w:t>
      </w:r>
    </w:p>
    <w:p w:rsidR="00DD1808" w:rsidRDefault="00DD1808" w:rsidP="00057B42">
      <w:pPr>
        <w:autoSpaceDE w:val="0"/>
        <w:autoSpaceDN w:val="0"/>
        <w:adjustRightInd w:val="0"/>
        <w:spacing w:line="360" w:lineRule="auto"/>
        <w:rPr>
          <w:i/>
          <w:sz w:val="28"/>
          <w:szCs w:val="27"/>
          <w:lang w:eastAsia="en-IE"/>
        </w:rPr>
      </w:pPr>
    </w:p>
    <w:p w:rsidR="00DD1808" w:rsidRDefault="00DD1808" w:rsidP="00057B42">
      <w:pPr>
        <w:autoSpaceDE w:val="0"/>
        <w:autoSpaceDN w:val="0"/>
        <w:adjustRightInd w:val="0"/>
        <w:spacing w:line="360" w:lineRule="auto"/>
        <w:rPr>
          <w:i/>
          <w:sz w:val="28"/>
          <w:szCs w:val="27"/>
          <w:lang w:eastAsia="en-IE"/>
        </w:rPr>
      </w:pPr>
      <w:r w:rsidRPr="00DD1808">
        <w:rPr>
          <w:i/>
          <w:sz w:val="28"/>
          <w:szCs w:val="27"/>
          <w:lang w:eastAsia="en-IE"/>
        </w:rPr>
        <w:t xml:space="preserve">ID No.: </w:t>
      </w:r>
      <w:r w:rsidR="0055154F">
        <w:rPr>
          <w:i/>
          <w:sz w:val="28"/>
          <w:szCs w:val="27"/>
          <w:lang w:eastAsia="en-IE"/>
        </w:rPr>
        <w:t>59108207</w:t>
      </w:r>
    </w:p>
    <w:p w:rsidR="00DD1808" w:rsidRDefault="00DD1808" w:rsidP="00057B42">
      <w:pPr>
        <w:autoSpaceDE w:val="0"/>
        <w:autoSpaceDN w:val="0"/>
        <w:adjustRightInd w:val="0"/>
        <w:spacing w:line="360" w:lineRule="auto"/>
        <w:rPr>
          <w:i/>
          <w:sz w:val="28"/>
          <w:szCs w:val="27"/>
          <w:lang w:eastAsia="en-IE"/>
        </w:rPr>
      </w:pPr>
    </w:p>
    <w:p w:rsidR="00720963" w:rsidRDefault="00DD1808" w:rsidP="00057B42">
      <w:pPr>
        <w:autoSpaceDE w:val="0"/>
        <w:autoSpaceDN w:val="0"/>
        <w:adjustRightInd w:val="0"/>
        <w:spacing w:line="360" w:lineRule="auto"/>
        <w:rPr>
          <w:i/>
          <w:sz w:val="28"/>
          <w:szCs w:val="27"/>
          <w:lang w:eastAsia="en-IE"/>
        </w:rPr>
      </w:pPr>
      <w:r w:rsidRPr="00DD1808">
        <w:rPr>
          <w:i/>
          <w:sz w:val="28"/>
          <w:szCs w:val="27"/>
          <w:lang w:eastAsia="en-IE"/>
        </w:rPr>
        <w:t>Date:_____________________________</w:t>
      </w:r>
    </w:p>
    <w:p w:rsidR="00720963" w:rsidRDefault="00720963" w:rsidP="00057B42">
      <w:pPr>
        <w:spacing w:line="360" w:lineRule="auto"/>
        <w:rPr>
          <w:sz w:val="28"/>
          <w:szCs w:val="27"/>
          <w:lang w:eastAsia="en-IE"/>
        </w:rPr>
      </w:pPr>
      <w:r>
        <w:rPr>
          <w:sz w:val="28"/>
          <w:szCs w:val="27"/>
          <w:lang w:eastAsia="en-IE"/>
        </w:rPr>
        <w:br w:type="page"/>
      </w:r>
    </w:p>
    <w:p w:rsidR="00806BAE" w:rsidRDefault="00806BAE" w:rsidP="00057B42">
      <w:pPr>
        <w:pStyle w:val="NormalWeb"/>
        <w:spacing w:before="0" w:beforeAutospacing="0" w:after="0" w:afterAutospacing="0" w:line="360" w:lineRule="auto"/>
        <w:jc w:val="both"/>
        <w:rPr>
          <w:b/>
        </w:rPr>
      </w:pPr>
      <w:r w:rsidRPr="004C2D3A">
        <w:rPr>
          <w:b/>
        </w:rPr>
        <w:lastRenderedPageBreak/>
        <w:t>Acknowledgement</w:t>
      </w:r>
      <w:r w:rsidR="00921E40">
        <w:rPr>
          <w:b/>
        </w:rPr>
        <w:t>s</w:t>
      </w:r>
      <w:r w:rsidRPr="004C2D3A">
        <w:rPr>
          <w:b/>
        </w:rPr>
        <w:t xml:space="preserve"> </w:t>
      </w:r>
    </w:p>
    <w:p w:rsidR="00806BAE" w:rsidRPr="00806BAE" w:rsidRDefault="00806BAE" w:rsidP="00057B42">
      <w:pPr>
        <w:pStyle w:val="NormalWeb"/>
        <w:spacing w:before="0" w:beforeAutospacing="0" w:after="0" w:afterAutospacing="0" w:line="360" w:lineRule="auto"/>
        <w:jc w:val="both"/>
      </w:pPr>
      <w:r w:rsidRPr="00806BAE">
        <w:t xml:space="preserve">It would not have been possible to write this doctoral thesis without the support and expertise of the kind people around me, to only some of whom it is possible to give particular mention here. First of all I would like to express my sincere gratitude to Prof Martin Clynes who has been my supervisor since the beginning of my study. He provided me with important advice, many helpful suggestions and constant encouragement during the course of this work. In addition, he was always accessible and willing to help (even at 1:00 AM). As a result, research life became smooth and rewarding for me. </w:t>
      </w:r>
    </w:p>
    <w:p w:rsidR="00806BAE" w:rsidRPr="00806BAE" w:rsidRDefault="00806BAE" w:rsidP="00057B42">
      <w:pPr>
        <w:pStyle w:val="NormalWeb"/>
        <w:spacing w:before="0" w:beforeAutospacing="0" w:after="0" w:afterAutospacing="0" w:line="360" w:lineRule="auto"/>
        <w:jc w:val="both"/>
      </w:pPr>
      <w:r w:rsidRPr="00806BAE">
        <w:t xml:space="preserve">This thesis would not have been possible without the help, support and patience of my second supervisors Dr Paul Dowling. Paul has provided me with direction, technical support and many fruitful discussions. He became more of a friend than a supervisor and it was with his help, understanding and kindness that I completed this thesis. </w:t>
      </w:r>
    </w:p>
    <w:p w:rsidR="00A03A88" w:rsidRDefault="00806BAE" w:rsidP="00057B42">
      <w:pPr>
        <w:pStyle w:val="NormalWeb"/>
        <w:spacing w:before="0" w:beforeAutospacing="0" w:after="0" w:afterAutospacing="0" w:line="360" w:lineRule="auto"/>
        <w:jc w:val="both"/>
      </w:pPr>
      <w:r w:rsidRPr="00806BAE">
        <w:t>It would be difficult to overstate my gratitude to my other Ph.D. supervisor Dr. Peter O’Gorman. Throughout my research and thesis-writing period, he provided encouragement, sound advice, good teaching and lots of valuable practical suggestions, as well as detailed and constructive advice, which improved the quality of this study. I would have been lost without him.</w:t>
      </w:r>
    </w:p>
    <w:p w:rsidR="00A03A88" w:rsidRDefault="00806BAE" w:rsidP="00057B42">
      <w:pPr>
        <w:pStyle w:val="NormalWeb"/>
        <w:spacing w:before="0" w:beforeAutospacing="0" w:after="0" w:afterAutospacing="0" w:line="360" w:lineRule="auto"/>
        <w:jc w:val="both"/>
      </w:pPr>
      <w:r w:rsidRPr="00806BAE">
        <w:t xml:space="preserve">I wish to express my warm and sincere thanks to Dr Robert O Connor for numerous valuable ideas and useful discussions and for his important support throughout this work which indeed helped improve value of this thesis. </w:t>
      </w:r>
    </w:p>
    <w:p w:rsidR="00806BAE" w:rsidRPr="00806BAE" w:rsidRDefault="00806BAE" w:rsidP="00057B42">
      <w:pPr>
        <w:pStyle w:val="NormalWeb"/>
        <w:spacing w:before="0" w:beforeAutospacing="0" w:after="0" w:afterAutospacing="0" w:line="360" w:lineRule="auto"/>
        <w:jc w:val="both"/>
      </w:pPr>
      <w:r w:rsidRPr="00806BAE">
        <w:t>My special thanks are due to Dr Colin Clarke for providing me with statistical information and applying bioinformatics advice at times of critical need. I would also like to thank Justine Meiller for great help during the whole duration of the research years especially in term of sample processing during my most busy clinic day, Monday. I would like to thank all members of the Proteomics group with whom I have been working for last 3/4 years. I especially acknowledge and extend my thanks to Michael Henery for great help in Mass Spec and Paula Meleady for showing me the basic of  proteomics and for letting me use her lab bench on many occasions. I am grateful to the admin staff in NICB, for helping the department to run smoothly and for constant support and assisting me in many different ways in day to day work</w:t>
      </w:r>
      <w:r w:rsidR="00B749FC">
        <w:t>;</w:t>
      </w:r>
      <w:r w:rsidRPr="00806BAE">
        <w:t xml:space="preserve"> Carol McNamara, Yvonne Reilly and Mairead Callan deserve special mention</w:t>
      </w:r>
      <w:r w:rsidR="00B749FC">
        <w:t xml:space="preserve"> and thanks</w:t>
      </w:r>
      <w:r w:rsidRPr="00806BAE">
        <w:t xml:space="preserve">.  Thanks to Sandra, Erica, Paula, Alex, Kishore, Sree, </w:t>
      </w:r>
      <w:r w:rsidRPr="00806BAE">
        <w:lastRenderedPageBreak/>
        <w:t>Abdul, Kathleen</w:t>
      </w:r>
      <w:r w:rsidR="00A03A88">
        <w:t>, Noelia</w:t>
      </w:r>
      <w:r w:rsidRPr="00806BAE">
        <w:t xml:space="preserve"> and Naomi for directly or indirectly helping me during the work and for making research work in the NICB more enjoyable. Thanks to my Lunch buddies, Colin, Claire, Denis, Stephen, Padraigh, Sinead, </w:t>
      </w:r>
      <w:r w:rsidR="00B749FC">
        <w:t xml:space="preserve">Paula </w:t>
      </w:r>
      <w:r w:rsidRPr="00806BAE">
        <w:t>and Mike for all the interesting discussions both political and non-political. In conclusion, I recognize that this research would not have been possible without the financial assistance of</w:t>
      </w:r>
      <w:r w:rsidR="00A03A88">
        <w:t xml:space="preserve"> Mater Research foundation, E</w:t>
      </w:r>
      <w:r w:rsidRPr="00806BAE">
        <w:t>nterprise Ireland and IBTS. I express my special gratitude to Dr William Murphy</w:t>
      </w:r>
      <w:r w:rsidR="00A03A88">
        <w:t xml:space="preserve"> for his kind support</w:t>
      </w:r>
      <w:r w:rsidRPr="00806BAE">
        <w:t xml:space="preserve">. And last, but definitely not least I would also like to thank my family for the support they provided me through my entire life and in particular, I must acknowledge my wife and best friend, Ruth, for understanding and encouragement; otherwise this thesis would not have happened. I would like to give my special thanks to David Morrell for the editing assistance and Carmel for your banana bread which kept me going. I would like also to thank my Dad, </w:t>
      </w:r>
      <w:r w:rsidR="001A3774">
        <w:t xml:space="preserve">Dr </w:t>
      </w:r>
      <w:r w:rsidRPr="00806BAE">
        <w:t>Inder Sain (even though you would not consider this necessary) just for being there for me, no matter what. I wish I could mention everyone, but that’s not possible. Just in case I have forgotten anyone… thank you to all concerns for all the help at various stages.</w:t>
      </w:r>
    </w:p>
    <w:p w:rsidR="002C6DD9" w:rsidRDefault="002C6DD9" w:rsidP="00057B42">
      <w:pPr>
        <w:spacing w:line="360" w:lineRule="auto"/>
        <w:jc w:val="both"/>
        <w:rPr>
          <w:b/>
          <w:color w:val="000000"/>
          <w:sz w:val="72"/>
          <w:szCs w:val="26"/>
        </w:rPr>
      </w:pPr>
    </w:p>
    <w:p w:rsidR="00E46FCE" w:rsidRDefault="00E46FCE" w:rsidP="00057B42">
      <w:pPr>
        <w:autoSpaceDE w:val="0"/>
        <w:autoSpaceDN w:val="0"/>
        <w:adjustRightInd w:val="0"/>
        <w:spacing w:line="360" w:lineRule="auto"/>
        <w:rPr>
          <w:b/>
          <w:color w:val="000000"/>
          <w:sz w:val="72"/>
          <w:szCs w:val="26"/>
        </w:rPr>
      </w:pPr>
    </w:p>
    <w:p w:rsidR="00E46FCE" w:rsidRDefault="00E46FCE" w:rsidP="00057B42">
      <w:pPr>
        <w:autoSpaceDE w:val="0"/>
        <w:autoSpaceDN w:val="0"/>
        <w:adjustRightInd w:val="0"/>
        <w:spacing w:line="360" w:lineRule="auto"/>
        <w:rPr>
          <w:b/>
          <w:color w:val="000000"/>
          <w:sz w:val="72"/>
          <w:szCs w:val="26"/>
        </w:rPr>
      </w:pPr>
    </w:p>
    <w:p w:rsidR="00C55C6B" w:rsidRDefault="00C55C6B" w:rsidP="00057B42">
      <w:pPr>
        <w:autoSpaceDE w:val="0"/>
        <w:autoSpaceDN w:val="0"/>
        <w:adjustRightInd w:val="0"/>
        <w:spacing w:line="360" w:lineRule="auto"/>
        <w:rPr>
          <w:b/>
          <w:color w:val="000000"/>
          <w:sz w:val="72"/>
          <w:szCs w:val="26"/>
        </w:rPr>
      </w:pPr>
    </w:p>
    <w:p w:rsidR="00057B42" w:rsidRDefault="00057B42" w:rsidP="00057B42">
      <w:pPr>
        <w:autoSpaceDE w:val="0"/>
        <w:autoSpaceDN w:val="0"/>
        <w:adjustRightInd w:val="0"/>
        <w:spacing w:line="360" w:lineRule="auto"/>
        <w:rPr>
          <w:b/>
          <w:color w:val="000000"/>
          <w:sz w:val="72"/>
          <w:szCs w:val="26"/>
        </w:rPr>
      </w:pPr>
    </w:p>
    <w:p w:rsidR="00057B42" w:rsidRDefault="00057B42" w:rsidP="00057B42">
      <w:pPr>
        <w:autoSpaceDE w:val="0"/>
        <w:autoSpaceDN w:val="0"/>
        <w:adjustRightInd w:val="0"/>
        <w:spacing w:line="360" w:lineRule="auto"/>
        <w:rPr>
          <w:b/>
          <w:color w:val="000000"/>
          <w:sz w:val="72"/>
          <w:szCs w:val="26"/>
        </w:rPr>
      </w:pPr>
    </w:p>
    <w:p w:rsidR="00057B42" w:rsidRDefault="00057B42" w:rsidP="00057B42">
      <w:pPr>
        <w:autoSpaceDE w:val="0"/>
        <w:autoSpaceDN w:val="0"/>
        <w:adjustRightInd w:val="0"/>
        <w:spacing w:line="360" w:lineRule="auto"/>
        <w:rPr>
          <w:b/>
          <w:color w:val="000000"/>
          <w:sz w:val="72"/>
          <w:szCs w:val="26"/>
        </w:rPr>
      </w:pPr>
    </w:p>
    <w:p w:rsidR="00057B42" w:rsidRDefault="00057B42" w:rsidP="00057B42">
      <w:pPr>
        <w:autoSpaceDE w:val="0"/>
        <w:autoSpaceDN w:val="0"/>
        <w:adjustRightInd w:val="0"/>
        <w:spacing w:line="360" w:lineRule="auto"/>
        <w:rPr>
          <w:b/>
          <w:color w:val="000000"/>
          <w:sz w:val="72"/>
          <w:szCs w:val="26"/>
        </w:rPr>
      </w:pPr>
    </w:p>
    <w:p w:rsidR="00057B42" w:rsidRDefault="00057B42" w:rsidP="00057B42">
      <w:pPr>
        <w:autoSpaceDE w:val="0"/>
        <w:autoSpaceDN w:val="0"/>
        <w:adjustRightInd w:val="0"/>
        <w:spacing w:line="360" w:lineRule="auto"/>
        <w:rPr>
          <w:b/>
          <w:color w:val="000000"/>
          <w:sz w:val="72"/>
          <w:szCs w:val="26"/>
        </w:rPr>
      </w:pPr>
    </w:p>
    <w:p w:rsidR="002E4556" w:rsidRPr="009D0518" w:rsidRDefault="00720963" w:rsidP="00057B42">
      <w:pPr>
        <w:autoSpaceDE w:val="0"/>
        <w:autoSpaceDN w:val="0"/>
        <w:adjustRightInd w:val="0"/>
        <w:spacing w:line="360" w:lineRule="auto"/>
        <w:rPr>
          <w:b/>
          <w:color w:val="000000"/>
          <w:sz w:val="32"/>
        </w:rPr>
      </w:pPr>
      <w:r w:rsidRPr="00720963">
        <w:rPr>
          <w:b/>
          <w:color w:val="000000"/>
          <w:sz w:val="72"/>
          <w:szCs w:val="26"/>
        </w:rPr>
        <w:t xml:space="preserve">Terms </w:t>
      </w:r>
      <w:r w:rsidR="0010315E">
        <w:rPr>
          <w:b/>
          <w:color w:val="000000"/>
          <w:sz w:val="72"/>
          <w:szCs w:val="26"/>
        </w:rPr>
        <w:t>and</w:t>
      </w:r>
      <w:r w:rsidRPr="00720963">
        <w:rPr>
          <w:b/>
          <w:color w:val="000000"/>
          <w:sz w:val="72"/>
          <w:szCs w:val="26"/>
        </w:rPr>
        <w:t xml:space="preserve"> Abbreviation</w:t>
      </w:r>
      <w:r w:rsidR="00921E40">
        <w:rPr>
          <w:b/>
          <w:color w:val="000000"/>
          <w:sz w:val="72"/>
          <w:szCs w:val="26"/>
        </w:rPr>
        <w:t>s</w:t>
      </w:r>
      <w:r w:rsidRPr="00720963">
        <w:rPr>
          <w:b/>
          <w:color w:val="000000"/>
          <w:sz w:val="300"/>
          <w:szCs w:val="96"/>
          <w:u w:val="single"/>
        </w:rPr>
        <w:t xml:space="preserve"> </w:t>
      </w:r>
      <w:r w:rsidR="00AC0837" w:rsidRPr="00873C4C">
        <w:rPr>
          <w:b/>
          <w:color w:val="000000"/>
          <w:sz w:val="96"/>
          <w:szCs w:val="96"/>
          <w:u w:val="single"/>
        </w:rPr>
        <w:br w:type="page"/>
      </w:r>
      <w:r w:rsidR="0010315E">
        <w:rPr>
          <w:b/>
          <w:color w:val="000000"/>
          <w:sz w:val="26"/>
          <w:szCs w:val="26"/>
        </w:rPr>
        <w:lastRenderedPageBreak/>
        <w:t>Terms and</w:t>
      </w:r>
      <w:r w:rsidR="002E4556" w:rsidRPr="009D0518">
        <w:rPr>
          <w:b/>
          <w:color w:val="000000"/>
          <w:sz w:val="26"/>
          <w:szCs w:val="26"/>
        </w:rPr>
        <w:t xml:space="preserve"> </w:t>
      </w:r>
      <w:bookmarkEnd w:id="0"/>
      <w:bookmarkEnd w:id="1"/>
      <w:bookmarkEnd w:id="2"/>
      <w:bookmarkEnd w:id="3"/>
      <w:r w:rsidR="00762C86" w:rsidRPr="009D0518">
        <w:rPr>
          <w:b/>
          <w:color w:val="000000"/>
          <w:sz w:val="26"/>
          <w:szCs w:val="26"/>
        </w:rPr>
        <w:t>Abbreviation</w:t>
      </w:r>
    </w:p>
    <w:p w:rsidR="002E4556" w:rsidRPr="00873C4C" w:rsidRDefault="002E4556" w:rsidP="00057B42">
      <w:pPr>
        <w:spacing w:line="360" w:lineRule="auto"/>
        <w:jc w:val="both"/>
        <w:rPr>
          <w:color w:val="000000"/>
        </w:rPr>
      </w:pPr>
      <w:r w:rsidRPr="00873C4C">
        <w:rPr>
          <w:b/>
          <w:color w:val="000000"/>
        </w:rPr>
        <w:t>Acute:</w:t>
      </w:r>
      <w:r w:rsidRPr="00873C4C">
        <w:rPr>
          <w:color w:val="000000"/>
        </w:rPr>
        <w:t xml:space="preserve"> A sudden onset of symptoms or disease.</w:t>
      </w:r>
    </w:p>
    <w:p w:rsidR="002E4556" w:rsidRPr="00873C4C" w:rsidRDefault="002E4556" w:rsidP="00057B42">
      <w:pPr>
        <w:spacing w:line="360" w:lineRule="auto"/>
        <w:jc w:val="both"/>
        <w:rPr>
          <w:color w:val="000000"/>
        </w:rPr>
      </w:pPr>
      <w:r w:rsidRPr="00873C4C">
        <w:rPr>
          <w:b/>
          <w:color w:val="000000"/>
        </w:rPr>
        <w:t>Albumin:</w:t>
      </w:r>
      <w:r w:rsidRPr="00873C4C">
        <w:rPr>
          <w:color w:val="000000"/>
        </w:rPr>
        <w:t xml:space="preserve"> Water-soluble proteins that are found in blood serum. </w:t>
      </w:r>
    </w:p>
    <w:p w:rsidR="002E4556" w:rsidRPr="00873C4C" w:rsidRDefault="00585A17" w:rsidP="00057B42">
      <w:pPr>
        <w:spacing w:line="360" w:lineRule="auto"/>
        <w:jc w:val="both"/>
        <w:rPr>
          <w:color w:val="000000"/>
        </w:rPr>
      </w:pPr>
      <w:r>
        <w:rPr>
          <w:b/>
          <w:color w:val="000000"/>
        </w:rPr>
        <w:t xml:space="preserve">Alkylating </w:t>
      </w:r>
      <w:r w:rsidR="002E4556" w:rsidRPr="00873C4C">
        <w:rPr>
          <w:b/>
          <w:color w:val="000000"/>
        </w:rPr>
        <w:t>Agent:</w:t>
      </w:r>
      <w:r w:rsidR="002E4556" w:rsidRPr="00873C4C">
        <w:rPr>
          <w:color w:val="000000"/>
        </w:rPr>
        <w:t xml:space="preserve"> A chemotherapeutic agent such as melphalan or cyclophosphami</w:t>
      </w:r>
      <w:r w:rsidR="00B832D8">
        <w:rPr>
          <w:color w:val="000000"/>
        </w:rPr>
        <w:t>de. Alkylating refers to the mechanism</w:t>
      </w:r>
      <w:r w:rsidR="002E4556" w:rsidRPr="00873C4C">
        <w:rPr>
          <w:color w:val="000000"/>
        </w:rPr>
        <w:t xml:space="preserve"> in which these agents cross-link </w:t>
      </w:r>
      <w:r w:rsidR="00B832D8">
        <w:rPr>
          <w:color w:val="000000"/>
        </w:rPr>
        <w:t xml:space="preserve">to </w:t>
      </w:r>
      <w:r w:rsidR="002E4556" w:rsidRPr="00873C4C">
        <w:rPr>
          <w:color w:val="000000"/>
        </w:rPr>
        <w:t>the DNA of myeloma cells and block</w:t>
      </w:r>
      <w:r w:rsidR="00B832D8">
        <w:rPr>
          <w:color w:val="000000"/>
        </w:rPr>
        <w:t>ing</w:t>
      </w:r>
      <w:r w:rsidR="002E4556" w:rsidRPr="00873C4C">
        <w:rPr>
          <w:color w:val="000000"/>
        </w:rPr>
        <w:t xml:space="preserve"> cell division.</w:t>
      </w:r>
    </w:p>
    <w:p w:rsidR="002E4556" w:rsidRPr="00873C4C" w:rsidRDefault="002E4556" w:rsidP="00057B42">
      <w:pPr>
        <w:spacing w:line="360" w:lineRule="auto"/>
        <w:jc w:val="both"/>
        <w:rPr>
          <w:color w:val="000000"/>
        </w:rPr>
      </w:pPr>
      <w:r w:rsidRPr="00873C4C">
        <w:rPr>
          <w:b/>
          <w:color w:val="000000"/>
        </w:rPr>
        <w:t>Amyloidosis:</w:t>
      </w:r>
      <w:r w:rsidRPr="00873C4C">
        <w:rPr>
          <w:color w:val="000000"/>
        </w:rPr>
        <w:t xml:space="preserve"> A condition in which myeloma light chains (Bence Jones proteins) are deposited in tissues and organs throughout the body. This occurs more commonly with lambda versus kappa Bence Jones proteins. In patients with amyloidosis, the light chain proteins bind to certain tissues such as heart, nerves and kidney rather than being excreted out of the body through the kidneys.</w:t>
      </w:r>
    </w:p>
    <w:p w:rsidR="002E4556" w:rsidRPr="00873C4C" w:rsidRDefault="002E4556" w:rsidP="00057B42">
      <w:pPr>
        <w:spacing w:line="360" w:lineRule="auto"/>
        <w:jc w:val="both"/>
        <w:rPr>
          <w:color w:val="000000"/>
        </w:rPr>
      </w:pPr>
      <w:r w:rsidRPr="00873C4C">
        <w:rPr>
          <w:b/>
          <w:color w:val="000000"/>
        </w:rPr>
        <w:t xml:space="preserve">Analgesic: </w:t>
      </w:r>
      <w:r w:rsidRPr="00873C4C">
        <w:rPr>
          <w:color w:val="000000"/>
        </w:rPr>
        <w:t>Any drug that relieves pain. Aspirin and Paracetamol are mild analgesics.</w:t>
      </w:r>
    </w:p>
    <w:p w:rsidR="002E4556" w:rsidRPr="00873C4C" w:rsidRDefault="002E4556" w:rsidP="00057B42">
      <w:pPr>
        <w:spacing w:line="360" w:lineRule="auto"/>
        <w:jc w:val="both"/>
        <w:rPr>
          <w:color w:val="000000"/>
        </w:rPr>
      </w:pPr>
      <w:r w:rsidRPr="00873C4C">
        <w:rPr>
          <w:b/>
          <w:color w:val="000000"/>
        </w:rPr>
        <w:t>Anaemia:</w:t>
      </w:r>
      <w:r w:rsidRPr="00873C4C">
        <w:rPr>
          <w:color w:val="000000"/>
        </w:rPr>
        <w:t xml:space="preserve"> A decrease in the haemoglobin, usually below 10 g/dL with over 13-14 g/dL being normal. Myeloma cells in the bone marrow can block the red blood cell production, causing shortness of breath, weakness, and tiredness.</w:t>
      </w:r>
    </w:p>
    <w:p w:rsidR="002E4556" w:rsidRPr="00873C4C" w:rsidRDefault="002E4556" w:rsidP="00057B42">
      <w:pPr>
        <w:spacing w:line="360" w:lineRule="auto"/>
        <w:jc w:val="both"/>
        <w:rPr>
          <w:color w:val="000000"/>
        </w:rPr>
      </w:pPr>
      <w:r w:rsidRPr="00873C4C">
        <w:rPr>
          <w:b/>
          <w:color w:val="000000"/>
        </w:rPr>
        <w:t>Angiogenesis:</w:t>
      </w:r>
      <w:r w:rsidRPr="00873C4C">
        <w:rPr>
          <w:color w:val="000000"/>
        </w:rPr>
        <w:t xml:space="preserve"> Blood vessel formation, which usually accompanies the growth of malignant tissue, including myeloma.</w:t>
      </w:r>
    </w:p>
    <w:p w:rsidR="002E4556" w:rsidRPr="00873C4C" w:rsidRDefault="002E4556" w:rsidP="00057B42">
      <w:pPr>
        <w:spacing w:line="360" w:lineRule="auto"/>
        <w:jc w:val="both"/>
        <w:rPr>
          <w:color w:val="000000"/>
        </w:rPr>
      </w:pPr>
      <w:r w:rsidRPr="00873C4C">
        <w:rPr>
          <w:b/>
          <w:color w:val="000000"/>
        </w:rPr>
        <w:t>Angiogenesis inhibitors:</w:t>
      </w:r>
      <w:r w:rsidRPr="00873C4C">
        <w:rPr>
          <w:color w:val="000000"/>
        </w:rPr>
        <w:t xml:space="preserve"> Compounds that attempt to cut off the blood supply to tumours. </w:t>
      </w:r>
    </w:p>
    <w:p w:rsidR="002E4556" w:rsidRPr="00873C4C" w:rsidRDefault="002E4556" w:rsidP="00057B42">
      <w:pPr>
        <w:spacing w:line="360" w:lineRule="auto"/>
        <w:jc w:val="both"/>
        <w:rPr>
          <w:color w:val="000000"/>
        </w:rPr>
      </w:pPr>
      <w:r w:rsidRPr="00873C4C">
        <w:rPr>
          <w:b/>
          <w:color w:val="000000"/>
        </w:rPr>
        <w:t xml:space="preserve">Antibiotics: </w:t>
      </w:r>
      <w:r w:rsidRPr="00873C4C">
        <w:rPr>
          <w:color w:val="000000"/>
        </w:rPr>
        <w:t>Drugs used to treat infection.</w:t>
      </w:r>
    </w:p>
    <w:p w:rsidR="002E4556" w:rsidRPr="00873C4C" w:rsidRDefault="002E4556" w:rsidP="00057B42">
      <w:pPr>
        <w:spacing w:line="360" w:lineRule="auto"/>
        <w:jc w:val="both"/>
        <w:rPr>
          <w:color w:val="000000"/>
        </w:rPr>
      </w:pPr>
      <w:r w:rsidRPr="00873C4C">
        <w:rPr>
          <w:b/>
          <w:color w:val="000000"/>
        </w:rPr>
        <w:t>Antibody:</w:t>
      </w:r>
      <w:r w:rsidRPr="00873C4C">
        <w:rPr>
          <w:color w:val="000000"/>
        </w:rPr>
        <w:t xml:space="preserve"> A protein produced by certain white blood cells (for e.g. plasma cells) to fight infection and disease in the form of antigens such as bacteria, viruses, toxins, or tumours. Each antibody can bind only to a specific antigen. The purpose of this binding is to help destroy the antigen. </w:t>
      </w:r>
    </w:p>
    <w:p w:rsidR="002E4556" w:rsidRPr="00873C4C" w:rsidRDefault="002E4556" w:rsidP="00057B42">
      <w:pPr>
        <w:spacing w:line="360" w:lineRule="auto"/>
        <w:jc w:val="both"/>
        <w:rPr>
          <w:color w:val="000000"/>
        </w:rPr>
      </w:pPr>
      <w:r w:rsidRPr="00873C4C">
        <w:rPr>
          <w:b/>
          <w:color w:val="000000"/>
        </w:rPr>
        <w:t>Apoptosis:</w:t>
      </w:r>
      <w:r w:rsidRPr="00873C4C">
        <w:rPr>
          <w:color w:val="000000"/>
        </w:rPr>
        <w:t xml:space="preserve"> A normal cellular process involving a genetically programmed series of events leading to the death of a cell.</w:t>
      </w:r>
    </w:p>
    <w:p w:rsidR="002E4556" w:rsidRPr="00873C4C" w:rsidRDefault="002E4556" w:rsidP="00057B42">
      <w:pPr>
        <w:spacing w:line="360" w:lineRule="auto"/>
        <w:jc w:val="both"/>
        <w:rPr>
          <w:color w:val="000000"/>
        </w:rPr>
      </w:pPr>
      <w:r w:rsidRPr="00873C4C">
        <w:rPr>
          <w:b/>
          <w:color w:val="000000"/>
        </w:rPr>
        <w:t>Asymptomatic myeloma</w:t>
      </w:r>
      <w:r w:rsidRPr="00873C4C">
        <w:rPr>
          <w:color w:val="000000"/>
        </w:rPr>
        <w:t>: Myeloma that presents no signs or symptoms</w:t>
      </w:r>
      <w:r w:rsidR="00585A17">
        <w:rPr>
          <w:color w:val="000000"/>
        </w:rPr>
        <w:t xml:space="preserve"> of disease, a</w:t>
      </w:r>
      <w:r w:rsidRPr="00873C4C">
        <w:rPr>
          <w:color w:val="000000"/>
        </w:rPr>
        <w:t>lso called indolent, smouldering, or early myeloma.</w:t>
      </w:r>
    </w:p>
    <w:p w:rsidR="002E4556" w:rsidRPr="00873C4C" w:rsidRDefault="002E4556" w:rsidP="00057B42">
      <w:pPr>
        <w:spacing w:line="360" w:lineRule="auto"/>
        <w:jc w:val="both"/>
        <w:rPr>
          <w:color w:val="000000"/>
        </w:rPr>
      </w:pPr>
      <w:r w:rsidRPr="00873C4C">
        <w:rPr>
          <w:b/>
          <w:color w:val="000000"/>
        </w:rPr>
        <w:t>Axial skeleton:</w:t>
      </w:r>
      <w:r w:rsidRPr="00873C4C">
        <w:rPr>
          <w:color w:val="000000"/>
        </w:rPr>
        <w:t xml:space="preserve"> The skull, spine, and pelvis region of the skeleton.</w:t>
      </w:r>
    </w:p>
    <w:p w:rsidR="002E4556" w:rsidRPr="00873C4C" w:rsidRDefault="002E4556" w:rsidP="00057B42">
      <w:pPr>
        <w:spacing w:line="360" w:lineRule="auto"/>
        <w:jc w:val="both"/>
        <w:rPr>
          <w:color w:val="000000"/>
        </w:rPr>
      </w:pPr>
      <w:r w:rsidRPr="00873C4C">
        <w:rPr>
          <w:b/>
          <w:color w:val="000000"/>
        </w:rPr>
        <w:t>B cells:</w:t>
      </w:r>
      <w:r w:rsidRPr="00873C4C">
        <w:rPr>
          <w:color w:val="000000"/>
        </w:rPr>
        <w:t xml:space="preserve"> White blood cells that develop into plasma cells in the bone marrow a</w:t>
      </w:r>
      <w:r w:rsidR="00585A17">
        <w:rPr>
          <w:color w:val="000000"/>
        </w:rPr>
        <w:t>nd are the source of antibodies, a</w:t>
      </w:r>
      <w:r w:rsidRPr="00873C4C">
        <w:rPr>
          <w:color w:val="000000"/>
        </w:rPr>
        <w:t>lso known as B lymphocytes.</w:t>
      </w:r>
    </w:p>
    <w:p w:rsidR="002E4556" w:rsidRPr="00873C4C" w:rsidRDefault="002E4556" w:rsidP="00057B42">
      <w:pPr>
        <w:spacing w:line="360" w:lineRule="auto"/>
        <w:jc w:val="both"/>
        <w:rPr>
          <w:color w:val="000000"/>
        </w:rPr>
      </w:pPr>
      <w:r w:rsidRPr="00873C4C">
        <w:rPr>
          <w:b/>
          <w:color w:val="000000"/>
        </w:rPr>
        <w:t xml:space="preserve">Bence Jones: </w:t>
      </w:r>
      <w:r w:rsidRPr="00873C4C">
        <w:rPr>
          <w:color w:val="000000"/>
        </w:rPr>
        <w:t xml:space="preserve">A myeloma monoclonal protein present in urine. The amount of Bence Jones protein is expressed in terms of grams per 24 hours. Normally a very small amount of protein (&lt;0.1 g/24 h) can be present in the urine, but this is albumin </w:t>
      </w:r>
      <w:r w:rsidRPr="00873C4C">
        <w:rPr>
          <w:color w:val="000000"/>
        </w:rPr>
        <w:lastRenderedPageBreak/>
        <w:t>rather than Bence Jones protein. The presence of any Bence Jones protein is abnormal.</w:t>
      </w:r>
    </w:p>
    <w:p w:rsidR="002E4556" w:rsidRPr="00873C4C" w:rsidRDefault="002E4556" w:rsidP="00057B42">
      <w:pPr>
        <w:spacing w:line="360" w:lineRule="auto"/>
        <w:jc w:val="both"/>
        <w:rPr>
          <w:color w:val="000000"/>
        </w:rPr>
      </w:pPr>
      <w:r w:rsidRPr="00873C4C">
        <w:rPr>
          <w:b/>
          <w:color w:val="000000"/>
        </w:rPr>
        <w:t>Benign:</w:t>
      </w:r>
      <w:r w:rsidRPr="00873C4C">
        <w:rPr>
          <w:color w:val="000000"/>
        </w:rPr>
        <w:t xml:space="preserve"> Not cancerous; does not invade nearby tissue or spread to other parts of the body.</w:t>
      </w:r>
    </w:p>
    <w:p w:rsidR="002E4556" w:rsidRPr="00873C4C" w:rsidRDefault="002E4556" w:rsidP="00057B42">
      <w:pPr>
        <w:spacing w:line="360" w:lineRule="auto"/>
        <w:jc w:val="both"/>
        <w:rPr>
          <w:color w:val="000000"/>
        </w:rPr>
      </w:pPr>
      <w:r w:rsidRPr="00873C4C">
        <w:rPr>
          <w:b/>
          <w:color w:val="000000"/>
        </w:rPr>
        <w:t>Biopsy:</w:t>
      </w:r>
      <w:r w:rsidRPr="00873C4C">
        <w:rPr>
          <w:color w:val="000000"/>
        </w:rPr>
        <w:t xml:space="preserve"> The removal of a sample of tissue for microscopic examination to aid in diagnosis.</w:t>
      </w:r>
    </w:p>
    <w:p w:rsidR="002E4556" w:rsidRPr="00873C4C" w:rsidRDefault="002E4556" w:rsidP="00057B42">
      <w:pPr>
        <w:spacing w:line="360" w:lineRule="auto"/>
        <w:jc w:val="both"/>
        <w:rPr>
          <w:color w:val="000000"/>
        </w:rPr>
      </w:pPr>
      <w:r w:rsidRPr="00873C4C">
        <w:rPr>
          <w:b/>
          <w:color w:val="000000"/>
        </w:rPr>
        <w:t>Bisphosphonate:</w:t>
      </w:r>
      <w:r w:rsidRPr="00873C4C">
        <w:rPr>
          <w:color w:val="000000"/>
        </w:rPr>
        <w:t xml:space="preserve"> A type of drug that binds to the surface of bone where it is being resorbed (or destroyed) and protects against osteoclast activity.</w:t>
      </w:r>
    </w:p>
    <w:p w:rsidR="002E4556" w:rsidRPr="00873C4C" w:rsidRDefault="002E4556" w:rsidP="00057B42">
      <w:pPr>
        <w:spacing w:line="360" w:lineRule="auto"/>
        <w:jc w:val="both"/>
        <w:rPr>
          <w:color w:val="000000"/>
        </w:rPr>
      </w:pPr>
      <w:r w:rsidRPr="00873C4C">
        <w:rPr>
          <w:b/>
          <w:color w:val="000000"/>
        </w:rPr>
        <w:t>CAT or CT [Computerized (Axial) Tomography scan]:</w:t>
      </w:r>
      <w:r w:rsidRPr="00873C4C">
        <w:rPr>
          <w:color w:val="000000"/>
        </w:rPr>
        <w:t xml:space="preserve"> A test using computerized X-rays to create three-dimensional images of organs and structures inside the body, used to detect small areas of bone damage or soft tissue involvement.</w:t>
      </w:r>
    </w:p>
    <w:p w:rsidR="002E4556" w:rsidRPr="00873C4C" w:rsidRDefault="002E4556" w:rsidP="00057B42">
      <w:pPr>
        <w:spacing w:line="360" w:lineRule="auto"/>
        <w:jc w:val="both"/>
        <w:rPr>
          <w:color w:val="000000"/>
        </w:rPr>
      </w:pPr>
      <w:r w:rsidRPr="00873C4C">
        <w:rPr>
          <w:b/>
          <w:color w:val="000000"/>
        </w:rPr>
        <w:t xml:space="preserve">Cell differentiation: </w:t>
      </w:r>
      <w:r w:rsidRPr="00873C4C">
        <w:rPr>
          <w:color w:val="000000"/>
        </w:rPr>
        <w:t>The process during which young, immature (unspecialized) cells take on individual characteristics and reach their mature (specialized) form and function.</w:t>
      </w:r>
    </w:p>
    <w:p w:rsidR="002E4556" w:rsidRPr="00873C4C" w:rsidRDefault="002E4556" w:rsidP="00057B42">
      <w:pPr>
        <w:spacing w:line="360" w:lineRule="auto"/>
        <w:jc w:val="both"/>
        <w:rPr>
          <w:color w:val="000000"/>
        </w:rPr>
      </w:pPr>
      <w:r w:rsidRPr="00873C4C">
        <w:rPr>
          <w:b/>
          <w:color w:val="000000"/>
        </w:rPr>
        <w:t>Chemotherapy:</w:t>
      </w:r>
      <w:r w:rsidRPr="00873C4C">
        <w:rPr>
          <w:color w:val="000000"/>
        </w:rPr>
        <w:t xml:space="preserve"> The treatment of cancer with drugs that kill all rapidly-dividing cells.</w:t>
      </w:r>
    </w:p>
    <w:p w:rsidR="002E4556" w:rsidRPr="00873C4C" w:rsidRDefault="002E4556" w:rsidP="00057B42">
      <w:pPr>
        <w:spacing w:line="360" w:lineRule="auto"/>
        <w:jc w:val="both"/>
        <w:rPr>
          <w:color w:val="000000"/>
        </w:rPr>
      </w:pPr>
      <w:r w:rsidRPr="00873C4C">
        <w:rPr>
          <w:b/>
          <w:color w:val="000000"/>
        </w:rPr>
        <w:t>Combination chemotherapy:</w:t>
      </w:r>
      <w:r w:rsidRPr="00873C4C">
        <w:rPr>
          <w:color w:val="000000"/>
        </w:rPr>
        <w:t xml:space="preserve"> </w:t>
      </w:r>
      <w:r w:rsidR="003F33D0" w:rsidRPr="00873C4C">
        <w:rPr>
          <w:color w:val="000000"/>
        </w:rPr>
        <w:t xml:space="preserve">The use of </w:t>
      </w:r>
      <w:r w:rsidR="003F33D0" w:rsidRPr="003F33D0">
        <w:rPr>
          <w:color w:val="000000"/>
        </w:rPr>
        <w:t xml:space="preserve">several different </w:t>
      </w:r>
      <w:r w:rsidR="003F33D0">
        <w:rPr>
          <w:color w:val="000000"/>
        </w:rPr>
        <w:t xml:space="preserve">chemotherapeutic </w:t>
      </w:r>
      <w:r w:rsidR="003F33D0" w:rsidRPr="003F33D0">
        <w:rPr>
          <w:color w:val="000000"/>
        </w:rPr>
        <w:t>agents simultaneously in order to enhance their effectiveness</w:t>
      </w:r>
      <w:r w:rsidR="003F33D0">
        <w:rPr>
          <w:color w:val="000000"/>
        </w:rPr>
        <w:t>.</w:t>
      </w:r>
    </w:p>
    <w:p w:rsidR="002E4556" w:rsidRPr="00873C4C" w:rsidRDefault="002E4556" w:rsidP="00057B42">
      <w:pPr>
        <w:spacing w:line="360" w:lineRule="auto"/>
        <w:jc w:val="both"/>
        <w:rPr>
          <w:color w:val="000000"/>
        </w:rPr>
      </w:pPr>
      <w:r w:rsidRPr="00873C4C">
        <w:rPr>
          <w:b/>
          <w:color w:val="000000"/>
        </w:rPr>
        <w:t>Chronic:</w:t>
      </w:r>
      <w:r w:rsidRPr="00873C4C">
        <w:rPr>
          <w:color w:val="000000"/>
        </w:rPr>
        <w:t xml:space="preserve"> Persisting over a long period of time.</w:t>
      </w:r>
    </w:p>
    <w:p w:rsidR="002E4556" w:rsidRPr="00873C4C" w:rsidRDefault="002E4556" w:rsidP="00057B42">
      <w:pPr>
        <w:spacing w:line="360" w:lineRule="auto"/>
        <w:jc w:val="both"/>
        <w:rPr>
          <w:color w:val="000000"/>
        </w:rPr>
      </w:pPr>
      <w:r w:rsidRPr="00873C4C">
        <w:rPr>
          <w:b/>
          <w:color w:val="000000"/>
        </w:rPr>
        <w:t>Clinical:</w:t>
      </w:r>
      <w:r w:rsidRPr="00873C4C">
        <w:rPr>
          <w:color w:val="000000"/>
        </w:rPr>
        <w:t xml:space="preserve"> Involving direct observation of a patient.</w:t>
      </w:r>
    </w:p>
    <w:p w:rsidR="002E4556" w:rsidRPr="00873C4C" w:rsidRDefault="002E4556" w:rsidP="00057B42">
      <w:pPr>
        <w:spacing w:line="360" w:lineRule="auto"/>
        <w:jc w:val="both"/>
        <w:rPr>
          <w:color w:val="000000"/>
        </w:rPr>
      </w:pPr>
      <w:r w:rsidRPr="00873C4C">
        <w:rPr>
          <w:b/>
          <w:color w:val="000000"/>
        </w:rPr>
        <w:t>Clinical trial:</w:t>
      </w:r>
      <w:r w:rsidRPr="00873C4C">
        <w:rPr>
          <w:color w:val="000000"/>
        </w:rPr>
        <w:t xml:space="preserve"> A research study of new treatment that involves patients. Each study is</w:t>
      </w:r>
      <w:r w:rsidR="003D04C6">
        <w:rPr>
          <w:color w:val="000000"/>
        </w:rPr>
        <w:t xml:space="preserve"> </w:t>
      </w:r>
      <w:r w:rsidRPr="00873C4C">
        <w:rPr>
          <w:color w:val="000000"/>
        </w:rPr>
        <w:t xml:space="preserve">designed to find better ways to prevent, detect, diagnose, or treat cancer and to </w:t>
      </w:r>
      <w:r w:rsidR="00647448" w:rsidRPr="00873C4C">
        <w:rPr>
          <w:color w:val="000000"/>
        </w:rPr>
        <w:t>answer scientific</w:t>
      </w:r>
      <w:r w:rsidRPr="00873C4C">
        <w:rPr>
          <w:color w:val="000000"/>
        </w:rPr>
        <w:t xml:space="preserve"> questions. </w:t>
      </w:r>
    </w:p>
    <w:p w:rsidR="002E4556" w:rsidRPr="00873C4C" w:rsidRDefault="002E4556" w:rsidP="00057B42">
      <w:pPr>
        <w:spacing w:line="360" w:lineRule="auto"/>
        <w:jc w:val="both"/>
        <w:rPr>
          <w:color w:val="000000"/>
        </w:rPr>
      </w:pPr>
      <w:r w:rsidRPr="00873C4C">
        <w:rPr>
          <w:color w:val="000000"/>
        </w:rPr>
        <w:t xml:space="preserve">• </w:t>
      </w:r>
      <w:r w:rsidRPr="00873C4C">
        <w:rPr>
          <w:color w:val="000000"/>
          <w:u w:val="single"/>
        </w:rPr>
        <w:t>Control group</w:t>
      </w:r>
      <w:r w:rsidRPr="00873C4C">
        <w:rPr>
          <w:color w:val="000000"/>
        </w:rPr>
        <w:t xml:space="preserve"> – The arm of a randomized clinical trial that gets the standard treatment.</w:t>
      </w:r>
    </w:p>
    <w:p w:rsidR="002E4556" w:rsidRPr="00873C4C" w:rsidRDefault="002E4556" w:rsidP="00057B42">
      <w:pPr>
        <w:spacing w:line="360" w:lineRule="auto"/>
        <w:jc w:val="both"/>
        <w:rPr>
          <w:color w:val="000000"/>
        </w:rPr>
      </w:pPr>
      <w:r w:rsidRPr="00873C4C">
        <w:rPr>
          <w:color w:val="000000"/>
        </w:rPr>
        <w:t xml:space="preserve">• </w:t>
      </w:r>
      <w:r w:rsidRPr="00873C4C">
        <w:rPr>
          <w:color w:val="000000"/>
          <w:u w:val="single"/>
        </w:rPr>
        <w:t>End Point</w:t>
      </w:r>
      <w:r w:rsidRPr="00873C4C">
        <w:rPr>
          <w:color w:val="000000"/>
        </w:rPr>
        <w:t xml:space="preserve"> – What a clinical trial is trying to measure or find out; the goal of the trial. Typical end points include measurements of toxicity, response rate, and survival.</w:t>
      </w:r>
    </w:p>
    <w:p w:rsidR="002E4556" w:rsidRPr="00873C4C" w:rsidRDefault="002E4556" w:rsidP="00057B42">
      <w:pPr>
        <w:spacing w:line="360" w:lineRule="auto"/>
        <w:jc w:val="both"/>
        <w:rPr>
          <w:color w:val="000000"/>
        </w:rPr>
      </w:pPr>
      <w:r w:rsidRPr="00873C4C">
        <w:rPr>
          <w:color w:val="000000"/>
        </w:rPr>
        <w:t xml:space="preserve">• </w:t>
      </w:r>
      <w:r w:rsidRPr="00873C4C">
        <w:rPr>
          <w:color w:val="000000"/>
          <w:u w:val="single"/>
        </w:rPr>
        <w:t>Experimental group</w:t>
      </w:r>
      <w:r w:rsidRPr="00873C4C">
        <w:rPr>
          <w:color w:val="000000"/>
        </w:rPr>
        <w:t xml:space="preserve"> – The arm of a randomized trial that gets the new treatment.</w:t>
      </w:r>
    </w:p>
    <w:p w:rsidR="002E4556" w:rsidRPr="00873C4C" w:rsidRDefault="002E4556" w:rsidP="00057B42">
      <w:pPr>
        <w:spacing w:line="360" w:lineRule="auto"/>
        <w:jc w:val="both"/>
        <w:rPr>
          <w:color w:val="000000"/>
        </w:rPr>
      </w:pPr>
      <w:r w:rsidRPr="00873C4C">
        <w:rPr>
          <w:color w:val="000000"/>
        </w:rPr>
        <w:t xml:space="preserve">• </w:t>
      </w:r>
      <w:r w:rsidRPr="00873C4C">
        <w:rPr>
          <w:color w:val="000000"/>
          <w:u w:val="single"/>
        </w:rPr>
        <w:t>Randomized clinical trial</w:t>
      </w:r>
      <w:r w:rsidRPr="00873C4C">
        <w:rPr>
          <w:color w:val="000000"/>
        </w:rPr>
        <w:t xml:space="preserve"> – A research study in which subjects are randomly assigned to receive a particular treatment.</w:t>
      </w:r>
    </w:p>
    <w:p w:rsidR="002E4556" w:rsidRPr="00873C4C" w:rsidRDefault="002E4556" w:rsidP="00057B42">
      <w:pPr>
        <w:spacing w:line="360" w:lineRule="auto"/>
        <w:jc w:val="both"/>
        <w:rPr>
          <w:color w:val="000000"/>
        </w:rPr>
      </w:pPr>
      <w:r w:rsidRPr="00873C4C">
        <w:rPr>
          <w:b/>
          <w:color w:val="000000"/>
        </w:rPr>
        <w:t>Creatinine:</w:t>
      </w:r>
      <w:r w:rsidRPr="00873C4C">
        <w:rPr>
          <w:color w:val="000000"/>
        </w:rPr>
        <w:t xml:space="preserve"> A small chemical compound normally excreted by the kidneys. If the kidneys are damaged, the serum level of creatinine builds up, resulting in an </w:t>
      </w:r>
      <w:r w:rsidRPr="00873C4C">
        <w:rPr>
          <w:color w:val="000000"/>
        </w:rPr>
        <w:lastRenderedPageBreak/>
        <w:t>elevated serum creatinine. The serum creatinine test is used to measure kidney function.</w:t>
      </w:r>
    </w:p>
    <w:p w:rsidR="002E4556" w:rsidRPr="00873C4C" w:rsidRDefault="002E4556" w:rsidP="00057B42">
      <w:pPr>
        <w:spacing w:line="360" w:lineRule="auto"/>
        <w:jc w:val="both"/>
        <w:rPr>
          <w:color w:val="000000"/>
        </w:rPr>
      </w:pPr>
      <w:r w:rsidRPr="00873C4C">
        <w:rPr>
          <w:b/>
          <w:color w:val="000000"/>
        </w:rPr>
        <w:t>Dexamethasone:</w:t>
      </w:r>
      <w:r w:rsidRPr="00873C4C">
        <w:rPr>
          <w:color w:val="000000"/>
        </w:rPr>
        <w:t xml:space="preserve"> A powerful corticosteroid given alone or with other drugs.</w:t>
      </w:r>
    </w:p>
    <w:p w:rsidR="002E4556" w:rsidRPr="00873C4C" w:rsidRDefault="002E4556" w:rsidP="00057B42">
      <w:pPr>
        <w:spacing w:line="360" w:lineRule="auto"/>
        <w:jc w:val="both"/>
        <w:rPr>
          <w:color w:val="000000"/>
        </w:rPr>
      </w:pPr>
      <w:r w:rsidRPr="00873C4C">
        <w:rPr>
          <w:color w:val="000000"/>
        </w:rPr>
        <w:t>Disease-free survival: The length of time the patient survives without any detectable cancer.</w:t>
      </w:r>
    </w:p>
    <w:p w:rsidR="002E4556" w:rsidRPr="00873C4C" w:rsidRDefault="002E4556" w:rsidP="00057B42">
      <w:pPr>
        <w:spacing w:line="360" w:lineRule="auto"/>
        <w:jc w:val="both"/>
        <w:rPr>
          <w:color w:val="000000"/>
        </w:rPr>
      </w:pPr>
      <w:r w:rsidRPr="00873C4C">
        <w:rPr>
          <w:b/>
          <w:color w:val="000000"/>
        </w:rPr>
        <w:t>Drug resistance:</w:t>
      </w:r>
      <w:r w:rsidRPr="00873C4C">
        <w:rPr>
          <w:color w:val="000000"/>
        </w:rPr>
        <w:t xml:space="preserve"> The result of cells’ ability to resist the effects of a specific drug.</w:t>
      </w:r>
    </w:p>
    <w:p w:rsidR="002E4556" w:rsidRPr="00873C4C" w:rsidRDefault="002E4556" w:rsidP="00057B42">
      <w:pPr>
        <w:spacing w:line="360" w:lineRule="auto"/>
        <w:jc w:val="both"/>
        <w:rPr>
          <w:color w:val="000000"/>
        </w:rPr>
      </w:pPr>
      <w:r w:rsidRPr="00873C4C">
        <w:rPr>
          <w:b/>
          <w:color w:val="000000"/>
        </w:rPr>
        <w:t>Efficacy:</w:t>
      </w:r>
      <w:r w:rsidRPr="00873C4C">
        <w:rPr>
          <w:color w:val="000000"/>
        </w:rPr>
        <w:t xml:space="preserve"> The power to produce an effect; in cancer research ‘efficacy’ refers to whether the treatment is effective.</w:t>
      </w:r>
    </w:p>
    <w:p w:rsidR="002E4556" w:rsidRPr="00873C4C" w:rsidRDefault="002E4556" w:rsidP="00057B42">
      <w:pPr>
        <w:spacing w:line="360" w:lineRule="auto"/>
        <w:jc w:val="both"/>
        <w:rPr>
          <w:color w:val="000000"/>
        </w:rPr>
      </w:pPr>
      <w:r w:rsidRPr="00873C4C">
        <w:rPr>
          <w:b/>
          <w:color w:val="000000"/>
        </w:rPr>
        <w:t>Electrophoresis:</w:t>
      </w:r>
      <w:r w:rsidRPr="00873C4C">
        <w:rPr>
          <w:color w:val="000000"/>
        </w:rPr>
        <w:t xml:space="preserve"> </w:t>
      </w:r>
      <w:r w:rsidR="00E164EC">
        <w:t xml:space="preserve">is the motion of charged particle relative to a fluid under the influence of a spatially uniform </w:t>
      </w:r>
      <w:r w:rsidR="00E164EC" w:rsidRPr="006B7BE7">
        <w:t>electric field</w:t>
      </w:r>
      <w:r w:rsidR="00E164EC">
        <w:t xml:space="preserve">. </w:t>
      </w:r>
      <w:r w:rsidR="00E164EC" w:rsidRPr="00873C4C">
        <w:rPr>
          <w:color w:val="000000"/>
        </w:rPr>
        <w:t xml:space="preserve"> </w:t>
      </w:r>
      <w:r w:rsidRPr="00873C4C">
        <w:rPr>
          <w:color w:val="000000"/>
        </w:rPr>
        <w:t>For myeloma patients, electrophoresis of the blood or urine allows both the calculation of the amount of myeloma protein (M-protein) as well as the identification of the specific M-spike characteristic for each patient. Electrophoresis is used as a tool both for diagnosis and for monitoring</w:t>
      </w:r>
    </w:p>
    <w:p w:rsidR="002E4556" w:rsidRPr="00873C4C" w:rsidRDefault="002E4556" w:rsidP="00057B42">
      <w:pPr>
        <w:spacing w:line="360" w:lineRule="auto"/>
        <w:jc w:val="both"/>
        <w:rPr>
          <w:color w:val="000000"/>
        </w:rPr>
      </w:pPr>
      <w:r w:rsidRPr="00873C4C">
        <w:rPr>
          <w:b/>
          <w:color w:val="000000"/>
        </w:rPr>
        <w:t>Erythropoietin:</w:t>
      </w:r>
      <w:r w:rsidRPr="00873C4C">
        <w:rPr>
          <w:color w:val="000000"/>
        </w:rPr>
        <w:t xml:space="preserve"> A hormone produced by the kidneys. Myeloma patients with damaged kidneys don’t produce enough erythropoietin and can become anaemic. Injections with synthetic erythropoietin can be helpful. Blood transfusion is another alternative, especially in an emergency. Synthetic erythropoietin is used as a supportive therapy during anti-myeloma treatment to avoid anaemia.</w:t>
      </w:r>
    </w:p>
    <w:p w:rsidR="00D36640" w:rsidRDefault="002E4556" w:rsidP="00057B42">
      <w:pPr>
        <w:spacing w:line="360" w:lineRule="auto"/>
        <w:jc w:val="both"/>
        <w:rPr>
          <w:color w:val="000000"/>
        </w:rPr>
      </w:pPr>
      <w:r w:rsidRPr="00873C4C">
        <w:rPr>
          <w:b/>
          <w:color w:val="000000"/>
        </w:rPr>
        <w:t>Free light chains</w:t>
      </w:r>
      <w:r w:rsidR="00D36640">
        <w:rPr>
          <w:b/>
          <w:color w:val="000000"/>
        </w:rPr>
        <w:t xml:space="preserve"> in serum</w:t>
      </w:r>
      <w:r w:rsidRPr="00873C4C">
        <w:rPr>
          <w:b/>
          <w:color w:val="000000"/>
        </w:rPr>
        <w:t>:</w:t>
      </w:r>
      <w:r w:rsidRPr="00873C4C">
        <w:rPr>
          <w:color w:val="000000"/>
        </w:rPr>
        <w:t xml:space="preserve"> </w:t>
      </w:r>
      <w:r w:rsidR="00D36640" w:rsidRPr="00D36640">
        <w:rPr>
          <w:color w:val="000000"/>
        </w:rPr>
        <w:t>Measurement of immunoglobulin free light chains in serum as an alternative to the analysis of Bence Jones proteins in urine. These tests are used as an aid in the diagnosis and monitoring of multiple myeloma and related disorders. There are two types of immunoglobulin light chain produced in humans, designated by the Greek letters kappa (κ) and lambda (λ).</w:t>
      </w:r>
    </w:p>
    <w:p w:rsidR="002E4556" w:rsidRPr="00873C4C" w:rsidRDefault="002E4556" w:rsidP="00057B42">
      <w:pPr>
        <w:spacing w:line="360" w:lineRule="auto"/>
        <w:jc w:val="both"/>
        <w:rPr>
          <w:color w:val="000000"/>
        </w:rPr>
      </w:pPr>
      <w:r w:rsidRPr="00873C4C">
        <w:rPr>
          <w:b/>
          <w:color w:val="000000"/>
        </w:rPr>
        <w:t>H</w:t>
      </w:r>
      <w:r w:rsidR="00B07D1E" w:rsidRPr="00873C4C">
        <w:rPr>
          <w:b/>
          <w:color w:val="000000"/>
        </w:rPr>
        <w:t>a</w:t>
      </w:r>
      <w:r w:rsidRPr="00873C4C">
        <w:rPr>
          <w:b/>
          <w:color w:val="000000"/>
        </w:rPr>
        <w:t>ematologic:</w:t>
      </w:r>
      <w:r w:rsidRPr="00873C4C">
        <w:rPr>
          <w:color w:val="000000"/>
        </w:rPr>
        <w:t xml:space="preserve"> Originating in the blood, or disseminated by the circulation or through the bloodstream.</w:t>
      </w:r>
    </w:p>
    <w:p w:rsidR="00B07D1E" w:rsidRPr="00873C4C" w:rsidRDefault="002E4556" w:rsidP="00057B42">
      <w:pPr>
        <w:spacing w:line="360" w:lineRule="auto"/>
        <w:jc w:val="both"/>
        <w:rPr>
          <w:color w:val="000000"/>
        </w:rPr>
      </w:pPr>
      <w:r w:rsidRPr="00873C4C">
        <w:rPr>
          <w:b/>
          <w:color w:val="000000"/>
        </w:rPr>
        <w:t>Hypercalcemia:</w:t>
      </w:r>
      <w:r w:rsidRPr="00873C4C">
        <w:rPr>
          <w:color w:val="000000"/>
        </w:rPr>
        <w:t xml:space="preserve"> A higher-than-normal level of calcium in the blood. This condition can cause a number of symptoms, including loss of appetite, nausea, thirst, fatigue, muscle weakness, restlessness, and confusion. </w:t>
      </w:r>
      <w:r w:rsidR="00B07D1E" w:rsidRPr="00873C4C">
        <w:rPr>
          <w:color w:val="000000"/>
        </w:rPr>
        <w:t>Hypercalcemia is c</w:t>
      </w:r>
      <w:r w:rsidRPr="00873C4C">
        <w:rPr>
          <w:color w:val="000000"/>
        </w:rPr>
        <w:t xml:space="preserve">ommon in myeloma patients and usually resulting from bone destruction with release of calcium into the blood stream. </w:t>
      </w:r>
    </w:p>
    <w:p w:rsidR="002E4556" w:rsidRPr="00873C4C" w:rsidRDefault="002E4556" w:rsidP="00057B42">
      <w:pPr>
        <w:spacing w:line="360" w:lineRule="auto"/>
        <w:jc w:val="both"/>
        <w:rPr>
          <w:color w:val="000000"/>
        </w:rPr>
      </w:pPr>
      <w:r w:rsidRPr="00873C4C">
        <w:rPr>
          <w:b/>
          <w:color w:val="000000"/>
        </w:rPr>
        <w:t>IgG, IgA myeloma:</w:t>
      </w:r>
      <w:r w:rsidRPr="00873C4C">
        <w:rPr>
          <w:color w:val="000000"/>
        </w:rPr>
        <w:t xml:space="preserve"> The two most common types of myeloma. The G and the A refer to the type of protein produced by the myeloma cells. The myeloma protein, which is an immunoglobulin, consists of two heavy chains, (for example of a G type) combined with two light chains, which are either kappa or lambda. Therefore, </w:t>
      </w:r>
      <w:r w:rsidRPr="00873C4C">
        <w:rPr>
          <w:color w:val="000000"/>
        </w:rPr>
        <w:lastRenderedPageBreak/>
        <w:t xml:space="preserve">the two most common subtypes of myeloma have identical heavy chains (i.e. IgG kappa and IgG lambda). The terms heavy and light refer to the size or molecular weight of the protein, with the heavy chains being larger than the light chains. Since the light chains are smaller, they are more likely to leak out into the urine, resulting in urine Bence Jones protein. </w:t>
      </w:r>
    </w:p>
    <w:p w:rsidR="002E4556" w:rsidRPr="00873C4C" w:rsidRDefault="002E4556" w:rsidP="00057B42">
      <w:pPr>
        <w:spacing w:line="360" w:lineRule="auto"/>
        <w:jc w:val="both"/>
        <w:rPr>
          <w:color w:val="000000"/>
        </w:rPr>
      </w:pPr>
      <w:r w:rsidRPr="00873C4C">
        <w:rPr>
          <w:b/>
          <w:color w:val="000000"/>
        </w:rPr>
        <w:t>IgD, IgE myeloma:</w:t>
      </w:r>
      <w:r w:rsidRPr="00873C4C">
        <w:rPr>
          <w:color w:val="000000"/>
        </w:rPr>
        <w:t xml:space="preserve"> Two types of myeloma that occur less frequently.</w:t>
      </w:r>
    </w:p>
    <w:p w:rsidR="002E4556" w:rsidRPr="00873C4C" w:rsidRDefault="002E4556" w:rsidP="00057B42">
      <w:pPr>
        <w:spacing w:line="360" w:lineRule="auto"/>
        <w:jc w:val="both"/>
        <w:rPr>
          <w:color w:val="000000"/>
        </w:rPr>
      </w:pPr>
      <w:r w:rsidRPr="00873C4C">
        <w:rPr>
          <w:color w:val="000000"/>
        </w:rPr>
        <w:t>IgM: Usually associated with Waldenstrom’s macroglobulemia. In rare cases can be a type of myeloma.</w:t>
      </w:r>
    </w:p>
    <w:p w:rsidR="002E4556" w:rsidRPr="00873C4C" w:rsidRDefault="002E4556" w:rsidP="00057B42">
      <w:pPr>
        <w:spacing w:line="360" w:lineRule="auto"/>
        <w:jc w:val="both"/>
        <w:rPr>
          <w:color w:val="000000"/>
        </w:rPr>
      </w:pPr>
      <w:r w:rsidRPr="00873C4C">
        <w:rPr>
          <w:b/>
          <w:color w:val="000000"/>
        </w:rPr>
        <w:t>Immunodeficiency:</w:t>
      </w:r>
      <w:r w:rsidRPr="00873C4C">
        <w:rPr>
          <w:color w:val="000000"/>
        </w:rPr>
        <w:t xml:space="preserve"> A lowering of the body’s ability to fight off infection and disease.</w:t>
      </w:r>
    </w:p>
    <w:p w:rsidR="002E4556" w:rsidRPr="00873C4C" w:rsidRDefault="002E4556" w:rsidP="00057B42">
      <w:pPr>
        <w:spacing w:line="360" w:lineRule="auto"/>
        <w:jc w:val="both"/>
        <w:rPr>
          <w:color w:val="000000"/>
        </w:rPr>
      </w:pPr>
      <w:r w:rsidRPr="00873C4C">
        <w:rPr>
          <w:b/>
          <w:color w:val="000000"/>
        </w:rPr>
        <w:t xml:space="preserve">Immunofixation: </w:t>
      </w:r>
      <w:r w:rsidRPr="00873C4C">
        <w:rPr>
          <w:color w:val="000000"/>
        </w:rPr>
        <w:t xml:space="preserve">An immunologic test of the serum or urine used to identify proteins in the blood. For myeloma patients, it enables the doctor to identify the M-protein type (IgG, IgA, kappa, or lambda). The most sensitive routine </w:t>
      </w:r>
      <w:r w:rsidR="00647448" w:rsidRPr="00873C4C">
        <w:rPr>
          <w:color w:val="000000"/>
        </w:rPr>
        <w:t>immuno</w:t>
      </w:r>
      <w:r w:rsidR="00647448">
        <w:rPr>
          <w:color w:val="000000"/>
        </w:rPr>
        <w:t>-</w:t>
      </w:r>
      <w:r w:rsidR="00647448" w:rsidRPr="00873C4C">
        <w:rPr>
          <w:color w:val="000000"/>
        </w:rPr>
        <w:t>staining</w:t>
      </w:r>
      <w:r w:rsidRPr="00873C4C">
        <w:rPr>
          <w:color w:val="000000"/>
        </w:rPr>
        <w:t xml:space="preserve"> technique, it identifies the exact heavy and light chain type of M-protein.</w:t>
      </w:r>
    </w:p>
    <w:p w:rsidR="002E4556" w:rsidRPr="00873C4C" w:rsidRDefault="002E4556" w:rsidP="00057B42">
      <w:pPr>
        <w:spacing w:line="360" w:lineRule="auto"/>
        <w:jc w:val="both"/>
        <w:rPr>
          <w:color w:val="000000"/>
        </w:rPr>
      </w:pPr>
      <w:r w:rsidRPr="00873C4C">
        <w:rPr>
          <w:b/>
          <w:color w:val="000000"/>
        </w:rPr>
        <w:t>Immunoglobulin (Ig):</w:t>
      </w:r>
      <w:r w:rsidRPr="00873C4C">
        <w:rPr>
          <w:color w:val="000000"/>
        </w:rPr>
        <w:t xml:space="preserve"> A protein produced by plasma cells; an essential part of the body’s immune system. </w:t>
      </w:r>
      <w:r w:rsidR="00647448" w:rsidRPr="00873C4C">
        <w:rPr>
          <w:color w:val="000000"/>
        </w:rPr>
        <w:t>Immunoglobulin attaches</w:t>
      </w:r>
      <w:r w:rsidRPr="00873C4C">
        <w:rPr>
          <w:color w:val="000000"/>
        </w:rPr>
        <w:t xml:space="preserve"> to foreign substances (antigens) and assist in destroying them. The classes of immunoglobulins are IgA, IgG, IgM, IgD, and IgE.</w:t>
      </w:r>
    </w:p>
    <w:p w:rsidR="002E4556" w:rsidRPr="00873C4C" w:rsidRDefault="002E4556" w:rsidP="00057B42">
      <w:pPr>
        <w:spacing w:line="360" w:lineRule="auto"/>
        <w:jc w:val="both"/>
        <w:rPr>
          <w:color w:val="000000"/>
        </w:rPr>
      </w:pPr>
      <w:r w:rsidRPr="00873C4C">
        <w:rPr>
          <w:b/>
          <w:color w:val="000000"/>
        </w:rPr>
        <w:t>Immunosuppression:</w:t>
      </w:r>
      <w:r w:rsidRPr="00873C4C">
        <w:rPr>
          <w:color w:val="000000"/>
        </w:rPr>
        <w:t xml:space="preserve"> Weakening of the immune system that causes a lowered ability to fight infection and disease. </w:t>
      </w:r>
    </w:p>
    <w:p w:rsidR="002E4556" w:rsidRPr="00873C4C" w:rsidRDefault="002E4556" w:rsidP="00057B42">
      <w:pPr>
        <w:spacing w:line="360" w:lineRule="auto"/>
        <w:jc w:val="both"/>
        <w:rPr>
          <w:color w:val="000000"/>
        </w:rPr>
      </w:pPr>
      <w:r w:rsidRPr="00873C4C">
        <w:rPr>
          <w:b/>
          <w:color w:val="000000"/>
        </w:rPr>
        <w:t>Immunotherapy:</w:t>
      </w:r>
      <w:r w:rsidRPr="00873C4C">
        <w:rPr>
          <w:color w:val="000000"/>
        </w:rPr>
        <w:t xml:space="preserve"> Treatment that stimulates the body’s natural defences to fight cancer. also called biological therapy.</w:t>
      </w:r>
    </w:p>
    <w:p w:rsidR="002E4556" w:rsidRPr="00873C4C" w:rsidRDefault="002E4556" w:rsidP="00057B42">
      <w:pPr>
        <w:spacing w:line="360" w:lineRule="auto"/>
        <w:jc w:val="both"/>
        <w:rPr>
          <w:color w:val="000000"/>
        </w:rPr>
      </w:pPr>
      <w:r w:rsidRPr="00873C4C">
        <w:rPr>
          <w:b/>
          <w:color w:val="000000"/>
        </w:rPr>
        <w:t>Incidence:</w:t>
      </w:r>
      <w:r w:rsidRPr="00873C4C">
        <w:rPr>
          <w:color w:val="000000"/>
        </w:rPr>
        <w:t xml:space="preserve"> The number of new cases of a disease diagnosed each year.</w:t>
      </w:r>
    </w:p>
    <w:p w:rsidR="002E4556" w:rsidRPr="00873C4C" w:rsidRDefault="002E4556" w:rsidP="00057B42">
      <w:pPr>
        <w:spacing w:line="360" w:lineRule="auto"/>
        <w:jc w:val="both"/>
        <w:rPr>
          <w:color w:val="000000"/>
        </w:rPr>
      </w:pPr>
      <w:r w:rsidRPr="00873C4C">
        <w:rPr>
          <w:b/>
          <w:color w:val="000000"/>
        </w:rPr>
        <w:t>Induction therapy:</w:t>
      </w:r>
      <w:r w:rsidRPr="00873C4C">
        <w:rPr>
          <w:color w:val="000000"/>
        </w:rPr>
        <w:t xml:space="preserve"> The initial treatment used in an effort to achieve remission in a newly diagnosed myeloma patient.</w:t>
      </w:r>
    </w:p>
    <w:p w:rsidR="002E4556" w:rsidRPr="00873C4C" w:rsidRDefault="002E4556" w:rsidP="00057B42">
      <w:pPr>
        <w:spacing w:line="360" w:lineRule="auto"/>
        <w:jc w:val="both"/>
        <w:rPr>
          <w:color w:val="000000"/>
        </w:rPr>
      </w:pPr>
      <w:r w:rsidRPr="00873C4C">
        <w:rPr>
          <w:b/>
          <w:color w:val="000000"/>
        </w:rPr>
        <w:t>Informed consent:</w:t>
      </w:r>
      <w:r w:rsidRPr="00873C4C">
        <w:rPr>
          <w:color w:val="000000"/>
        </w:rPr>
        <w:t xml:space="preserve"> The process requiring a doctor to give patient enough information about a proposed procedure for the patient to make an informed decision about whether or not to undergo it. The doctor must, in addition to explaining all procedures, address the issues of risks, benefits, alternatives. </w:t>
      </w:r>
    </w:p>
    <w:p w:rsidR="002E4556" w:rsidRPr="00873C4C" w:rsidRDefault="002E4556" w:rsidP="00057B42">
      <w:pPr>
        <w:spacing w:line="360" w:lineRule="auto"/>
        <w:jc w:val="both"/>
        <w:rPr>
          <w:color w:val="000000"/>
        </w:rPr>
      </w:pPr>
      <w:r w:rsidRPr="00873C4C">
        <w:rPr>
          <w:b/>
          <w:color w:val="000000"/>
        </w:rPr>
        <w:t xml:space="preserve"> LDH: </w:t>
      </w:r>
      <w:r w:rsidRPr="00873C4C">
        <w:rPr>
          <w:color w:val="000000"/>
        </w:rPr>
        <w:t xml:space="preserve">Lactate dehydrogenase, an enzyme that may be used to monitor myeloma activity. </w:t>
      </w:r>
    </w:p>
    <w:p w:rsidR="002E4556" w:rsidRPr="00873C4C" w:rsidRDefault="002E4556" w:rsidP="00057B42">
      <w:pPr>
        <w:spacing w:line="360" w:lineRule="auto"/>
        <w:jc w:val="both"/>
        <w:rPr>
          <w:color w:val="000000"/>
        </w:rPr>
      </w:pPr>
      <w:r w:rsidRPr="00873C4C">
        <w:rPr>
          <w:b/>
          <w:color w:val="000000"/>
        </w:rPr>
        <w:t>Leucopoenia:</w:t>
      </w:r>
      <w:r w:rsidRPr="00873C4C">
        <w:rPr>
          <w:color w:val="000000"/>
        </w:rPr>
        <w:t xml:space="preserve"> A low number of white blood cells.</w:t>
      </w:r>
    </w:p>
    <w:p w:rsidR="002E4556" w:rsidRPr="00873C4C" w:rsidRDefault="002E4556" w:rsidP="00057B42">
      <w:pPr>
        <w:spacing w:line="360" w:lineRule="auto"/>
        <w:jc w:val="both"/>
        <w:rPr>
          <w:color w:val="000000"/>
        </w:rPr>
      </w:pPr>
      <w:r w:rsidRPr="00873C4C">
        <w:rPr>
          <w:b/>
          <w:color w:val="000000"/>
        </w:rPr>
        <w:t xml:space="preserve">Lymphocytes: </w:t>
      </w:r>
      <w:r w:rsidRPr="00873C4C">
        <w:rPr>
          <w:color w:val="000000"/>
        </w:rPr>
        <w:t>White blood cells that fight infection and disease.</w:t>
      </w:r>
    </w:p>
    <w:p w:rsidR="002E4556" w:rsidRPr="00873C4C" w:rsidRDefault="002E4556" w:rsidP="00057B42">
      <w:pPr>
        <w:spacing w:line="360" w:lineRule="auto"/>
        <w:jc w:val="both"/>
        <w:rPr>
          <w:color w:val="000000"/>
        </w:rPr>
      </w:pPr>
      <w:r w:rsidRPr="00873C4C">
        <w:rPr>
          <w:b/>
          <w:color w:val="000000"/>
        </w:rPr>
        <w:lastRenderedPageBreak/>
        <w:t>Lytic lesions:</w:t>
      </w:r>
      <w:r w:rsidRPr="00873C4C">
        <w:rPr>
          <w:color w:val="000000"/>
        </w:rPr>
        <w:t xml:space="preserve"> The damaged area of a bone that shows up as a dark spot on an X-ray when enough of the healthy bone in any one area is eaten away. Lytic lesions look like holes in the bone and are evidence that the bone is being weakened.</w:t>
      </w:r>
    </w:p>
    <w:p w:rsidR="002E4556" w:rsidRPr="00873C4C" w:rsidRDefault="002E4556" w:rsidP="00057B42">
      <w:pPr>
        <w:spacing w:line="360" w:lineRule="auto"/>
        <w:jc w:val="both"/>
        <w:rPr>
          <w:color w:val="000000"/>
        </w:rPr>
      </w:pPr>
      <w:r w:rsidRPr="00873C4C">
        <w:rPr>
          <w:b/>
          <w:color w:val="000000"/>
        </w:rPr>
        <w:t xml:space="preserve">M proteins (M spike): </w:t>
      </w:r>
      <w:r w:rsidRPr="00873C4C">
        <w:rPr>
          <w:color w:val="000000"/>
        </w:rPr>
        <w:t xml:space="preserve">Antibodies or parts of antibodies found in unusually large amounts in the blood or urine of multiple myeloma patients. M spike refers to the sharp pattern that occurs on protein electrophoresis when an M protein is present. </w:t>
      </w:r>
      <w:r w:rsidR="00F66FE4">
        <w:rPr>
          <w:color w:val="000000"/>
        </w:rPr>
        <w:t>This is s</w:t>
      </w:r>
      <w:r w:rsidRPr="00873C4C">
        <w:rPr>
          <w:color w:val="000000"/>
        </w:rPr>
        <w:t xml:space="preserve">ynonymous with monoclonal and myeloma protein. </w:t>
      </w:r>
    </w:p>
    <w:p w:rsidR="002E4556" w:rsidRPr="00873C4C" w:rsidRDefault="002E4556" w:rsidP="00057B42">
      <w:pPr>
        <w:spacing w:line="360" w:lineRule="auto"/>
        <w:jc w:val="both"/>
        <w:rPr>
          <w:color w:val="000000"/>
        </w:rPr>
      </w:pPr>
      <w:r w:rsidRPr="00873C4C">
        <w:rPr>
          <w:b/>
          <w:color w:val="000000"/>
        </w:rPr>
        <w:t xml:space="preserve">Maintenance therapy: </w:t>
      </w:r>
      <w:r w:rsidRPr="00873C4C">
        <w:rPr>
          <w:color w:val="000000"/>
        </w:rPr>
        <w:t>Drugs given to patients in remission to delay or prevent a relapse.</w:t>
      </w:r>
    </w:p>
    <w:p w:rsidR="002E4556" w:rsidRPr="00873C4C" w:rsidRDefault="002E4556" w:rsidP="00057B42">
      <w:pPr>
        <w:spacing w:line="360" w:lineRule="auto"/>
        <w:jc w:val="both"/>
        <w:rPr>
          <w:color w:val="000000"/>
        </w:rPr>
      </w:pPr>
      <w:r w:rsidRPr="00873C4C">
        <w:rPr>
          <w:b/>
          <w:color w:val="000000"/>
        </w:rPr>
        <w:t>MGUS</w:t>
      </w:r>
      <w:r w:rsidRPr="00873C4C">
        <w:rPr>
          <w:color w:val="000000"/>
        </w:rPr>
        <w:t xml:space="preserve"> (Monoclonal </w:t>
      </w:r>
      <w:r w:rsidR="00647448" w:rsidRPr="00873C4C">
        <w:rPr>
          <w:color w:val="000000"/>
        </w:rPr>
        <w:t>Gammapathy</w:t>
      </w:r>
      <w:r w:rsidRPr="00873C4C">
        <w:rPr>
          <w:color w:val="000000"/>
        </w:rPr>
        <w:t xml:space="preserve"> of Undetermined Significance): A benign condition in which the M protein is present but there is no underlying disease.</w:t>
      </w:r>
    </w:p>
    <w:p w:rsidR="002E4556" w:rsidRPr="00873C4C" w:rsidRDefault="002E4556" w:rsidP="00057B42">
      <w:pPr>
        <w:spacing w:line="360" w:lineRule="auto"/>
        <w:jc w:val="both"/>
        <w:rPr>
          <w:color w:val="000000"/>
        </w:rPr>
      </w:pPr>
      <w:r w:rsidRPr="00873C4C">
        <w:rPr>
          <w:b/>
          <w:color w:val="000000"/>
        </w:rPr>
        <w:t xml:space="preserve">Monoclonal: </w:t>
      </w:r>
      <w:r w:rsidRPr="00873C4C">
        <w:rPr>
          <w:color w:val="000000"/>
        </w:rPr>
        <w:t>A clone or duplicate of a single cell. Myeloma develops from a single malignant plasma cell (</w:t>
      </w:r>
      <w:r w:rsidR="00647448" w:rsidRPr="00873C4C">
        <w:rPr>
          <w:color w:val="000000"/>
        </w:rPr>
        <w:t>monoclonal</w:t>
      </w:r>
      <w:r w:rsidRPr="00873C4C">
        <w:rPr>
          <w:color w:val="000000"/>
        </w:rPr>
        <w:t>). The type of myeloma protein produced is also monoclonal; a single form rather than many forms (polyclonal). The important practical aspect of a monoclonal protein is that it shows up as a sharp spike (M spike) in the serum electrophoresis test.</w:t>
      </w:r>
    </w:p>
    <w:p w:rsidR="002E4556" w:rsidRPr="00873C4C" w:rsidRDefault="002E4556" w:rsidP="00057B42">
      <w:pPr>
        <w:spacing w:line="360" w:lineRule="auto"/>
        <w:jc w:val="both"/>
        <w:rPr>
          <w:color w:val="000000"/>
        </w:rPr>
      </w:pPr>
      <w:r w:rsidRPr="00873C4C">
        <w:rPr>
          <w:b/>
          <w:color w:val="000000"/>
        </w:rPr>
        <w:t xml:space="preserve">MRI (Magnetic Resonance Imaging): </w:t>
      </w:r>
      <w:r w:rsidRPr="00873C4C">
        <w:rPr>
          <w:color w:val="000000"/>
        </w:rPr>
        <w:t>A diagnostic test that uses magnetic energy, rather than X-ray energy, to produce detailed two- or three-dimensional images of organs and structures inside the body. Gives very fine resolution of soft tissues, especially encroachments on the spinal cord, but is less accurate for bone lesions.</w:t>
      </w:r>
    </w:p>
    <w:p w:rsidR="002E4556" w:rsidRPr="00873C4C" w:rsidRDefault="002E4556" w:rsidP="00057B42">
      <w:pPr>
        <w:spacing w:line="360" w:lineRule="auto"/>
        <w:jc w:val="both"/>
        <w:rPr>
          <w:color w:val="000000"/>
        </w:rPr>
      </w:pPr>
      <w:r w:rsidRPr="00873C4C">
        <w:rPr>
          <w:b/>
          <w:color w:val="000000"/>
        </w:rPr>
        <w:t xml:space="preserve">MTD (Maximum Tolerated Dose): </w:t>
      </w:r>
      <w:r w:rsidRPr="00873C4C">
        <w:rPr>
          <w:color w:val="000000"/>
        </w:rPr>
        <w:t>The highest dose of a treatment that most people can safely withstand.</w:t>
      </w:r>
    </w:p>
    <w:p w:rsidR="002E4556" w:rsidRPr="00873C4C" w:rsidRDefault="002E4556" w:rsidP="00057B42">
      <w:pPr>
        <w:spacing w:line="360" w:lineRule="auto"/>
        <w:jc w:val="both"/>
        <w:rPr>
          <w:color w:val="000000"/>
        </w:rPr>
      </w:pPr>
      <w:r w:rsidRPr="00873C4C">
        <w:rPr>
          <w:b/>
          <w:color w:val="000000"/>
        </w:rPr>
        <w:t xml:space="preserve">Myelosuppression: </w:t>
      </w:r>
      <w:r w:rsidRPr="00873C4C">
        <w:rPr>
          <w:color w:val="000000"/>
        </w:rPr>
        <w:t>A decrease in the production of red blood cells, platelets, and some white blood cells by the bone marrow.</w:t>
      </w:r>
    </w:p>
    <w:p w:rsidR="002E4556" w:rsidRPr="00873C4C" w:rsidRDefault="002E4556" w:rsidP="00057B42">
      <w:pPr>
        <w:spacing w:line="360" w:lineRule="auto"/>
        <w:jc w:val="both"/>
        <w:rPr>
          <w:color w:val="000000"/>
        </w:rPr>
      </w:pPr>
      <w:r w:rsidRPr="00873C4C">
        <w:rPr>
          <w:b/>
          <w:color w:val="000000"/>
        </w:rPr>
        <w:t>Neutropenia</w:t>
      </w:r>
      <w:r w:rsidRPr="00873C4C">
        <w:rPr>
          <w:color w:val="000000"/>
        </w:rPr>
        <w:t>: A reduced level of neutrophils. Cytotoxic chemotherapy has a tendency to induce neutropenia. In contrast, lymphocytes which are more important in viral infections, tend not to be affected by cytotoxic treatment. Neutropenia can be prevented or reduced using a synthetic hormone called G-CSF (e.g. Neupogen).</w:t>
      </w:r>
    </w:p>
    <w:p w:rsidR="002E4556" w:rsidRPr="00873C4C" w:rsidRDefault="002E4556" w:rsidP="00057B42">
      <w:pPr>
        <w:spacing w:line="360" w:lineRule="auto"/>
        <w:jc w:val="both"/>
        <w:rPr>
          <w:color w:val="000000"/>
        </w:rPr>
      </w:pPr>
      <w:r w:rsidRPr="00873C4C">
        <w:rPr>
          <w:b/>
          <w:color w:val="000000"/>
        </w:rPr>
        <w:t>Osteoblast:</w:t>
      </w:r>
      <w:r w:rsidRPr="00873C4C">
        <w:rPr>
          <w:color w:val="000000"/>
        </w:rPr>
        <w:t xml:space="preserve"> The cell that produces osteoid, which becomes mineralized with calcium to form new hard bone.</w:t>
      </w:r>
    </w:p>
    <w:p w:rsidR="002E4556" w:rsidRPr="00873C4C" w:rsidRDefault="002E4556" w:rsidP="00057B42">
      <w:pPr>
        <w:spacing w:line="360" w:lineRule="auto"/>
        <w:jc w:val="both"/>
        <w:rPr>
          <w:color w:val="000000"/>
        </w:rPr>
      </w:pPr>
      <w:r w:rsidRPr="00873C4C">
        <w:rPr>
          <w:b/>
          <w:color w:val="000000"/>
        </w:rPr>
        <w:t xml:space="preserve">Osteoclast: </w:t>
      </w:r>
      <w:r w:rsidRPr="00873C4C">
        <w:rPr>
          <w:color w:val="000000"/>
        </w:rPr>
        <w:t xml:space="preserve">A cell found in the bone marrow at the junction between the bone marrow and the bone that resorbs or breaks down old bone. In myeloma, the osteoclasts are over-stimulated while osteoblast activity is blocked. The combination </w:t>
      </w:r>
      <w:r w:rsidRPr="00873C4C">
        <w:rPr>
          <w:color w:val="000000"/>
        </w:rPr>
        <w:lastRenderedPageBreak/>
        <w:t>of accelerated bone resorption and blocked new bone formation results in lytic lesions.</w:t>
      </w:r>
    </w:p>
    <w:p w:rsidR="002E4556" w:rsidRPr="00873C4C" w:rsidRDefault="002E4556" w:rsidP="00057B42">
      <w:pPr>
        <w:spacing w:line="360" w:lineRule="auto"/>
        <w:jc w:val="both"/>
        <w:rPr>
          <w:color w:val="000000"/>
        </w:rPr>
      </w:pPr>
      <w:r w:rsidRPr="00873C4C">
        <w:rPr>
          <w:b/>
          <w:color w:val="000000"/>
        </w:rPr>
        <w:t>Osteoporosis:</w:t>
      </w:r>
      <w:r w:rsidRPr="00873C4C">
        <w:rPr>
          <w:color w:val="000000"/>
        </w:rPr>
        <w:t xml:space="preserve"> Reduction in bone density typically associated with old age. Diffuse involvement of bones with myeloma produces what looks like osteoporosis on X-ray and bone density measurement.</w:t>
      </w:r>
    </w:p>
    <w:p w:rsidR="002E4556" w:rsidRPr="00873C4C" w:rsidRDefault="002E4556" w:rsidP="00057B42">
      <w:pPr>
        <w:spacing w:line="360" w:lineRule="auto"/>
        <w:jc w:val="both"/>
        <w:rPr>
          <w:color w:val="000000"/>
        </w:rPr>
      </w:pPr>
      <w:r w:rsidRPr="00873C4C">
        <w:rPr>
          <w:b/>
          <w:color w:val="000000"/>
        </w:rPr>
        <w:t>Palliative treatment:</w:t>
      </w:r>
      <w:r w:rsidRPr="00873C4C">
        <w:rPr>
          <w:color w:val="000000"/>
        </w:rPr>
        <w:t xml:space="preserve"> Aimed to improve the quality of life by relieving pain and symptoms of disease but not intended to alter its course.</w:t>
      </w:r>
    </w:p>
    <w:p w:rsidR="002E4556" w:rsidRPr="00873C4C" w:rsidRDefault="002E4556" w:rsidP="00057B42">
      <w:pPr>
        <w:spacing w:line="360" w:lineRule="auto"/>
        <w:jc w:val="both"/>
        <w:rPr>
          <w:color w:val="000000"/>
        </w:rPr>
      </w:pPr>
      <w:r w:rsidRPr="00873C4C">
        <w:rPr>
          <w:b/>
          <w:color w:val="000000"/>
        </w:rPr>
        <w:t>Pathological fracture:</w:t>
      </w:r>
      <w:r w:rsidRPr="00873C4C">
        <w:rPr>
          <w:color w:val="000000"/>
        </w:rPr>
        <w:t xml:space="preserve"> A break in a bone usually caused by cancer or some disease condition.  </w:t>
      </w:r>
      <w:r w:rsidR="00F66FE4">
        <w:rPr>
          <w:color w:val="000000"/>
        </w:rPr>
        <w:t>This is o</w:t>
      </w:r>
      <w:r w:rsidRPr="00873C4C">
        <w:rPr>
          <w:color w:val="000000"/>
        </w:rPr>
        <w:t>ccurs in myeloma-weakened bones, which can’t bear normal weight or stress.</w:t>
      </w:r>
    </w:p>
    <w:p w:rsidR="002E4556" w:rsidRPr="00873C4C" w:rsidRDefault="002E4556" w:rsidP="00057B42">
      <w:pPr>
        <w:spacing w:line="360" w:lineRule="auto"/>
        <w:jc w:val="both"/>
        <w:rPr>
          <w:color w:val="000000"/>
        </w:rPr>
      </w:pPr>
      <w:r w:rsidRPr="00873C4C">
        <w:rPr>
          <w:b/>
          <w:color w:val="000000"/>
        </w:rPr>
        <w:t>PET (Positron Emission Tomography) scan:</w:t>
      </w:r>
      <w:r w:rsidRPr="00873C4C">
        <w:rPr>
          <w:color w:val="000000"/>
        </w:rPr>
        <w:t xml:space="preserve"> A diagnostic test that uses a sophisticated camera and computer to produce images of the body. PET scans show the difference between healthy and abnormally functioning tissues.</w:t>
      </w:r>
    </w:p>
    <w:p w:rsidR="002E4556" w:rsidRPr="00873C4C" w:rsidRDefault="002E4556" w:rsidP="00057B42">
      <w:pPr>
        <w:spacing w:line="360" w:lineRule="auto"/>
        <w:jc w:val="both"/>
        <w:rPr>
          <w:color w:val="000000"/>
        </w:rPr>
      </w:pPr>
      <w:r w:rsidRPr="00873C4C">
        <w:rPr>
          <w:b/>
          <w:color w:val="000000"/>
        </w:rPr>
        <w:t>Plasma cells:</w:t>
      </w:r>
      <w:r w:rsidRPr="00873C4C">
        <w:rPr>
          <w:color w:val="000000"/>
        </w:rPr>
        <w:t xml:space="preserve"> Special white blood cells that produce antibodies. The malignant cell</w:t>
      </w:r>
      <w:r w:rsidR="00F66FE4">
        <w:rPr>
          <w:color w:val="000000"/>
        </w:rPr>
        <w:t>s</w:t>
      </w:r>
      <w:r w:rsidRPr="00873C4C">
        <w:rPr>
          <w:color w:val="000000"/>
        </w:rPr>
        <w:t xml:space="preserve"> in myeloma. Normal plasma cells produce antibodies to fight infection. In myeloma, malignant plasma cells produce large amounts of abnormal antibodies that lack the capability to fight infection. The abnormal antibodies are the monoclonal protein, or M protein. Plasma cells also produce other chemicals that can cause organ and tissue damage (i.e., anaemia, kidney damage, and nerve damage).</w:t>
      </w:r>
    </w:p>
    <w:p w:rsidR="002E4556" w:rsidRPr="00873C4C" w:rsidRDefault="002E4556" w:rsidP="00057B42">
      <w:pPr>
        <w:spacing w:line="360" w:lineRule="auto"/>
        <w:jc w:val="both"/>
        <w:rPr>
          <w:color w:val="000000"/>
        </w:rPr>
      </w:pPr>
      <w:r w:rsidRPr="00873C4C">
        <w:rPr>
          <w:b/>
          <w:color w:val="000000"/>
        </w:rPr>
        <w:t>Plasmacytoma:</w:t>
      </w:r>
      <w:r w:rsidRPr="00873C4C">
        <w:rPr>
          <w:color w:val="000000"/>
        </w:rPr>
        <w:t xml:space="preserve"> A collection of plasma cells found in a single location rather than diffusely throughout the bone marrow, soft tissue, or bone.</w:t>
      </w:r>
    </w:p>
    <w:p w:rsidR="002E4556" w:rsidRPr="00873C4C" w:rsidRDefault="002E4556" w:rsidP="00057B42">
      <w:pPr>
        <w:spacing w:line="360" w:lineRule="auto"/>
        <w:jc w:val="both"/>
        <w:rPr>
          <w:color w:val="000000"/>
        </w:rPr>
      </w:pPr>
      <w:r w:rsidRPr="00873C4C">
        <w:rPr>
          <w:b/>
          <w:color w:val="000000"/>
        </w:rPr>
        <w:t>Plasmapheresis:</w:t>
      </w:r>
      <w:r w:rsidRPr="00873C4C">
        <w:rPr>
          <w:color w:val="000000"/>
        </w:rPr>
        <w:t xml:space="preserve"> The process of removing certain proteins from the blood. Plasmapheresis can be used to remove high levels of monoclonal myeloma protein from the blood of multiple myeloma patients.</w:t>
      </w:r>
    </w:p>
    <w:p w:rsidR="002E4556" w:rsidRPr="00873C4C" w:rsidRDefault="002E4556" w:rsidP="00057B42">
      <w:pPr>
        <w:spacing w:line="360" w:lineRule="auto"/>
        <w:jc w:val="both"/>
        <w:rPr>
          <w:color w:val="000000"/>
        </w:rPr>
      </w:pPr>
      <w:r w:rsidRPr="00873C4C">
        <w:rPr>
          <w:b/>
          <w:color w:val="000000"/>
        </w:rPr>
        <w:t>Progression-free survival:</w:t>
      </w:r>
      <w:r w:rsidRPr="00873C4C">
        <w:rPr>
          <w:color w:val="000000"/>
        </w:rPr>
        <w:t xml:space="preserve"> The time period during which the patient survives and the cancer does not become worse. The improved survival</w:t>
      </w:r>
      <w:r w:rsidR="00F66FE4">
        <w:rPr>
          <w:color w:val="000000"/>
        </w:rPr>
        <w:t xml:space="preserve"> rate</w:t>
      </w:r>
      <w:r w:rsidRPr="00873C4C">
        <w:rPr>
          <w:color w:val="000000"/>
        </w:rPr>
        <w:t xml:space="preserve"> that can be directly</w:t>
      </w:r>
      <w:r w:rsidR="00F66FE4">
        <w:rPr>
          <w:color w:val="000000"/>
        </w:rPr>
        <w:t xml:space="preserve"> </w:t>
      </w:r>
      <w:r w:rsidRPr="00873C4C">
        <w:rPr>
          <w:color w:val="000000"/>
        </w:rPr>
        <w:t xml:space="preserve">attributed to the </w:t>
      </w:r>
      <w:r w:rsidR="00F66FE4" w:rsidRPr="00873C4C">
        <w:rPr>
          <w:color w:val="000000"/>
        </w:rPr>
        <w:t xml:space="preserve">given </w:t>
      </w:r>
      <w:r w:rsidRPr="00873C4C">
        <w:rPr>
          <w:color w:val="000000"/>
        </w:rPr>
        <w:t>treatment</w:t>
      </w:r>
      <w:r w:rsidR="00F66FE4">
        <w:rPr>
          <w:color w:val="000000"/>
        </w:rPr>
        <w:t>.</w:t>
      </w:r>
      <w:r w:rsidRPr="00873C4C">
        <w:rPr>
          <w:color w:val="000000"/>
        </w:rPr>
        <w:t xml:space="preserve"> This term identifies myeloma patients who are in complete remission versus those who have had an episode of relapse or progression.</w:t>
      </w:r>
    </w:p>
    <w:p w:rsidR="002E4556" w:rsidRPr="00873C4C" w:rsidRDefault="002E4556" w:rsidP="00057B42">
      <w:pPr>
        <w:spacing w:line="360" w:lineRule="auto"/>
        <w:jc w:val="both"/>
        <w:rPr>
          <w:color w:val="000000"/>
        </w:rPr>
      </w:pPr>
      <w:r w:rsidRPr="00873C4C">
        <w:rPr>
          <w:b/>
          <w:color w:val="000000"/>
        </w:rPr>
        <w:t>Progressive disease:</w:t>
      </w:r>
      <w:r w:rsidRPr="00873C4C">
        <w:rPr>
          <w:color w:val="000000"/>
        </w:rPr>
        <w:t xml:space="preserve"> Disease that is becoming worse, as documented by tests.</w:t>
      </w:r>
    </w:p>
    <w:p w:rsidR="002E4556" w:rsidRPr="00873C4C" w:rsidRDefault="002E4556" w:rsidP="00057B42">
      <w:pPr>
        <w:spacing w:line="360" w:lineRule="auto"/>
        <w:jc w:val="both"/>
        <w:rPr>
          <w:color w:val="000000"/>
        </w:rPr>
      </w:pPr>
      <w:r w:rsidRPr="00873C4C">
        <w:rPr>
          <w:b/>
          <w:color w:val="000000"/>
        </w:rPr>
        <w:t>Protocol:</w:t>
      </w:r>
      <w:r w:rsidRPr="00873C4C">
        <w:rPr>
          <w:color w:val="000000"/>
        </w:rPr>
        <w:t xml:space="preserve"> A detailed plan of treatment including the dose and schedule of any drugs used.</w:t>
      </w:r>
    </w:p>
    <w:p w:rsidR="002E4556" w:rsidRPr="00873C4C" w:rsidRDefault="002E4556" w:rsidP="00057B42">
      <w:pPr>
        <w:spacing w:line="360" w:lineRule="auto"/>
        <w:jc w:val="both"/>
        <w:rPr>
          <w:color w:val="000000"/>
        </w:rPr>
      </w:pPr>
      <w:r w:rsidRPr="00873C4C">
        <w:rPr>
          <w:b/>
          <w:color w:val="000000"/>
        </w:rPr>
        <w:t>Precancerous:</w:t>
      </w:r>
      <w:r w:rsidRPr="00873C4C">
        <w:rPr>
          <w:color w:val="000000"/>
        </w:rPr>
        <w:t xml:space="preserve"> A term used to describe a condition that may, or is likely to become, cancer.</w:t>
      </w:r>
    </w:p>
    <w:p w:rsidR="002E4556" w:rsidRPr="00873C4C" w:rsidRDefault="002E4556" w:rsidP="00057B42">
      <w:pPr>
        <w:spacing w:line="360" w:lineRule="auto"/>
        <w:jc w:val="both"/>
        <w:rPr>
          <w:color w:val="000000"/>
        </w:rPr>
      </w:pPr>
      <w:r w:rsidRPr="00873C4C">
        <w:rPr>
          <w:b/>
          <w:color w:val="000000"/>
        </w:rPr>
        <w:lastRenderedPageBreak/>
        <w:t>Radiation therapy:</w:t>
      </w:r>
      <w:r w:rsidRPr="00873C4C">
        <w:rPr>
          <w:color w:val="000000"/>
        </w:rPr>
        <w:t xml:space="preserve"> Treatment with x-rays, gamma rays, or electrons to damage or kill malignant cells. The radiation may come from outside the body (external radiation) or from radioactive materials placed directly in the tumour (implant radiation).</w:t>
      </w:r>
    </w:p>
    <w:p w:rsidR="002E4556" w:rsidRPr="00873C4C" w:rsidRDefault="002E4556" w:rsidP="00A0264F">
      <w:pPr>
        <w:spacing w:line="360" w:lineRule="auto"/>
        <w:jc w:val="both"/>
        <w:rPr>
          <w:color w:val="000000"/>
        </w:rPr>
      </w:pPr>
      <w:r w:rsidRPr="00873C4C">
        <w:rPr>
          <w:b/>
          <w:color w:val="000000"/>
        </w:rPr>
        <w:t>Relapse disease:</w:t>
      </w:r>
      <w:r w:rsidRPr="00873C4C">
        <w:rPr>
          <w:color w:val="000000"/>
        </w:rPr>
        <w:t xml:space="preserve"> </w:t>
      </w:r>
      <w:r w:rsidR="00A0264F" w:rsidRPr="00A0264F">
        <w:rPr>
          <w:color w:val="000000"/>
        </w:rPr>
        <w:t xml:space="preserve">The recurrence or relapse of a sign, symptom or disease after a remission. </w:t>
      </w:r>
      <w:r w:rsidR="00A0264F">
        <w:rPr>
          <w:color w:val="000000"/>
        </w:rPr>
        <w:t xml:space="preserve">Relapse can </w:t>
      </w:r>
      <w:r w:rsidR="00A0264F" w:rsidRPr="00A0264F">
        <w:rPr>
          <w:color w:val="000000"/>
        </w:rPr>
        <w:t xml:space="preserve"> occur after </w:t>
      </w:r>
      <w:r w:rsidR="00A0264F">
        <w:rPr>
          <w:color w:val="000000"/>
        </w:rPr>
        <w:t>several</w:t>
      </w:r>
      <w:r w:rsidR="00A0264F" w:rsidRPr="00A0264F">
        <w:rPr>
          <w:color w:val="000000"/>
        </w:rPr>
        <w:t xml:space="preserve"> weeks or months of remission. </w:t>
      </w:r>
    </w:p>
    <w:p w:rsidR="002E4556" w:rsidRPr="00873C4C" w:rsidRDefault="002E4556" w:rsidP="00057B42">
      <w:pPr>
        <w:spacing w:line="360" w:lineRule="auto"/>
        <w:jc w:val="both"/>
        <w:rPr>
          <w:color w:val="000000"/>
        </w:rPr>
      </w:pPr>
      <w:r w:rsidRPr="00873C4C">
        <w:rPr>
          <w:b/>
          <w:color w:val="000000"/>
        </w:rPr>
        <w:t>Refractory:</w:t>
      </w:r>
      <w:r w:rsidRPr="00873C4C">
        <w:rPr>
          <w:color w:val="000000"/>
        </w:rPr>
        <w:t xml:space="preserve"> Disease that is unresponsive to standard treatments.</w:t>
      </w:r>
    </w:p>
    <w:p w:rsidR="002E4556" w:rsidRPr="00873C4C" w:rsidRDefault="002E4556" w:rsidP="00057B42">
      <w:pPr>
        <w:spacing w:line="360" w:lineRule="auto"/>
        <w:jc w:val="both"/>
        <w:rPr>
          <w:color w:val="000000"/>
        </w:rPr>
      </w:pPr>
      <w:r w:rsidRPr="00873C4C">
        <w:rPr>
          <w:b/>
          <w:color w:val="000000"/>
        </w:rPr>
        <w:t>Relapse:</w:t>
      </w:r>
      <w:r w:rsidRPr="00873C4C">
        <w:rPr>
          <w:color w:val="000000"/>
        </w:rPr>
        <w:t xml:space="preserve"> The reappearance of signs and symptoms of a di</w:t>
      </w:r>
      <w:r w:rsidR="00F66FE4">
        <w:rPr>
          <w:color w:val="000000"/>
        </w:rPr>
        <w:t>sease after a period remission.</w:t>
      </w:r>
    </w:p>
    <w:p w:rsidR="002E4556" w:rsidRPr="00873C4C" w:rsidRDefault="002E4556" w:rsidP="00057B42">
      <w:pPr>
        <w:spacing w:line="360" w:lineRule="auto"/>
        <w:jc w:val="both"/>
        <w:rPr>
          <w:color w:val="000000"/>
        </w:rPr>
      </w:pPr>
      <w:r w:rsidRPr="00873C4C">
        <w:rPr>
          <w:b/>
          <w:color w:val="000000"/>
        </w:rPr>
        <w:t>Remission or response:</w:t>
      </w:r>
      <w:r w:rsidRPr="00873C4C">
        <w:rPr>
          <w:color w:val="000000"/>
        </w:rPr>
        <w:t xml:space="preserve"> Complete or partial disappearance of the signs and symptoms of cancer. Remission and response are used interchangeably.</w:t>
      </w:r>
    </w:p>
    <w:p w:rsidR="002E4556" w:rsidRPr="00873C4C" w:rsidRDefault="002E4556" w:rsidP="00057B42">
      <w:pPr>
        <w:spacing w:line="360" w:lineRule="auto"/>
        <w:jc w:val="both"/>
        <w:rPr>
          <w:color w:val="000000"/>
        </w:rPr>
      </w:pPr>
      <w:r w:rsidRPr="00873C4C">
        <w:rPr>
          <w:color w:val="000000"/>
        </w:rPr>
        <w:t xml:space="preserve">• </w:t>
      </w:r>
      <w:r w:rsidRPr="00873C4C">
        <w:rPr>
          <w:b/>
          <w:color w:val="000000"/>
        </w:rPr>
        <w:t>Complete Remission (CR)</w:t>
      </w:r>
      <w:r w:rsidRPr="00873C4C">
        <w:rPr>
          <w:color w:val="000000"/>
        </w:rPr>
        <w:t xml:space="preserve"> – CR is the absence of myeloma protein from the serum and/or urine by standard testing; absence of myeloma cells from the bone marrow and/ or other areas of myeloma involvement; clinical remission and improvement of other laboratory parameters to normal. CR is not the same thing as a cure.</w:t>
      </w:r>
    </w:p>
    <w:p w:rsidR="002E4556" w:rsidRPr="00873C4C" w:rsidRDefault="007D5831" w:rsidP="00057B42">
      <w:pPr>
        <w:spacing w:line="360" w:lineRule="auto"/>
        <w:jc w:val="both"/>
        <w:rPr>
          <w:color w:val="000000"/>
        </w:rPr>
      </w:pPr>
      <w:r>
        <w:rPr>
          <w:b/>
          <w:color w:val="000000"/>
        </w:rPr>
        <w:t xml:space="preserve">. </w:t>
      </w:r>
      <w:r w:rsidR="002E4556" w:rsidRPr="00873C4C">
        <w:rPr>
          <w:b/>
          <w:color w:val="000000"/>
        </w:rPr>
        <w:t>Very Good Partial Remission (VGPR)</w:t>
      </w:r>
      <w:r w:rsidR="002E4556" w:rsidRPr="00873C4C">
        <w:rPr>
          <w:color w:val="000000"/>
        </w:rPr>
        <w:t xml:space="preserve"> – VGPR is just less than CR, that is, when myeloma protein levels are reduced by ≥ 90%, but not gone.</w:t>
      </w:r>
    </w:p>
    <w:p w:rsidR="002E4556" w:rsidRPr="00873C4C" w:rsidRDefault="002E4556" w:rsidP="00057B42">
      <w:pPr>
        <w:spacing w:line="360" w:lineRule="auto"/>
        <w:jc w:val="both"/>
        <w:rPr>
          <w:color w:val="000000"/>
        </w:rPr>
      </w:pPr>
      <w:r w:rsidRPr="00873C4C">
        <w:rPr>
          <w:b/>
          <w:color w:val="000000"/>
        </w:rPr>
        <w:t>Side effects:</w:t>
      </w:r>
      <w:r w:rsidRPr="00873C4C">
        <w:rPr>
          <w:color w:val="000000"/>
        </w:rPr>
        <w:t xml:space="preserve"> Problems that occur due to drugs used for disease treatment. Common side effects of cancer chemotherapy are fatigue, nausea, vomiting, decreased blood cell counts, hair loss, and mouth sores. </w:t>
      </w:r>
    </w:p>
    <w:p w:rsidR="002E4556" w:rsidRPr="00873C4C" w:rsidRDefault="002E4556" w:rsidP="00057B42">
      <w:pPr>
        <w:spacing w:line="360" w:lineRule="auto"/>
        <w:jc w:val="both"/>
        <w:rPr>
          <w:color w:val="000000"/>
        </w:rPr>
      </w:pPr>
      <w:r w:rsidRPr="00873C4C">
        <w:rPr>
          <w:b/>
          <w:color w:val="000000"/>
        </w:rPr>
        <w:t>Skeletal survey (metastatic survey):</w:t>
      </w:r>
      <w:r w:rsidRPr="00873C4C">
        <w:rPr>
          <w:color w:val="000000"/>
        </w:rPr>
        <w:t xml:space="preserve"> A series of plain X-rays of the skull, spine, ribs, pelvis, and long bones to look for lytic lesions and/or osteoporosis.</w:t>
      </w:r>
    </w:p>
    <w:p w:rsidR="002E4556" w:rsidRPr="00873C4C" w:rsidRDefault="002E4556" w:rsidP="00057B42">
      <w:pPr>
        <w:spacing w:line="360" w:lineRule="auto"/>
        <w:jc w:val="both"/>
        <w:rPr>
          <w:color w:val="000000"/>
        </w:rPr>
      </w:pPr>
      <w:r w:rsidRPr="00873C4C">
        <w:rPr>
          <w:b/>
          <w:color w:val="000000"/>
        </w:rPr>
        <w:t>Stable disease:</w:t>
      </w:r>
      <w:r w:rsidRPr="00873C4C">
        <w:rPr>
          <w:color w:val="000000"/>
        </w:rPr>
        <w:t xml:space="preserve"> This describes patients who have some response to treatment but</w:t>
      </w:r>
    </w:p>
    <w:p w:rsidR="002E4556" w:rsidRPr="00873C4C" w:rsidRDefault="002E4556" w:rsidP="00057B42">
      <w:pPr>
        <w:spacing w:line="360" w:lineRule="auto"/>
        <w:jc w:val="both"/>
        <w:rPr>
          <w:color w:val="000000"/>
        </w:rPr>
      </w:pPr>
      <w:r w:rsidRPr="00873C4C">
        <w:rPr>
          <w:color w:val="000000"/>
        </w:rPr>
        <w:t>&lt;50% reduction in myeloma protein levels. Stable disease is not necessarily bad or sub-optimal (as compared with CR or PR) provided the myeloma has stabilized and is not progressing. With slow-moving myeloma, stabilization can last for many years.</w:t>
      </w:r>
    </w:p>
    <w:p w:rsidR="002E4556" w:rsidRPr="00873C4C" w:rsidRDefault="002E4556" w:rsidP="00057B42">
      <w:pPr>
        <w:spacing w:line="360" w:lineRule="auto"/>
        <w:jc w:val="both"/>
        <w:rPr>
          <w:color w:val="000000"/>
        </w:rPr>
      </w:pPr>
      <w:r w:rsidRPr="00873C4C">
        <w:rPr>
          <w:b/>
          <w:color w:val="000000"/>
        </w:rPr>
        <w:t>Stage:</w:t>
      </w:r>
      <w:r w:rsidRPr="00873C4C">
        <w:rPr>
          <w:color w:val="000000"/>
        </w:rPr>
        <w:t xml:space="preserve"> The extent of a cancer in the body.</w:t>
      </w:r>
    </w:p>
    <w:p w:rsidR="002E4556" w:rsidRPr="00873C4C" w:rsidRDefault="002E4556" w:rsidP="00057B42">
      <w:pPr>
        <w:spacing w:line="360" w:lineRule="auto"/>
        <w:jc w:val="both"/>
        <w:rPr>
          <w:color w:val="000000"/>
        </w:rPr>
      </w:pPr>
      <w:r w:rsidRPr="00873C4C">
        <w:rPr>
          <w:b/>
          <w:color w:val="000000"/>
        </w:rPr>
        <w:t>Staging:</w:t>
      </w:r>
      <w:r w:rsidRPr="00873C4C">
        <w:rPr>
          <w:color w:val="000000"/>
        </w:rPr>
        <w:t xml:space="preserve"> Doing exams and tests to learn the extent of the cancer in the body.</w:t>
      </w:r>
    </w:p>
    <w:p w:rsidR="002E4556" w:rsidRPr="00873C4C" w:rsidRDefault="002E4556" w:rsidP="00057B42">
      <w:pPr>
        <w:spacing w:line="360" w:lineRule="auto"/>
        <w:jc w:val="both"/>
        <w:rPr>
          <w:color w:val="000000"/>
        </w:rPr>
      </w:pPr>
      <w:r w:rsidRPr="00873C4C">
        <w:rPr>
          <w:b/>
          <w:color w:val="000000"/>
        </w:rPr>
        <w:t xml:space="preserve">Supportive care: </w:t>
      </w:r>
      <w:r w:rsidRPr="00873C4C">
        <w:rPr>
          <w:color w:val="000000"/>
        </w:rPr>
        <w:t>Treatment given to prevent, control, or relieve complications and side effects and to improve the patient’s comfort and quality of life.</w:t>
      </w:r>
    </w:p>
    <w:p w:rsidR="002E4556" w:rsidRPr="00873C4C" w:rsidRDefault="002E4556" w:rsidP="00057B42">
      <w:pPr>
        <w:spacing w:line="360" w:lineRule="auto"/>
        <w:jc w:val="both"/>
        <w:rPr>
          <w:color w:val="000000"/>
        </w:rPr>
      </w:pPr>
      <w:r w:rsidRPr="00873C4C">
        <w:rPr>
          <w:b/>
          <w:color w:val="000000"/>
        </w:rPr>
        <w:t>TNF (Tumour Necrosis Factor):</w:t>
      </w:r>
      <w:r w:rsidRPr="00873C4C">
        <w:rPr>
          <w:color w:val="000000"/>
        </w:rPr>
        <w:t xml:space="preserve"> A type of biological response modifier that can improve the body’s natural response to disease.</w:t>
      </w:r>
    </w:p>
    <w:p w:rsidR="002E4556" w:rsidRPr="00873C4C" w:rsidRDefault="002E4556" w:rsidP="00057B42">
      <w:pPr>
        <w:spacing w:line="360" w:lineRule="auto"/>
        <w:jc w:val="both"/>
        <w:rPr>
          <w:color w:val="000000"/>
        </w:rPr>
      </w:pPr>
      <w:r w:rsidRPr="00873C4C">
        <w:rPr>
          <w:b/>
          <w:color w:val="000000"/>
        </w:rPr>
        <w:lastRenderedPageBreak/>
        <w:t>Transfusion:</w:t>
      </w:r>
      <w:r w:rsidRPr="00873C4C">
        <w:rPr>
          <w:color w:val="000000"/>
        </w:rPr>
        <w:t xml:space="preserve"> The transfer of blood or blood products.</w:t>
      </w:r>
    </w:p>
    <w:p w:rsidR="002E4556" w:rsidRPr="00873C4C" w:rsidRDefault="002E4556" w:rsidP="00057B42">
      <w:pPr>
        <w:spacing w:line="360" w:lineRule="auto"/>
        <w:jc w:val="both"/>
        <w:rPr>
          <w:color w:val="000000"/>
        </w:rPr>
      </w:pPr>
      <w:r w:rsidRPr="00873C4C">
        <w:rPr>
          <w:b/>
          <w:color w:val="000000"/>
        </w:rPr>
        <w:t>Transplantation:</w:t>
      </w:r>
      <w:r w:rsidRPr="00873C4C">
        <w:rPr>
          <w:color w:val="000000"/>
        </w:rPr>
        <w:t xml:space="preserve"> There are several different types of transplantation.</w:t>
      </w:r>
    </w:p>
    <w:p w:rsidR="002E4556" w:rsidRPr="00873C4C" w:rsidRDefault="002E4556" w:rsidP="00057B42">
      <w:pPr>
        <w:spacing w:line="360" w:lineRule="auto"/>
        <w:jc w:val="both"/>
        <w:rPr>
          <w:color w:val="000000"/>
        </w:rPr>
      </w:pPr>
      <w:r w:rsidRPr="00873C4C">
        <w:rPr>
          <w:color w:val="000000"/>
        </w:rPr>
        <w:t>Bone marrow transplantation – This term refers to the process of collecting stem cells from the bone marrow and infusing them into a patient. This term is used less frequently today in myeloma as stem cells are now collected from the peripheral or circulating blood.</w:t>
      </w:r>
    </w:p>
    <w:p w:rsidR="002E4556" w:rsidRPr="00873C4C" w:rsidRDefault="002E4556" w:rsidP="00057B42">
      <w:pPr>
        <w:spacing w:line="360" w:lineRule="auto"/>
        <w:jc w:val="both"/>
        <w:rPr>
          <w:color w:val="000000"/>
        </w:rPr>
      </w:pPr>
      <w:r w:rsidRPr="00873C4C">
        <w:rPr>
          <w:b/>
          <w:color w:val="000000"/>
        </w:rPr>
        <w:t>Peripheral blood stem cell transplantation</w:t>
      </w:r>
      <w:r w:rsidR="007D5831">
        <w:rPr>
          <w:color w:val="000000"/>
        </w:rPr>
        <w:t xml:space="preserve">: </w:t>
      </w:r>
      <w:r w:rsidRPr="00873C4C">
        <w:rPr>
          <w:color w:val="000000"/>
        </w:rPr>
        <w:t>Doctors remove healthy stem cells from a patient’s circulating blood system (not from the bone marrow) and store them before the patient receives high-dose chemotherapy to destroy the cancer cells. The stem cells are then returned to the patient, where they can produce new blood cells to replace cells destroyed by the treatment.</w:t>
      </w:r>
    </w:p>
    <w:p w:rsidR="002E4556" w:rsidRPr="00873C4C" w:rsidRDefault="007D5831" w:rsidP="00057B42">
      <w:pPr>
        <w:spacing w:line="360" w:lineRule="auto"/>
        <w:jc w:val="both"/>
        <w:rPr>
          <w:color w:val="000000"/>
        </w:rPr>
      </w:pPr>
      <w:r>
        <w:rPr>
          <w:b/>
          <w:color w:val="000000"/>
        </w:rPr>
        <w:t xml:space="preserve">. </w:t>
      </w:r>
      <w:r w:rsidR="002E4556" w:rsidRPr="00873C4C">
        <w:rPr>
          <w:b/>
          <w:color w:val="000000"/>
        </w:rPr>
        <w:t>Allogeneic</w:t>
      </w:r>
      <w:r w:rsidR="002E4556" w:rsidRPr="00873C4C">
        <w:rPr>
          <w:color w:val="000000"/>
        </w:rPr>
        <w:t xml:space="preserve"> – The infusion of bone marrow or stem cells from one individual (donor) to another (recipient). A patient receives bone marrow or stem cells from a compatible,</w:t>
      </w:r>
      <w:r>
        <w:rPr>
          <w:color w:val="000000"/>
        </w:rPr>
        <w:t xml:space="preserve"> </w:t>
      </w:r>
      <w:r w:rsidR="002E4556" w:rsidRPr="00873C4C">
        <w:rPr>
          <w:color w:val="000000"/>
        </w:rPr>
        <w:t>though not genetically identical, donor.</w:t>
      </w:r>
    </w:p>
    <w:p w:rsidR="002E4556" w:rsidRPr="00873C4C" w:rsidRDefault="007D5831" w:rsidP="00057B42">
      <w:pPr>
        <w:spacing w:line="360" w:lineRule="auto"/>
        <w:jc w:val="both"/>
        <w:rPr>
          <w:color w:val="000000"/>
        </w:rPr>
      </w:pPr>
      <w:r>
        <w:rPr>
          <w:b/>
          <w:color w:val="000000"/>
        </w:rPr>
        <w:t xml:space="preserve">. </w:t>
      </w:r>
      <w:r w:rsidR="002E4556" w:rsidRPr="00873C4C">
        <w:rPr>
          <w:b/>
          <w:color w:val="000000"/>
        </w:rPr>
        <w:t>Autologous</w:t>
      </w:r>
      <w:r w:rsidR="002E4556" w:rsidRPr="00873C4C">
        <w:rPr>
          <w:color w:val="000000"/>
        </w:rPr>
        <w:t xml:space="preserve"> – A procedure in which stem cells are removed from a patient’s blood and then are </w:t>
      </w:r>
      <w:r>
        <w:rPr>
          <w:color w:val="000000"/>
        </w:rPr>
        <w:t>infused</w:t>
      </w:r>
      <w:r w:rsidR="002E4556" w:rsidRPr="00873C4C">
        <w:rPr>
          <w:color w:val="000000"/>
        </w:rPr>
        <w:t xml:space="preserve"> back to the patient following intensive</w:t>
      </w:r>
      <w:r>
        <w:rPr>
          <w:color w:val="000000"/>
        </w:rPr>
        <w:t xml:space="preserve"> chemotherapy</w:t>
      </w:r>
      <w:r w:rsidR="002E4556" w:rsidRPr="00873C4C">
        <w:rPr>
          <w:color w:val="000000"/>
        </w:rPr>
        <w:t xml:space="preserve"> treatment.</w:t>
      </w:r>
    </w:p>
    <w:p w:rsidR="002E4556" w:rsidRPr="00873C4C" w:rsidRDefault="002E4556" w:rsidP="00057B42">
      <w:pPr>
        <w:spacing w:line="360" w:lineRule="auto"/>
        <w:jc w:val="both"/>
        <w:rPr>
          <w:color w:val="000000"/>
        </w:rPr>
      </w:pPr>
      <w:r w:rsidRPr="00873C4C">
        <w:rPr>
          <w:b/>
          <w:color w:val="000000"/>
        </w:rPr>
        <w:t>Tumour marker:</w:t>
      </w:r>
      <w:r w:rsidRPr="00873C4C">
        <w:rPr>
          <w:color w:val="000000"/>
        </w:rPr>
        <w:t xml:space="preserve"> A substance in blood or other body fluids that may suggest that a person has cancer.</w:t>
      </w:r>
    </w:p>
    <w:p w:rsidR="002E4556" w:rsidRPr="00873C4C" w:rsidRDefault="002E4556" w:rsidP="00057B42">
      <w:pPr>
        <w:spacing w:line="360" w:lineRule="auto"/>
        <w:jc w:val="both"/>
        <w:rPr>
          <w:color w:val="000000"/>
        </w:rPr>
      </w:pPr>
      <w:r w:rsidRPr="00873C4C">
        <w:rPr>
          <w:b/>
          <w:color w:val="000000"/>
        </w:rPr>
        <w:t>Waldenstrom’s macroglobulinemia:</w:t>
      </w:r>
      <w:r w:rsidRPr="00873C4C">
        <w:rPr>
          <w:color w:val="000000"/>
        </w:rPr>
        <w:t xml:space="preserve"> A rare type of indolent lymphoma that affects plasma cells. Excessive amounts of IgM protein are produced. Not a type of myeloma.</w:t>
      </w:r>
    </w:p>
    <w:p w:rsidR="00D45BC8" w:rsidRDefault="00D31A13" w:rsidP="00057B42">
      <w:pPr>
        <w:spacing w:after="240" w:line="360" w:lineRule="auto"/>
        <w:jc w:val="both"/>
        <w:rPr>
          <w:b/>
          <w:color w:val="000000"/>
          <w:sz w:val="36"/>
        </w:rPr>
      </w:pPr>
      <w:r w:rsidRPr="00873C4C">
        <w:rPr>
          <w:b/>
          <w:color w:val="000000"/>
          <w:sz w:val="36"/>
        </w:rPr>
        <w:t xml:space="preserve"> </w:t>
      </w:r>
    </w:p>
    <w:p w:rsidR="00D45BC8" w:rsidRDefault="00D45BC8" w:rsidP="00057B42">
      <w:pPr>
        <w:spacing w:line="360" w:lineRule="auto"/>
        <w:jc w:val="both"/>
        <w:rPr>
          <w:b/>
          <w:color w:val="000000"/>
          <w:sz w:val="36"/>
        </w:rPr>
      </w:pPr>
      <w:r>
        <w:rPr>
          <w:b/>
          <w:color w:val="000000"/>
          <w:sz w:val="36"/>
        </w:rPr>
        <w:br w:type="page"/>
      </w:r>
    </w:p>
    <w:p w:rsidR="002C6DD9" w:rsidRDefault="002C6DD9" w:rsidP="00057B42">
      <w:pPr>
        <w:spacing w:after="240" w:line="360" w:lineRule="auto"/>
        <w:jc w:val="center"/>
        <w:rPr>
          <w:b/>
          <w:sz w:val="72"/>
          <w:lang w:eastAsia="en-US"/>
        </w:rPr>
      </w:pPr>
    </w:p>
    <w:p w:rsidR="007D5831" w:rsidRDefault="007D5831" w:rsidP="00057B42">
      <w:pPr>
        <w:spacing w:after="240" w:line="360" w:lineRule="auto"/>
        <w:ind w:left="360"/>
        <w:contextualSpacing/>
        <w:jc w:val="center"/>
        <w:rPr>
          <w:rFonts w:eastAsia="Times New Roman"/>
          <w:color w:val="000000"/>
          <w:sz w:val="48"/>
          <w:lang w:eastAsia="en-US"/>
        </w:rPr>
      </w:pPr>
    </w:p>
    <w:p w:rsidR="00C55C6B" w:rsidRDefault="00C55C6B" w:rsidP="00057B42">
      <w:pPr>
        <w:spacing w:after="240" w:line="360" w:lineRule="auto"/>
        <w:ind w:left="360"/>
        <w:contextualSpacing/>
        <w:jc w:val="center"/>
        <w:rPr>
          <w:rFonts w:eastAsia="Times New Roman"/>
          <w:b/>
          <w:color w:val="000000"/>
          <w:sz w:val="72"/>
          <w:lang w:eastAsia="en-US"/>
        </w:rPr>
      </w:pPr>
    </w:p>
    <w:p w:rsidR="007D5831" w:rsidRPr="00720963" w:rsidRDefault="007D5831" w:rsidP="00057B42">
      <w:pPr>
        <w:spacing w:after="240" w:line="360" w:lineRule="auto"/>
        <w:ind w:left="360"/>
        <w:contextualSpacing/>
        <w:jc w:val="center"/>
        <w:rPr>
          <w:rFonts w:eastAsia="Times New Roman"/>
          <w:b/>
          <w:color w:val="000000"/>
          <w:sz w:val="72"/>
          <w:lang w:eastAsia="en-US"/>
        </w:rPr>
      </w:pPr>
      <w:r w:rsidRPr="00720963">
        <w:rPr>
          <w:rFonts w:eastAsia="Times New Roman"/>
          <w:b/>
          <w:color w:val="000000"/>
          <w:sz w:val="72"/>
          <w:lang w:eastAsia="en-US"/>
        </w:rPr>
        <w:t>Table of content</w:t>
      </w:r>
      <w:r w:rsidR="00681D9B">
        <w:rPr>
          <w:rFonts w:eastAsia="Times New Roman"/>
          <w:b/>
          <w:color w:val="000000"/>
          <w:sz w:val="72"/>
          <w:lang w:eastAsia="en-US"/>
        </w:rPr>
        <w:t>s</w:t>
      </w:r>
    </w:p>
    <w:p w:rsidR="007D5831" w:rsidRDefault="006350A8" w:rsidP="00057B42">
      <w:pPr>
        <w:spacing w:line="360" w:lineRule="auto"/>
        <w:jc w:val="both"/>
        <w:rPr>
          <w:lang w:eastAsia="en-US"/>
        </w:rPr>
      </w:pPr>
      <w:r w:rsidRPr="00873C4C">
        <w:rPr>
          <w:lang w:eastAsia="en-US"/>
        </w:rPr>
        <w:br w:type="page"/>
      </w:r>
      <w:bookmarkStart w:id="4" w:name="_Toc306570525"/>
      <w:bookmarkEnd w:id="4"/>
    </w:p>
    <w:p w:rsidR="00B832D8" w:rsidRPr="00B832D8" w:rsidRDefault="00B832D8" w:rsidP="008126D8">
      <w:pPr>
        <w:pStyle w:val="TOC1"/>
        <w:tabs>
          <w:tab w:val="clear" w:pos="1200"/>
          <w:tab w:val="clear" w:pos="8153"/>
          <w:tab w:val="left" w:pos="993"/>
        </w:tabs>
        <w:rPr>
          <w:szCs w:val="22"/>
          <w:lang w:eastAsia="en-US"/>
        </w:rPr>
      </w:pPr>
      <w:r>
        <w:rPr>
          <w:b/>
          <w:szCs w:val="22"/>
          <w:lang w:eastAsia="en-US"/>
        </w:rPr>
        <w:lastRenderedPageBreak/>
        <w:tab/>
      </w:r>
      <w:r w:rsidR="00BC1D2E">
        <w:rPr>
          <w:szCs w:val="22"/>
          <w:lang w:eastAsia="en-US"/>
        </w:rPr>
        <w:t>Abstract</w:t>
      </w:r>
      <w:r w:rsidR="0012204A" w:rsidRPr="006D5447">
        <w:rPr>
          <w:sz w:val="20"/>
          <w:lang w:eastAsia="en-US"/>
        </w:rPr>
        <w:t>…………………………………………………………………</w:t>
      </w:r>
      <w:r w:rsidR="006D5447">
        <w:rPr>
          <w:sz w:val="20"/>
          <w:lang w:eastAsia="en-US"/>
        </w:rPr>
        <w:t>…….</w:t>
      </w:r>
      <w:r w:rsidR="0012204A" w:rsidRPr="006D5447">
        <w:rPr>
          <w:sz w:val="20"/>
          <w:lang w:eastAsia="en-US"/>
        </w:rPr>
        <w:t>.</w:t>
      </w:r>
      <w:r w:rsidR="002058EA" w:rsidRPr="006D5447">
        <w:rPr>
          <w:sz w:val="20"/>
          <w:lang w:eastAsia="en-US"/>
        </w:rPr>
        <w:t>.</w:t>
      </w:r>
      <w:r w:rsidRPr="006D5447">
        <w:rPr>
          <w:sz w:val="20"/>
          <w:lang w:eastAsia="en-US"/>
        </w:rPr>
        <w:t>.2</w:t>
      </w:r>
      <w:r>
        <w:rPr>
          <w:szCs w:val="22"/>
          <w:lang w:eastAsia="en-US"/>
        </w:rPr>
        <w:t>2</w:t>
      </w:r>
    </w:p>
    <w:p w:rsidR="00591EE2" w:rsidRPr="00591EE2" w:rsidRDefault="00591EE2" w:rsidP="008126D8">
      <w:pPr>
        <w:pStyle w:val="TOC1"/>
        <w:tabs>
          <w:tab w:val="clear" w:pos="8153"/>
          <w:tab w:val="left" w:pos="993"/>
          <w:tab w:val="right" w:leader="dot" w:pos="8080"/>
        </w:tabs>
        <w:ind w:right="225"/>
        <w:rPr>
          <w:rFonts w:eastAsiaTheme="minorEastAsia"/>
          <w:smallCaps/>
          <w:szCs w:val="22"/>
          <w:lang w:eastAsia="en-IE"/>
        </w:rPr>
      </w:pPr>
      <w:r w:rsidRPr="00591EE2">
        <w:rPr>
          <w:b/>
          <w:szCs w:val="22"/>
          <w:lang w:eastAsia="en-US"/>
        </w:rPr>
        <w:fldChar w:fldCharType="begin"/>
      </w:r>
      <w:r w:rsidRPr="00591EE2">
        <w:rPr>
          <w:b/>
          <w:szCs w:val="22"/>
          <w:lang w:eastAsia="en-US"/>
        </w:rPr>
        <w:instrText xml:space="preserve"> TOC \o "1-4" \h \z \u </w:instrText>
      </w:r>
      <w:r w:rsidRPr="00591EE2">
        <w:rPr>
          <w:b/>
          <w:szCs w:val="22"/>
          <w:lang w:eastAsia="en-US"/>
        </w:rPr>
        <w:fldChar w:fldCharType="separate"/>
      </w:r>
      <w:hyperlink w:anchor="_Toc312257626" w:history="1">
        <w:r w:rsidRPr="00591EE2">
          <w:rPr>
            <w:rStyle w:val="Hyperlink"/>
            <w:szCs w:val="22"/>
          </w:rPr>
          <w:t>1.1</w:t>
        </w:r>
        <w:r w:rsidRPr="00591EE2">
          <w:rPr>
            <w:rFonts w:eastAsiaTheme="minorEastAsia"/>
            <w:smallCaps/>
            <w:szCs w:val="22"/>
            <w:lang w:eastAsia="en-IE"/>
          </w:rPr>
          <w:tab/>
        </w:r>
        <w:r w:rsidRPr="00591EE2">
          <w:rPr>
            <w:rStyle w:val="Hyperlink"/>
            <w:szCs w:val="22"/>
          </w:rPr>
          <w:t>Multiple Myeloma</w:t>
        </w:r>
        <w:r w:rsidRPr="00591EE2">
          <w:rPr>
            <w:webHidden/>
            <w:szCs w:val="22"/>
          </w:rPr>
          <w:tab/>
        </w:r>
        <w:r w:rsidRPr="00591EE2">
          <w:rPr>
            <w:webHidden/>
            <w:szCs w:val="22"/>
          </w:rPr>
          <w:fldChar w:fldCharType="begin"/>
        </w:r>
        <w:r w:rsidRPr="00591EE2">
          <w:rPr>
            <w:webHidden/>
            <w:szCs w:val="22"/>
          </w:rPr>
          <w:instrText xml:space="preserve"> PAGEREF _Toc312257626 \h </w:instrText>
        </w:r>
        <w:r w:rsidRPr="00591EE2">
          <w:rPr>
            <w:webHidden/>
            <w:szCs w:val="22"/>
          </w:rPr>
        </w:r>
        <w:r w:rsidRPr="00591EE2">
          <w:rPr>
            <w:webHidden/>
            <w:szCs w:val="22"/>
          </w:rPr>
          <w:fldChar w:fldCharType="separate"/>
        </w:r>
        <w:r w:rsidR="0081644B">
          <w:rPr>
            <w:webHidden/>
            <w:szCs w:val="22"/>
          </w:rPr>
          <w:t>24</w:t>
        </w:r>
        <w:r w:rsidRPr="00591EE2">
          <w:rPr>
            <w:webHidden/>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27" w:history="1">
        <w:r w:rsidR="00591EE2" w:rsidRPr="00591EE2">
          <w:rPr>
            <w:rStyle w:val="Hyperlink"/>
            <w:i w:val="0"/>
            <w:noProof/>
            <w:sz w:val="22"/>
            <w:szCs w:val="22"/>
          </w:rPr>
          <w:t>1.1.1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Brief History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_Toc312257627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24</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28" w:history="1">
        <w:r w:rsidR="00591EE2" w:rsidRPr="00591EE2">
          <w:rPr>
            <w:rStyle w:val="Hyperlink"/>
            <w:i w:val="0"/>
            <w:noProof/>
            <w:sz w:val="22"/>
            <w:szCs w:val="22"/>
          </w:rPr>
          <w:t>1.1.2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Multiple Myeloma overview</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_Toc312257628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29" w:history="1">
        <w:r w:rsidR="00591EE2" w:rsidRPr="00591EE2">
          <w:rPr>
            <w:rStyle w:val="Hyperlink"/>
            <w:noProof/>
            <w:sz w:val="22"/>
            <w:szCs w:val="22"/>
          </w:rPr>
          <w:t>1.1.2.1</w:t>
        </w:r>
        <w:r w:rsidR="00591EE2" w:rsidRPr="00591EE2">
          <w:rPr>
            <w:rFonts w:eastAsiaTheme="minorEastAsia"/>
            <w:noProof/>
            <w:sz w:val="22"/>
            <w:szCs w:val="22"/>
            <w:lang w:eastAsia="en-IE"/>
          </w:rPr>
          <w:tab/>
        </w:r>
        <w:r w:rsidR="00591EE2" w:rsidRPr="00591EE2">
          <w:rPr>
            <w:rStyle w:val="Hyperlink"/>
            <w:noProof/>
            <w:sz w:val="22"/>
            <w:szCs w:val="22"/>
          </w:rPr>
          <w:t>Epidemiology and incidence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_Toc312257629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0" w:history="1">
        <w:r w:rsidR="00591EE2" w:rsidRPr="00591EE2">
          <w:rPr>
            <w:rStyle w:val="Hyperlink"/>
            <w:noProof/>
            <w:sz w:val="22"/>
            <w:szCs w:val="22"/>
          </w:rPr>
          <w:t>1.1.2.2</w:t>
        </w:r>
        <w:r w:rsidR="00591EE2" w:rsidRPr="00591EE2">
          <w:rPr>
            <w:rFonts w:eastAsiaTheme="minorEastAsia"/>
            <w:noProof/>
            <w:sz w:val="22"/>
            <w:szCs w:val="22"/>
            <w:lang w:eastAsia="en-IE"/>
          </w:rPr>
          <w:tab/>
        </w:r>
        <w:r w:rsidR="00591EE2" w:rsidRPr="00591EE2">
          <w:rPr>
            <w:rStyle w:val="Hyperlink"/>
            <w:noProof/>
            <w:sz w:val="22"/>
            <w:szCs w:val="22"/>
          </w:rPr>
          <w:t>Annual incidence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1" w:history="1">
        <w:r w:rsidR="00591EE2" w:rsidRPr="00591EE2">
          <w:rPr>
            <w:rStyle w:val="Hyperlink"/>
            <w:noProof/>
            <w:sz w:val="22"/>
            <w:szCs w:val="22"/>
          </w:rPr>
          <w:t>1.1.2.3</w:t>
        </w:r>
        <w:r w:rsidR="00591EE2" w:rsidRPr="00591EE2">
          <w:rPr>
            <w:rFonts w:eastAsiaTheme="minorEastAsia"/>
            <w:noProof/>
            <w:sz w:val="22"/>
            <w:szCs w:val="22"/>
            <w:lang w:eastAsia="en-IE"/>
          </w:rPr>
          <w:tab/>
        </w:r>
        <w:r w:rsidR="00591EE2" w:rsidRPr="00591EE2">
          <w:rPr>
            <w:rStyle w:val="Hyperlink"/>
            <w:noProof/>
            <w:sz w:val="22"/>
            <w:szCs w:val="22"/>
          </w:rPr>
          <w:t>Age Distribution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2" w:history="1">
        <w:r w:rsidR="00591EE2" w:rsidRPr="00591EE2">
          <w:rPr>
            <w:rStyle w:val="Hyperlink"/>
            <w:noProof/>
            <w:sz w:val="22"/>
            <w:szCs w:val="22"/>
          </w:rPr>
          <w:t>1.1.2.4</w:t>
        </w:r>
        <w:r w:rsidR="00591EE2" w:rsidRPr="00591EE2">
          <w:rPr>
            <w:rFonts w:eastAsiaTheme="minorEastAsia"/>
            <w:noProof/>
            <w:sz w:val="22"/>
            <w:szCs w:val="22"/>
            <w:lang w:eastAsia="en-IE"/>
          </w:rPr>
          <w:tab/>
        </w:r>
        <w:r w:rsidR="00591EE2" w:rsidRPr="00591EE2">
          <w:rPr>
            <w:rStyle w:val="Hyperlink"/>
            <w:noProof/>
            <w:sz w:val="22"/>
            <w:szCs w:val="22"/>
          </w:rPr>
          <w:t>Clinical presentation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33" w:history="1">
        <w:r w:rsidR="00591EE2" w:rsidRPr="00591EE2">
          <w:rPr>
            <w:rStyle w:val="Hyperlink"/>
            <w:i w:val="0"/>
            <w:noProof/>
            <w:sz w:val="22"/>
            <w:szCs w:val="22"/>
          </w:rPr>
          <w:t>1.1.3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Staging of Multiple Myeloma</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_Toc312257633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41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4" w:history="1">
        <w:r w:rsidR="00591EE2" w:rsidRPr="00591EE2">
          <w:rPr>
            <w:rStyle w:val="Hyperlink"/>
            <w:noProof/>
            <w:sz w:val="22"/>
            <w:szCs w:val="22"/>
          </w:rPr>
          <w:t>1.1.3.1</w:t>
        </w:r>
        <w:r w:rsidR="00591EE2" w:rsidRPr="00591EE2">
          <w:rPr>
            <w:rFonts w:eastAsiaTheme="minorEastAsia"/>
            <w:noProof/>
            <w:sz w:val="22"/>
            <w:szCs w:val="22"/>
            <w:lang w:eastAsia="en-IE"/>
          </w:rPr>
          <w:tab/>
        </w:r>
        <w:r w:rsidR="00591EE2" w:rsidRPr="00591EE2">
          <w:rPr>
            <w:rStyle w:val="Hyperlink"/>
            <w:noProof/>
            <w:sz w:val="22"/>
            <w:szCs w:val="22"/>
          </w:rPr>
          <w:t>The International Staging System (ISS)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41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5" w:history="1">
        <w:r w:rsidR="00591EE2" w:rsidRPr="00591EE2">
          <w:rPr>
            <w:rStyle w:val="Hyperlink"/>
            <w:noProof/>
            <w:sz w:val="22"/>
            <w:szCs w:val="22"/>
          </w:rPr>
          <w:t>1.1.3.2</w:t>
        </w:r>
        <w:r w:rsidR="00591EE2" w:rsidRPr="00591EE2">
          <w:rPr>
            <w:rFonts w:eastAsiaTheme="minorEastAsia"/>
            <w:noProof/>
            <w:sz w:val="22"/>
            <w:szCs w:val="22"/>
            <w:lang w:eastAsia="en-IE"/>
          </w:rPr>
          <w:tab/>
        </w:r>
        <w:r w:rsidR="00591EE2" w:rsidRPr="00591EE2">
          <w:rPr>
            <w:rStyle w:val="Hyperlink"/>
            <w:noProof/>
            <w:sz w:val="22"/>
            <w:szCs w:val="22"/>
          </w:rPr>
          <w:t>Durie-Salmon Staging System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41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36" w:history="1">
        <w:r w:rsidR="00591EE2" w:rsidRPr="00591EE2">
          <w:rPr>
            <w:rStyle w:val="Hyperlink"/>
            <w:i w:val="0"/>
            <w:noProof/>
            <w:sz w:val="22"/>
            <w:szCs w:val="22"/>
          </w:rPr>
          <w:t>1.1.4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Treatment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_Toc312257636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42</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37" w:history="1">
        <w:r w:rsidR="00591EE2" w:rsidRPr="00591EE2">
          <w:rPr>
            <w:rStyle w:val="Hyperlink"/>
            <w:noProof/>
            <w:sz w:val="22"/>
            <w:szCs w:val="22"/>
          </w:rPr>
          <w:t>1.1.4.1</w:t>
        </w:r>
        <w:r w:rsidR="00591EE2" w:rsidRPr="00591EE2">
          <w:rPr>
            <w:rFonts w:eastAsiaTheme="minorEastAsia"/>
            <w:noProof/>
            <w:sz w:val="22"/>
            <w:szCs w:val="22"/>
            <w:lang w:eastAsia="en-IE"/>
          </w:rPr>
          <w:tab/>
        </w:r>
        <w:r w:rsidR="00591EE2" w:rsidRPr="00591EE2">
          <w:rPr>
            <w:rStyle w:val="Hyperlink"/>
            <w:noProof/>
            <w:sz w:val="22"/>
            <w:szCs w:val="22"/>
          </w:rPr>
          <w:t>Response Criteria for Multiple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47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38" w:history="1">
        <w:r w:rsidR="00591EE2" w:rsidRPr="00591EE2">
          <w:rPr>
            <w:rStyle w:val="Hyperlink"/>
            <w:noProof/>
            <w:sz w:val="22"/>
            <w:szCs w:val="22"/>
          </w:rPr>
          <w:t>1.2</w:t>
        </w:r>
        <w:r w:rsidR="00591EE2" w:rsidRPr="00591EE2">
          <w:rPr>
            <w:rFonts w:eastAsiaTheme="minorEastAsia"/>
            <w:smallCaps w:val="0"/>
            <w:noProof/>
            <w:sz w:val="22"/>
            <w:szCs w:val="22"/>
            <w:lang w:eastAsia="en-IE"/>
          </w:rPr>
          <w:tab/>
        </w:r>
        <w:r w:rsidR="00591EE2" w:rsidRPr="00591EE2">
          <w:rPr>
            <w:rStyle w:val="Hyperlink"/>
            <w:noProof/>
            <w:sz w:val="22"/>
            <w:szCs w:val="22"/>
          </w:rPr>
          <w:t>Thalidomide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_Toc312257638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49</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39" w:history="1">
        <w:r w:rsidR="00591EE2" w:rsidRPr="00591EE2">
          <w:rPr>
            <w:rStyle w:val="Hyperlink"/>
            <w:i w:val="0"/>
            <w:noProof/>
            <w:sz w:val="22"/>
            <w:szCs w:val="22"/>
          </w:rPr>
          <w:t>1.2.1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Chemical structure of thalidomide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_Toc312257639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49</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0" w:history="1">
        <w:r w:rsidR="00591EE2" w:rsidRPr="00591EE2">
          <w:rPr>
            <w:rStyle w:val="Hyperlink"/>
            <w:i w:val="0"/>
            <w:noProof/>
            <w:sz w:val="22"/>
            <w:szCs w:val="22"/>
          </w:rPr>
          <w:t>1.2.2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Drug Discovery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49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41" w:history="1">
        <w:r w:rsidR="00591EE2" w:rsidRPr="00591EE2">
          <w:rPr>
            <w:rStyle w:val="Hyperlink"/>
            <w:noProof/>
            <w:sz w:val="22"/>
            <w:szCs w:val="22"/>
          </w:rPr>
          <w:t>1.2.2.1</w:t>
        </w:r>
        <w:r w:rsidR="00591EE2" w:rsidRPr="00591EE2">
          <w:rPr>
            <w:rFonts w:eastAsiaTheme="minorEastAsia"/>
            <w:noProof/>
            <w:sz w:val="22"/>
            <w:szCs w:val="22"/>
            <w:lang w:eastAsia="en-IE"/>
          </w:rPr>
          <w:tab/>
        </w:r>
        <w:r w:rsidR="00591EE2" w:rsidRPr="00591EE2">
          <w:rPr>
            <w:rStyle w:val="Hyperlink"/>
            <w:noProof/>
            <w:sz w:val="22"/>
            <w:szCs w:val="22"/>
          </w:rPr>
          <w:t>Historical overview</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_Toc312257641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49</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2" w:history="1">
        <w:r w:rsidR="00591EE2" w:rsidRPr="00591EE2">
          <w:rPr>
            <w:rStyle w:val="Hyperlink"/>
            <w:i w:val="0"/>
            <w:noProof/>
            <w:sz w:val="22"/>
            <w:szCs w:val="22"/>
          </w:rPr>
          <w:t>1.2.3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Teratogenicity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3" w:history="1">
        <w:r w:rsidR="00591EE2" w:rsidRPr="00591EE2">
          <w:rPr>
            <w:rStyle w:val="Hyperlink"/>
            <w:i w:val="0"/>
            <w:noProof/>
            <w:sz w:val="22"/>
            <w:szCs w:val="22"/>
          </w:rPr>
          <w:t>1.2.4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Reinventing thalidomide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4" w:history="1">
        <w:r w:rsidR="00591EE2" w:rsidRPr="00591EE2">
          <w:rPr>
            <w:rStyle w:val="Hyperlink"/>
            <w:i w:val="0"/>
            <w:noProof/>
            <w:sz w:val="22"/>
            <w:szCs w:val="22"/>
          </w:rPr>
          <w:t>1.2.5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Pharmacokinetics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53</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5" w:history="1">
        <w:r w:rsidR="00591EE2" w:rsidRPr="00591EE2">
          <w:rPr>
            <w:rStyle w:val="Hyperlink"/>
            <w:i w:val="0"/>
            <w:noProof/>
            <w:sz w:val="22"/>
            <w:szCs w:val="22"/>
          </w:rPr>
          <w:t>1.2.6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Mechanism of action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54</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6" w:history="1">
        <w:r w:rsidR="00591EE2" w:rsidRPr="00591EE2">
          <w:rPr>
            <w:rStyle w:val="Hyperlink"/>
            <w:i w:val="0"/>
            <w:noProof/>
            <w:sz w:val="22"/>
            <w:szCs w:val="22"/>
          </w:rPr>
          <w:t>1.2.7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Thalidomide in Clinical trials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56</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47" w:history="1">
        <w:r w:rsidR="00591EE2" w:rsidRPr="00591EE2">
          <w:rPr>
            <w:rStyle w:val="Hyperlink"/>
            <w:noProof/>
            <w:sz w:val="22"/>
            <w:szCs w:val="22"/>
          </w:rPr>
          <w:t>1.2.7.1</w:t>
        </w:r>
        <w:r w:rsidR="00591EE2" w:rsidRPr="00591EE2">
          <w:rPr>
            <w:rFonts w:eastAsiaTheme="minorEastAsia"/>
            <w:noProof/>
            <w:sz w:val="22"/>
            <w:szCs w:val="22"/>
            <w:lang w:eastAsia="en-IE"/>
          </w:rPr>
          <w:tab/>
        </w:r>
        <w:r w:rsidR="00591EE2" w:rsidRPr="00591EE2">
          <w:rPr>
            <w:rStyle w:val="Hyperlink"/>
            <w:noProof/>
            <w:sz w:val="22"/>
            <w:szCs w:val="22"/>
          </w:rPr>
          <w:t>Land mark thalidomide papers in MM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_Toc312257647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56</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48" w:history="1">
        <w:r w:rsidR="00591EE2" w:rsidRPr="00591EE2">
          <w:rPr>
            <w:rStyle w:val="Hyperlink"/>
            <w:i w:val="0"/>
            <w:noProof/>
            <w:sz w:val="22"/>
            <w:szCs w:val="22"/>
          </w:rPr>
          <w:t>1.2.8</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Thalidomide side effects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_Toc312257648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58</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49" w:history="1">
        <w:r w:rsidR="00591EE2" w:rsidRPr="00591EE2">
          <w:rPr>
            <w:rStyle w:val="Hyperlink"/>
            <w:noProof/>
            <w:sz w:val="22"/>
            <w:szCs w:val="22"/>
          </w:rPr>
          <w:t>1.2.8.1</w:t>
        </w:r>
        <w:r w:rsidR="00591EE2" w:rsidRPr="00591EE2">
          <w:rPr>
            <w:rFonts w:eastAsiaTheme="minorEastAsia"/>
            <w:noProof/>
            <w:sz w:val="22"/>
            <w:szCs w:val="22"/>
            <w:lang w:eastAsia="en-IE"/>
          </w:rPr>
          <w:tab/>
        </w:r>
        <w:r w:rsidR="00591EE2" w:rsidRPr="00591EE2">
          <w:rPr>
            <w:rStyle w:val="Hyperlink"/>
            <w:noProof/>
            <w:sz w:val="22"/>
            <w:szCs w:val="22"/>
          </w:rPr>
          <w:t>Common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_Toc312257649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58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50" w:history="1">
        <w:r w:rsidR="00591EE2" w:rsidRPr="00591EE2">
          <w:rPr>
            <w:rStyle w:val="Hyperlink"/>
            <w:noProof/>
            <w:sz w:val="22"/>
            <w:szCs w:val="22"/>
          </w:rPr>
          <w:t>1.2.8.2</w:t>
        </w:r>
        <w:r w:rsidR="00591EE2" w:rsidRPr="00591EE2">
          <w:rPr>
            <w:rFonts w:eastAsiaTheme="minorEastAsia"/>
            <w:noProof/>
            <w:sz w:val="22"/>
            <w:szCs w:val="22"/>
            <w:lang w:eastAsia="en-IE"/>
          </w:rPr>
          <w:tab/>
        </w:r>
        <w:r w:rsidR="00591EE2" w:rsidRPr="00591EE2">
          <w:rPr>
            <w:rStyle w:val="Hyperlink"/>
            <w:noProof/>
            <w:sz w:val="22"/>
            <w:szCs w:val="22"/>
          </w:rPr>
          <w:t>Less common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_Toc312257650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58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51" w:history="1">
        <w:r w:rsidR="00591EE2" w:rsidRPr="00591EE2">
          <w:rPr>
            <w:rStyle w:val="Hyperlink"/>
            <w:noProof/>
            <w:sz w:val="22"/>
            <w:szCs w:val="22"/>
          </w:rPr>
          <w:t>1.2.8.3</w:t>
        </w:r>
        <w:r w:rsidR="00591EE2" w:rsidRPr="00591EE2">
          <w:rPr>
            <w:rFonts w:eastAsiaTheme="minorEastAsia"/>
            <w:noProof/>
            <w:sz w:val="22"/>
            <w:szCs w:val="22"/>
            <w:lang w:eastAsia="en-IE"/>
          </w:rPr>
          <w:tab/>
        </w:r>
        <w:r w:rsidR="00591EE2" w:rsidRPr="00591EE2">
          <w:rPr>
            <w:rStyle w:val="Hyperlink"/>
            <w:noProof/>
            <w:sz w:val="22"/>
            <w:szCs w:val="22"/>
          </w:rPr>
          <w:t>Uncommon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_Toc312257651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58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52" w:history="1">
        <w:r w:rsidR="00591EE2" w:rsidRPr="00591EE2">
          <w:rPr>
            <w:rStyle w:val="Hyperlink"/>
            <w:i w:val="0"/>
            <w:noProof/>
            <w:sz w:val="22"/>
            <w:szCs w:val="22"/>
          </w:rPr>
          <w:t>1.2.9</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Thalidomide dosage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_Toc312257652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58</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53" w:history="1">
        <w:r w:rsidR="00591EE2" w:rsidRPr="00591EE2">
          <w:rPr>
            <w:rStyle w:val="Hyperlink"/>
            <w:noProof/>
            <w:sz w:val="22"/>
            <w:szCs w:val="22"/>
          </w:rPr>
          <w:t>1.3</w:t>
        </w:r>
        <w:r w:rsidR="00591EE2" w:rsidRPr="00591EE2">
          <w:rPr>
            <w:rFonts w:eastAsiaTheme="minorEastAsia"/>
            <w:smallCaps w:val="0"/>
            <w:noProof/>
            <w:sz w:val="22"/>
            <w:szCs w:val="22"/>
            <w:lang w:eastAsia="en-IE"/>
          </w:rPr>
          <w:tab/>
        </w:r>
        <w:r w:rsidR="00591EE2" w:rsidRPr="00591EE2">
          <w:rPr>
            <w:rStyle w:val="Hyperlink"/>
            <w:noProof/>
            <w:sz w:val="22"/>
            <w:szCs w:val="22"/>
          </w:rPr>
          <w:t>Biological bank</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_Toc312257653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60</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54" w:history="1">
        <w:r w:rsidR="00591EE2" w:rsidRPr="00591EE2">
          <w:rPr>
            <w:rStyle w:val="Hyperlink"/>
            <w:i w:val="0"/>
            <w:noProof/>
            <w:sz w:val="22"/>
            <w:szCs w:val="22"/>
          </w:rPr>
          <w:t>1.3.1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Purpose and Overview</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_Toc312257654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60</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55" w:history="1">
        <w:r w:rsidR="00591EE2" w:rsidRPr="00591EE2">
          <w:rPr>
            <w:rStyle w:val="Hyperlink"/>
            <w:i w:val="0"/>
            <w:noProof/>
            <w:sz w:val="22"/>
            <w:szCs w:val="22"/>
          </w:rPr>
          <w:t>1.3.2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Biological banking main functions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_Toc312257655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60</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56" w:history="1">
        <w:r w:rsidR="00591EE2" w:rsidRPr="00591EE2">
          <w:rPr>
            <w:rStyle w:val="Hyperlink"/>
            <w:noProof/>
            <w:sz w:val="22"/>
            <w:szCs w:val="22"/>
          </w:rPr>
          <w:t>1.3.2.1</w:t>
        </w:r>
        <w:r w:rsidR="00591EE2" w:rsidRPr="00591EE2">
          <w:rPr>
            <w:rFonts w:eastAsiaTheme="minorEastAsia"/>
            <w:noProof/>
            <w:sz w:val="22"/>
            <w:szCs w:val="22"/>
            <w:lang w:eastAsia="en-IE"/>
          </w:rPr>
          <w:tab/>
        </w:r>
        <w:r w:rsidR="00591EE2" w:rsidRPr="00591EE2">
          <w:rPr>
            <w:rStyle w:val="Hyperlink"/>
            <w:noProof/>
            <w:sz w:val="22"/>
            <w:szCs w:val="22"/>
          </w:rPr>
          <w:t>Disease specific biological bank</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_Toc312257656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57" w:history="1">
        <w:r w:rsidR="00591EE2" w:rsidRPr="00591EE2">
          <w:rPr>
            <w:rStyle w:val="Hyperlink"/>
            <w:i w:val="0"/>
            <w:noProof/>
            <w:sz w:val="22"/>
            <w:szCs w:val="22"/>
          </w:rPr>
          <w:t>1.3.3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Biological banks basic activities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_Toc312257657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62</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58" w:history="1">
        <w:r w:rsidR="00591EE2" w:rsidRPr="00591EE2">
          <w:rPr>
            <w:rStyle w:val="Hyperlink"/>
            <w:i w:val="0"/>
            <w:noProof/>
            <w:sz w:val="22"/>
            <w:szCs w:val="22"/>
          </w:rPr>
          <w:t>1.3.4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Logistical support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_Toc312257658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63</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59" w:history="1">
        <w:r w:rsidR="00591EE2" w:rsidRPr="00591EE2">
          <w:rPr>
            <w:rStyle w:val="Hyperlink"/>
            <w:noProof/>
            <w:sz w:val="22"/>
            <w:szCs w:val="22"/>
          </w:rPr>
          <w:t>1.3.4.1</w:t>
        </w:r>
        <w:r w:rsidR="00591EE2" w:rsidRPr="00591EE2">
          <w:rPr>
            <w:rFonts w:eastAsiaTheme="minorEastAsia"/>
            <w:noProof/>
            <w:sz w:val="22"/>
            <w:szCs w:val="22"/>
            <w:lang w:eastAsia="en-IE"/>
          </w:rPr>
          <w:tab/>
        </w:r>
        <w:r w:rsidR="00591EE2" w:rsidRPr="00591EE2">
          <w:rPr>
            <w:rStyle w:val="Hyperlink"/>
            <w:noProof/>
            <w:sz w:val="22"/>
            <w:szCs w:val="22"/>
          </w:rPr>
          <w:t>Storage Facility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_Toc312257659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63</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60" w:history="1">
        <w:r w:rsidR="00591EE2" w:rsidRPr="00591EE2">
          <w:rPr>
            <w:rStyle w:val="Hyperlink"/>
            <w:i w:val="0"/>
            <w:noProof/>
            <w:sz w:val="22"/>
            <w:szCs w:val="22"/>
          </w:rPr>
          <w:t>1.3.5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Legal and Ethical Issues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_Toc312257660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65</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61" w:history="1">
        <w:r w:rsidR="00591EE2" w:rsidRPr="00591EE2">
          <w:rPr>
            <w:rStyle w:val="Hyperlink"/>
            <w:noProof/>
            <w:sz w:val="22"/>
            <w:szCs w:val="22"/>
          </w:rPr>
          <w:t>1.3.5.1</w:t>
        </w:r>
        <w:r w:rsidR="00591EE2" w:rsidRPr="00591EE2">
          <w:rPr>
            <w:rFonts w:eastAsiaTheme="minorEastAsia"/>
            <w:noProof/>
            <w:sz w:val="22"/>
            <w:szCs w:val="22"/>
            <w:lang w:eastAsia="en-IE"/>
          </w:rPr>
          <w:tab/>
        </w:r>
        <w:r w:rsidR="00591EE2" w:rsidRPr="00591EE2">
          <w:rPr>
            <w:rStyle w:val="Hyperlink"/>
            <w:noProof/>
            <w:sz w:val="22"/>
            <w:szCs w:val="22"/>
          </w:rPr>
          <w:t>Informed Consent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62" w:history="1">
        <w:r w:rsidR="00591EE2" w:rsidRPr="00591EE2">
          <w:rPr>
            <w:rStyle w:val="Hyperlink"/>
            <w:noProof/>
            <w:sz w:val="22"/>
            <w:szCs w:val="22"/>
          </w:rPr>
          <w:t>1.3.5.2</w:t>
        </w:r>
        <w:r w:rsidR="00591EE2" w:rsidRPr="00591EE2">
          <w:rPr>
            <w:rFonts w:eastAsiaTheme="minorEastAsia"/>
            <w:noProof/>
            <w:sz w:val="22"/>
            <w:szCs w:val="22"/>
            <w:lang w:eastAsia="en-IE"/>
          </w:rPr>
          <w:tab/>
        </w:r>
        <w:r w:rsidR="00591EE2" w:rsidRPr="00591EE2">
          <w:rPr>
            <w:rStyle w:val="Hyperlink"/>
            <w:noProof/>
            <w:sz w:val="22"/>
            <w:szCs w:val="22"/>
          </w:rPr>
          <w:t>Privacy and Confidentiality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63" w:history="1">
        <w:r w:rsidR="00591EE2" w:rsidRPr="00591EE2">
          <w:rPr>
            <w:rStyle w:val="Hyperlink"/>
            <w:noProof/>
            <w:sz w:val="22"/>
            <w:szCs w:val="22"/>
          </w:rPr>
          <w:t>1.3.5.3</w:t>
        </w:r>
        <w:r w:rsidR="00591EE2" w:rsidRPr="00591EE2">
          <w:rPr>
            <w:rFonts w:eastAsiaTheme="minorEastAsia"/>
            <w:noProof/>
            <w:sz w:val="22"/>
            <w:szCs w:val="22"/>
            <w:lang w:eastAsia="en-IE"/>
          </w:rPr>
          <w:tab/>
        </w:r>
        <w:r w:rsidR="00591EE2" w:rsidRPr="00591EE2">
          <w:rPr>
            <w:rStyle w:val="Hyperlink"/>
            <w:noProof/>
            <w:sz w:val="22"/>
            <w:szCs w:val="22"/>
          </w:rPr>
          <w:t>Sharing and Distribution of Specimens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64" w:history="1">
        <w:r w:rsidR="00591EE2" w:rsidRPr="00591EE2">
          <w:rPr>
            <w:rStyle w:val="Hyperlink"/>
            <w:noProof/>
            <w:sz w:val="22"/>
            <w:szCs w:val="22"/>
          </w:rPr>
          <w:t>1.4</w:t>
        </w:r>
        <w:r w:rsidR="00591EE2" w:rsidRPr="00591EE2">
          <w:rPr>
            <w:rFonts w:eastAsiaTheme="minorEastAsia"/>
            <w:smallCaps w:val="0"/>
            <w:noProof/>
            <w:sz w:val="22"/>
            <w:szCs w:val="22"/>
            <w:lang w:eastAsia="en-IE"/>
          </w:rPr>
          <w:tab/>
        </w:r>
        <w:r w:rsidR="00591EE2" w:rsidRPr="00591EE2">
          <w:rPr>
            <w:rStyle w:val="Hyperlink"/>
            <w:noProof/>
            <w:sz w:val="22"/>
            <w:szCs w:val="22"/>
          </w:rPr>
          <w:t>Biomarkers in Body Fluids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68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65" w:history="1">
        <w:r w:rsidR="00591EE2" w:rsidRPr="00591EE2">
          <w:rPr>
            <w:rStyle w:val="Hyperlink"/>
            <w:i w:val="0"/>
            <w:noProof/>
            <w:sz w:val="22"/>
            <w:szCs w:val="22"/>
          </w:rPr>
          <w:t>1.4.1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Challenges and strategies for discovery of protein biomarkers in plasma</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_Toc312257665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68</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66" w:history="1">
        <w:r w:rsidR="00591EE2" w:rsidRPr="00591EE2">
          <w:rPr>
            <w:rStyle w:val="Hyperlink"/>
            <w:noProof/>
            <w:sz w:val="22"/>
            <w:szCs w:val="22"/>
          </w:rPr>
          <w:t>1.5</w:t>
        </w:r>
        <w:r w:rsidR="00591EE2" w:rsidRPr="00591EE2">
          <w:rPr>
            <w:rFonts w:eastAsiaTheme="minorEastAsia"/>
            <w:smallCaps w:val="0"/>
            <w:noProof/>
            <w:sz w:val="22"/>
            <w:szCs w:val="22"/>
            <w:lang w:eastAsia="en-IE"/>
          </w:rPr>
          <w:tab/>
        </w:r>
        <w:r w:rsidR="00591EE2" w:rsidRPr="00591EE2">
          <w:rPr>
            <w:rStyle w:val="Hyperlink"/>
            <w:noProof/>
            <w:sz w:val="22"/>
            <w:szCs w:val="22"/>
            <w:lang w:val="en-GB"/>
          </w:rPr>
          <w:t>Proteomics in other Haematological Malignancies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67" w:history="1">
        <w:r w:rsidR="00591EE2" w:rsidRPr="00591EE2">
          <w:rPr>
            <w:rStyle w:val="Hyperlink"/>
            <w:i w:val="0"/>
            <w:noProof/>
            <w:sz w:val="22"/>
            <w:szCs w:val="22"/>
          </w:rPr>
          <w:t>1.5.1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Background</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_Toc312257667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71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68" w:history="1">
        <w:r w:rsidR="00591EE2" w:rsidRPr="00591EE2">
          <w:rPr>
            <w:rStyle w:val="Hyperlink"/>
            <w:noProof/>
            <w:sz w:val="22"/>
            <w:szCs w:val="22"/>
          </w:rPr>
          <w:t>1.5.1.1</w:t>
        </w:r>
        <w:r w:rsidR="00591EE2" w:rsidRPr="00591EE2">
          <w:rPr>
            <w:rFonts w:eastAsiaTheme="minorEastAsia"/>
            <w:noProof/>
            <w:sz w:val="22"/>
            <w:szCs w:val="22"/>
            <w:lang w:eastAsia="en-IE"/>
          </w:rPr>
          <w:tab/>
        </w:r>
        <w:r w:rsidR="00591EE2" w:rsidRPr="00591EE2">
          <w:rPr>
            <w:rStyle w:val="Hyperlink"/>
            <w:noProof/>
            <w:sz w:val="22"/>
            <w:szCs w:val="22"/>
            <w:lang w:val="en-GB"/>
          </w:rPr>
          <w:t>Malignant Lymphoma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69" w:history="1">
        <w:r w:rsidR="00591EE2" w:rsidRPr="00591EE2">
          <w:rPr>
            <w:rStyle w:val="Hyperlink"/>
            <w:noProof/>
            <w:sz w:val="22"/>
            <w:szCs w:val="22"/>
          </w:rPr>
          <w:t>1.5.1.2</w:t>
        </w:r>
        <w:r w:rsidR="00591EE2" w:rsidRPr="00591EE2">
          <w:rPr>
            <w:rFonts w:eastAsiaTheme="minorEastAsia"/>
            <w:noProof/>
            <w:sz w:val="22"/>
            <w:szCs w:val="22"/>
            <w:lang w:eastAsia="en-IE"/>
          </w:rPr>
          <w:tab/>
        </w:r>
        <w:r w:rsidR="00591EE2" w:rsidRPr="00591EE2">
          <w:rPr>
            <w:rStyle w:val="Hyperlink"/>
            <w:noProof/>
            <w:sz w:val="22"/>
            <w:szCs w:val="22"/>
            <w:lang w:val="en"/>
          </w:rPr>
          <w:t>Anaplastic large cell lymphoma (ALCL)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_Toc312257669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0" w:history="1">
        <w:r w:rsidR="00591EE2" w:rsidRPr="00591EE2">
          <w:rPr>
            <w:rStyle w:val="Hyperlink"/>
            <w:noProof/>
            <w:sz w:val="22"/>
            <w:szCs w:val="22"/>
          </w:rPr>
          <w:t>1.5.1.3</w:t>
        </w:r>
        <w:r w:rsidR="00591EE2" w:rsidRPr="00591EE2">
          <w:rPr>
            <w:rFonts w:eastAsiaTheme="minorEastAsia"/>
            <w:noProof/>
            <w:sz w:val="22"/>
            <w:szCs w:val="22"/>
            <w:lang w:eastAsia="en-IE"/>
          </w:rPr>
          <w:tab/>
        </w:r>
        <w:r w:rsidR="00591EE2" w:rsidRPr="00591EE2">
          <w:rPr>
            <w:rStyle w:val="Hyperlink"/>
            <w:noProof/>
            <w:sz w:val="22"/>
            <w:szCs w:val="22"/>
            <w:lang w:val="en"/>
          </w:rPr>
          <w:t>Chronic lymphocytic leukemia (CLL) / Small lymphocytic</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1" w:history="1">
        <w:r w:rsidR="00591EE2" w:rsidRPr="00591EE2">
          <w:rPr>
            <w:rStyle w:val="Hyperlink"/>
            <w:noProof/>
            <w:sz w:val="22"/>
            <w:szCs w:val="22"/>
          </w:rPr>
          <w:t>1.5.1.4</w:t>
        </w:r>
        <w:r w:rsidR="00591EE2" w:rsidRPr="00591EE2">
          <w:rPr>
            <w:rFonts w:eastAsiaTheme="minorEastAsia"/>
            <w:noProof/>
            <w:sz w:val="22"/>
            <w:szCs w:val="22"/>
            <w:lang w:eastAsia="en-IE"/>
          </w:rPr>
          <w:tab/>
        </w:r>
        <w:r w:rsidR="00591EE2" w:rsidRPr="00591EE2">
          <w:rPr>
            <w:rStyle w:val="Hyperlink"/>
            <w:noProof/>
            <w:sz w:val="22"/>
            <w:szCs w:val="22"/>
            <w:lang w:val="en"/>
          </w:rPr>
          <w:t>Follicular Lymphoma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2" w:history="1">
        <w:r w:rsidR="00591EE2" w:rsidRPr="00591EE2">
          <w:rPr>
            <w:rStyle w:val="Hyperlink"/>
            <w:noProof/>
            <w:sz w:val="22"/>
            <w:szCs w:val="22"/>
          </w:rPr>
          <w:t>1.5.1.5</w:t>
        </w:r>
        <w:r w:rsidR="00591EE2" w:rsidRPr="00591EE2">
          <w:rPr>
            <w:rFonts w:eastAsiaTheme="minorEastAsia"/>
            <w:noProof/>
            <w:sz w:val="22"/>
            <w:szCs w:val="22"/>
            <w:lang w:eastAsia="en-IE"/>
          </w:rPr>
          <w:tab/>
        </w:r>
        <w:r w:rsidR="00591EE2" w:rsidRPr="00591EE2">
          <w:rPr>
            <w:rStyle w:val="Hyperlink"/>
            <w:noProof/>
            <w:sz w:val="22"/>
            <w:szCs w:val="22"/>
            <w:lang w:val="en-GB"/>
          </w:rPr>
          <w:t>Hodgkin Lymphoma (HL)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3" w:history="1">
        <w:r w:rsidR="00591EE2" w:rsidRPr="00591EE2">
          <w:rPr>
            <w:rStyle w:val="Hyperlink"/>
            <w:noProof/>
            <w:sz w:val="22"/>
            <w:szCs w:val="22"/>
          </w:rPr>
          <w:t>1.5.1.6</w:t>
        </w:r>
        <w:r w:rsidR="00591EE2" w:rsidRPr="00591EE2">
          <w:rPr>
            <w:rFonts w:eastAsiaTheme="minorEastAsia"/>
            <w:noProof/>
            <w:sz w:val="22"/>
            <w:szCs w:val="22"/>
            <w:lang w:eastAsia="en-IE"/>
          </w:rPr>
          <w:tab/>
        </w:r>
        <w:r w:rsidR="00591EE2" w:rsidRPr="00591EE2">
          <w:rPr>
            <w:rStyle w:val="Hyperlink"/>
            <w:noProof/>
            <w:sz w:val="22"/>
            <w:szCs w:val="22"/>
            <w:lang w:val="en-GB"/>
          </w:rPr>
          <w:t>Central Nervous System (CNS) lymphoma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4" w:history="1">
        <w:r w:rsidR="00591EE2" w:rsidRPr="00591EE2">
          <w:rPr>
            <w:rStyle w:val="Hyperlink"/>
            <w:noProof/>
            <w:sz w:val="22"/>
            <w:szCs w:val="22"/>
          </w:rPr>
          <w:t>1.5.1.7</w:t>
        </w:r>
        <w:r w:rsidR="00591EE2" w:rsidRPr="00591EE2">
          <w:rPr>
            <w:rFonts w:eastAsiaTheme="minorEastAsia"/>
            <w:noProof/>
            <w:sz w:val="22"/>
            <w:szCs w:val="22"/>
            <w:lang w:eastAsia="en-IE"/>
          </w:rPr>
          <w:tab/>
        </w:r>
        <w:r w:rsidR="00591EE2" w:rsidRPr="00591EE2">
          <w:rPr>
            <w:rStyle w:val="Hyperlink"/>
            <w:noProof/>
            <w:sz w:val="22"/>
            <w:szCs w:val="22"/>
            <w:lang w:val="en-GB"/>
          </w:rPr>
          <w:t>Acute myeloid leukaemia (AML)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77</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75" w:history="1">
        <w:r w:rsidR="00591EE2" w:rsidRPr="00591EE2">
          <w:rPr>
            <w:rStyle w:val="Hyperlink"/>
            <w:i w:val="0"/>
            <w:noProof/>
            <w:sz w:val="22"/>
            <w:szCs w:val="22"/>
          </w:rPr>
          <w:t>1.5.2</w:t>
        </w:r>
        <w:r w:rsidR="00591EE2" w:rsidRPr="00591EE2">
          <w:rPr>
            <w:rFonts w:eastAsiaTheme="minorEastAsia"/>
            <w:i w:val="0"/>
            <w:iCs w:val="0"/>
            <w:noProof/>
            <w:sz w:val="22"/>
            <w:szCs w:val="22"/>
            <w:lang w:eastAsia="en-IE"/>
          </w:rPr>
          <w:tab/>
        </w:r>
        <w:r w:rsidR="00591EE2" w:rsidRPr="00591EE2">
          <w:rPr>
            <w:rStyle w:val="Hyperlink"/>
            <w:i w:val="0"/>
            <w:noProof/>
            <w:sz w:val="22"/>
            <w:szCs w:val="22"/>
            <w:lang w:val="en-GB"/>
          </w:rPr>
          <w:t>Proteomic based approaches to biomarker discovery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_Toc312257675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79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6" w:history="1">
        <w:r w:rsidR="00591EE2" w:rsidRPr="00591EE2">
          <w:rPr>
            <w:rStyle w:val="Hyperlink"/>
            <w:noProof/>
            <w:sz w:val="22"/>
            <w:szCs w:val="22"/>
          </w:rPr>
          <w:t>1.5.2.1</w:t>
        </w:r>
        <w:r w:rsidR="00591EE2" w:rsidRPr="00591EE2">
          <w:rPr>
            <w:rFonts w:eastAsiaTheme="minorEastAsia"/>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7" w:history="1">
        <w:r w:rsidR="00591EE2" w:rsidRPr="00591EE2">
          <w:rPr>
            <w:rStyle w:val="Hyperlink"/>
            <w:noProof/>
            <w:sz w:val="22"/>
            <w:szCs w:val="22"/>
          </w:rPr>
          <w:t>1.5.2.2</w:t>
        </w:r>
        <w:r w:rsidR="00591EE2" w:rsidRPr="00591EE2">
          <w:rPr>
            <w:rFonts w:eastAsiaTheme="minorEastAsia"/>
            <w:noProof/>
            <w:sz w:val="22"/>
            <w:szCs w:val="22"/>
            <w:lang w:eastAsia="en-IE"/>
          </w:rPr>
          <w:tab/>
        </w:r>
        <w:r w:rsidR="00591EE2" w:rsidRPr="00591EE2">
          <w:rPr>
            <w:rStyle w:val="Hyperlink"/>
            <w:noProof/>
            <w:sz w:val="22"/>
            <w:szCs w:val="22"/>
          </w:rPr>
          <w:t>Proteomic techniques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79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8" w:history="1">
        <w:r w:rsidR="00591EE2" w:rsidRPr="00591EE2">
          <w:rPr>
            <w:rStyle w:val="Hyperlink"/>
            <w:noProof/>
            <w:sz w:val="22"/>
            <w:szCs w:val="22"/>
          </w:rPr>
          <w:t>1.5.2.3</w:t>
        </w:r>
        <w:r w:rsidR="00591EE2" w:rsidRPr="00591EE2">
          <w:rPr>
            <w:rFonts w:eastAsiaTheme="minorEastAsia"/>
            <w:noProof/>
            <w:sz w:val="22"/>
            <w:szCs w:val="22"/>
            <w:lang w:eastAsia="en-IE"/>
          </w:rPr>
          <w:tab/>
        </w:r>
        <w:r w:rsidR="00591EE2" w:rsidRPr="00591EE2">
          <w:rPr>
            <w:rStyle w:val="Hyperlink"/>
            <w:noProof/>
            <w:sz w:val="22"/>
            <w:szCs w:val="22"/>
          </w:rPr>
          <w:t>Experimental design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83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79" w:history="1">
        <w:r w:rsidR="00591EE2" w:rsidRPr="00591EE2">
          <w:rPr>
            <w:rStyle w:val="Hyperlink"/>
            <w:noProof/>
            <w:sz w:val="22"/>
            <w:szCs w:val="22"/>
          </w:rPr>
          <w:t>1.5.2.4</w:t>
        </w:r>
        <w:r w:rsidR="00591EE2" w:rsidRPr="00591EE2">
          <w:rPr>
            <w:rFonts w:eastAsiaTheme="minorEastAsia"/>
            <w:noProof/>
            <w:sz w:val="22"/>
            <w:szCs w:val="22"/>
            <w:lang w:eastAsia="en-IE"/>
          </w:rPr>
          <w:tab/>
        </w:r>
        <w:r w:rsidR="00591EE2" w:rsidRPr="00591EE2">
          <w:rPr>
            <w:rStyle w:val="Hyperlink"/>
            <w:noProof/>
            <w:sz w:val="22"/>
            <w:szCs w:val="22"/>
          </w:rPr>
          <w:t>Multiplexing the samples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_Toc312257679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86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0" w:history="1">
        <w:r w:rsidR="00591EE2" w:rsidRPr="00591EE2">
          <w:rPr>
            <w:rStyle w:val="Hyperlink"/>
            <w:noProof/>
            <w:sz w:val="22"/>
            <w:szCs w:val="22"/>
          </w:rPr>
          <w:t>1.5.2.5</w:t>
        </w:r>
        <w:r w:rsidR="00591EE2" w:rsidRPr="00591EE2">
          <w:rPr>
            <w:rFonts w:eastAsiaTheme="minorEastAsia"/>
            <w:noProof/>
            <w:sz w:val="22"/>
            <w:szCs w:val="22"/>
            <w:lang w:eastAsia="en-IE"/>
          </w:rPr>
          <w:tab/>
        </w:r>
        <w:r w:rsidR="00591EE2" w:rsidRPr="00591EE2">
          <w:rPr>
            <w:rStyle w:val="Hyperlink"/>
            <w:noProof/>
            <w:sz w:val="22"/>
            <w:szCs w:val="22"/>
          </w:rPr>
          <w:t>Protein quantitation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86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1" w:history="1">
        <w:r w:rsidR="00591EE2" w:rsidRPr="00591EE2">
          <w:rPr>
            <w:rStyle w:val="Hyperlink"/>
            <w:noProof/>
            <w:sz w:val="22"/>
            <w:szCs w:val="22"/>
          </w:rPr>
          <w:t>1.5.2.6</w:t>
        </w:r>
        <w:r w:rsidR="00591EE2" w:rsidRPr="00591EE2">
          <w:rPr>
            <w:rFonts w:eastAsiaTheme="minorEastAsia"/>
            <w:noProof/>
            <w:sz w:val="22"/>
            <w:szCs w:val="22"/>
            <w:lang w:eastAsia="en-IE"/>
          </w:rPr>
          <w:tab/>
        </w:r>
        <w:r w:rsidR="00591EE2" w:rsidRPr="00591EE2">
          <w:rPr>
            <w:rStyle w:val="Hyperlink"/>
            <w:noProof/>
            <w:sz w:val="22"/>
            <w:szCs w:val="22"/>
          </w:rPr>
          <w:t>Protein Identification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88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2" w:history="1">
        <w:r w:rsidR="00591EE2" w:rsidRPr="00591EE2">
          <w:rPr>
            <w:rStyle w:val="Hyperlink"/>
            <w:noProof/>
            <w:sz w:val="22"/>
            <w:szCs w:val="22"/>
          </w:rPr>
          <w:t>1.5.2.7</w:t>
        </w:r>
        <w:r w:rsidR="00591EE2" w:rsidRPr="00591EE2">
          <w:rPr>
            <w:rFonts w:eastAsiaTheme="minorEastAsia"/>
            <w:noProof/>
            <w:sz w:val="22"/>
            <w:szCs w:val="22"/>
            <w:lang w:eastAsia="en-IE"/>
          </w:rPr>
          <w:tab/>
        </w:r>
        <w:r w:rsidR="00591EE2" w:rsidRPr="00591EE2">
          <w:rPr>
            <w:rStyle w:val="Hyperlink"/>
            <w:noProof/>
            <w:sz w:val="22"/>
            <w:szCs w:val="22"/>
          </w:rPr>
          <w:t>Applications of 2D-DIGE technique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89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3" w:history="1">
        <w:r w:rsidR="00591EE2" w:rsidRPr="00591EE2">
          <w:rPr>
            <w:rStyle w:val="Hyperlink"/>
            <w:noProof/>
            <w:sz w:val="22"/>
            <w:szCs w:val="22"/>
          </w:rPr>
          <w:t>1.5.2.8</w:t>
        </w:r>
        <w:r w:rsidR="00591EE2" w:rsidRPr="00591EE2">
          <w:rPr>
            <w:rFonts w:eastAsiaTheme="minorEastAsia"/>
            <w:noProof/>
            <w:sz w:val="22"/>
            <w:szCs w:val="22"/>
            <w:lang w:eastAsia="en-IE"/>
          </w:rPr>
          <w:tab/>
        </w:r>
        <w:r w:rsidR="00591EE2" w:rsidRPr="00591EE2">
          <w:rPr>
            <w:rStyle w:val="Hyperlink"/>
            <w:noProof/>
            <w:sz w:val="22"/>
            <w:szCs w:val="22"/>
          </w:rPr>
          <w:t>Drawbacks of the system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4" w:history="1">
        <w:r w:rsidR="00591EE2" w:rsidRPr="00591EE2">
          <w:rPr>
            <w:rStyle w:val="Hyperlink"/>
            <w:noProof/>
            <w:sz w:val="22"/>
            <w:szCs w:val="22"/>
          </w:rPr>
          <w:t>1.5.2.9</w:t>
        </w:r>
        <w:r w:rsidR="00591EE2" w:rsidRPr="00591EE2">
          <w:rPr>
            <w:rFonts w:eastAsiaTheme="minorEastAsia"/>
            <w:noProof/>
            <w:sz w:val="22"/>
            <w:szCs w:val="22"/>
            <w:lang w:eastAsia="en-IE"/>
          </w:rPr>
          <w:tab/>
        </w:r>
        <w:r w:rsidR="00591EE2" w:rsidRPr="00591EE2">
          <w:rPr>
            <w:rStyle w:val="Hyperlink"/>
            <w:noProof/>
            <w:sz w:val="22"/>
            <w:szCs w:val="22"/>
          </w:rPr>
          <w:t>Bioinformatics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85" w:history="1">
        <w:r w:rsidR="00591EE2" w:rsidRPr="00591EE2">
          <w:rPr>
            <w:rStyle w:val="Hyperlink"/>
            <w:i w:val="0"/>
            <w:noProof/>
            <w:sz w:val="22"/>
            <w:szCs w:val="22"/>
          </w:rPr>
          <w:t>1.5.3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Statistical analysis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_Toc312257685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93</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6" w:history="1">
        <w:r w:rsidR="00591EE2" w:rsidRPr="00591EE2">
          <w:rPr>
            <w:rStyle w:val="Hyperlink"/>
            <w:noProof/>
            <w:sz w:val="22"/>
            <w:szCs w:val="22"/>
          </w:rPr>
          <w:t>1.5.3.1</w:t>
        </w:r>
        <w:r w:rsidR="00591EE2" w:rsidRPr="00591EE2">
          <w:rPr>
            <w:rFonts w:eastAsiaTheme="minorEastAsia"/>
            <w:noProof/>
            <w:sz w:val="22"/>
            <w:szCs w:val="22"/>
            <w:lang w:eastAsia="en-IE"/>
          </w:rPr>
          <w:tab/>
        </w:r>
        <w:r w:rsidR="00591EE2" w:rsidRPr="00591EE2">
          <w:rPr>
            <w:rStyle w:val="Hyperlink"/>
            <w:noProof/>
            <w:sz w:val="22"/>
            <w:szCs w:val="22"/>
          </w:rPr>
          <w:t>Principal component analysis (PCA)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7" w:history="1">
        <w:r w:rsidR="00591EE2" w:rsidRPr="00591EE2">
          <w:rPr>
            <w:rStyle w:val="Hyperlink"/>
            <w:noProof/>
            <w:sz w:val="22"/>
            <w:szCs w:val="22"/>
          </w:rPr>
          <w:t>1.5.3.2</w:t>
        </w:r>
        <w:r w:rsidR="00591EE2" w:rsidRPr="00591EE2">
          <w:rPr>
            <w:rFonts w:eastAsiaTheme="minorEastAsia"/>
            <w:noProof/>
            <w:sz w:val="22"/>
            <w:szCs w:val="22"/>
            <w:lang w:eastAsia="en-IE"/>
          </w:rPr>
          <w:tab/>
        </w:r>
        <w:r w:rsidR="00591EE2" w:rsidRPr="00591EE2">
          <w:rPr>
            <w:rStyle w:val="Hyperlink"/>
            <w:noProof/>
            <w:sz w:val="22"/>
            <w:szCs w:val="22"/>
          </w:rPr>
          <w:t>Logistic regression validation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8" w:history="1">
        <w:r w:rsidR="00591EE2" w:rsidRPr="00591EE2">
          <w:rPr>
            <w:rStyle w:val="Hyperlink"/>
            <w:noProof/>
            <w:sz w:val="22"/>
            <w:szCs w:val="22"/>
          </w:rPr>
          <w:t>1.5.3.3</w:t>
        </w:r>
        <w:r w:rsidR="00591EE2" w:rsidRPr="00591EE2">
          <w:rPr>
            <w:rFonts w:eastAsiaTheme="minorEastAsia"/>
            <w:noProof/>
            <w:sz w:val="22"/>
            <w:szCs w:val="22"/>
            <w:lang w:eastAsia="en-IE"/>
          </w:rPr>
          <w:tab/>
        </w:r>
        <w:r w:rsidR="00591EE2" w:rsidRPr="00591EE2">
          <w:rPr>
            <w:rStyle w:val="Hyperlink"/>
            <w:noProof/>
            <w:sz w:val="22"/>
            <w:szCs w:val="22"/>
          </w:rPr>
          <w:t>Receiver operating characteristic (ROC) curve evaluation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89" w:history="1">
        <w:r w:rsidR="00591EE2" w:rsidRPr="00591EE2">
          <w:rPr>
            <w:rStyle w:val="Hyperlink"/>
            <w:noProof/>
            <w:sz w:val="22"/>
            <w:szCs w:val="22"/>
          </w:rPr>
          <w:t>1.5.3.4</w:t>
        </w:r>
        <w:r w:rsidR="00591EE2" w:rsidRPr="00591EE2">
          <w:rPr>
            <w:rFonts w:eastAsiaTheme="minorEastAsia"/>
            <w:noProof/>
            <w:sz w:val="22"/>
            <w:szCs w:val="22"/>
            <w:lang w:eastAsia="en-IE"/>
          </w:rPr>
          <w:tab/>
        </w:r>
        <w:r w:rsidR="00591EE2" w:rsidRPr="00591EE2">
          <w:rPr>
            <w:rStyle w:val="Hyperlink"/>
            <w:noProof/>
            <w:sz w:val="22"/>
            <w:szCs w:val="22"/>
          </w:rPr>
          <w:t>Leave one out cross validation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_Toc312257689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90" w:history="1">
        <w:r w:rsidR="00591EE2" w:rsidRPr="00591EE2">
          <w:rPr>
            <w:rStyle w:val="Hyperlink"/>
            <w:noProof/>
            <w:sz w:val="22"/>
            <w:szCs w:val="22"/>
          </w:rPr>
          <w:t>1.5.3.5</w:t>
        </w:r>
        <w:r w:rsidR="00591EE2" w:rsidRPr="00591EE2">
          <w:rPr>
            <w:rFonts w:eastAsiaTheme="minorEastAsia"/>
            <w:noProof/>
            <w:sz w:val="22"/>
            <w:szCs w:val="22"/>
            <w:lang w:eastAsia="en-IE"/>
          </w:rPr>
          <w:tab/>
        </w:r>
        <w:r w:rsidR="00591EE2" w:rsidRPr="00591EE2">
          <w:rPr>
            <w:rStyle w:val="Hyperlink"/>
            <w:noProof/>
            <w:sz w:val="22"/>
            <w:szCs w:val="22"/>
            <w:lang w:val="en"/>
          </w:rPr>
          <w:t>Clinical material in biomarker studies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_Toc312257690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98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691" w:history="1">
        <w:r w:rsidR="00591EE2" w:rsidRPr="00591EE2">
          <w:rPr>
            <w:rStyle w:val="Hyperlink"/>
            <w:noProof/>
            <w:sz w:val="22"/>
            <w:szCs w:val="22"/>
          </w:rPr>
          <w:t>1.5.3.6</w:t>
        </w:r>
        <w:r w:rsidR="00591EE2" w:rsidRPr="00591EE2">
          <w:rPr>
            <w:rFonts w:eastAsiaTheme="minorEastAsia"/>
            <w:noProof/>
            <w:sz w:val="22"/>
            <w:szCs w:val="22"/>
            <w:lang w:eastAsia="en-IE"/>
          </w:rPr>
          <w:tab/>
        </w:r>
        <w:r w:rsidR="00591EE2" w:rsidRPr="00591EE2">
          <w:rPr>
            <w:rStyle w:val="Hyperlink"/>
            <w:noProof/>
            <w:sz w:val="22"/>
            <w:szCs w:val="22"/>
            <w:lang w:val="en-GB"/>
          </w:rPr>
          <w:t>Strategies for biomarker validation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_Toc312257691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100</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92" w:history="1">
        <w:r w:rsidR="00591EE2" w:rsidRPr="00591EE2">
          <w:rPr>
            <w:rStyle w:val="Hyperlink"/>
            <w:noProof/>
            <w:sz w:val="22"/>
            <w:szCs w:val="22"/>
          </w:rPr>
          <w:t>1.6</w:t>
        </w:r>
        <w:r w:rsidR="00591EE2" w:rsidRPr="00591EE2">
          <w:rPr>
            <w:rFonts w:eastAsiaTheme="minorEastAsia"/>
            <w:smallCaps w:val="0"/>
            <w:noProof/>
            <w:sz w:val="22"/>
            <w:szCs w:val="22"/>
            <w:lang w:eastAsia="en-IE"/>
          </w:rPr>
          <w:tab/>
        </w:r>
        <w:r w:rsidR="00591EE2" w:rsidRPr="00591EE2">
          <w:rPr>
            <w:rStyle w:val="Hyperlink"/>
            <w:noProof/>
            <w:sz w:val="22"/>
            <w:szCs w:val="22"/>
          </w:rPr>
          <w:t>Aims of study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_Toc312257692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103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694" w:history="1">
        <w:r w:rsidR="00591EE2" w:rsidRPr="00591EE2">
          <w:rPr>
            <w:rStyle w:val="Hyperlink"/>
            <w:noProof/>
            <w:sz w:val="22"/>
            <w:szCs w:val="22"/>
          </w:rPr>
          <w:t>2.1</w:t>
        </w:r>
        <w:r w:rsidR="00591EE2" w:rsidRPr="00591EE2">
          <w:rPr>
            <w:rFonts w:eastAsiaTheme="minorEastAsia"/>
            <w:smallCaps w:val="0"/>
            <w:noProof/>
            <w:sz w:val="22"/>
            <w:szCs w:val="22"/>
            <w:lang w:eastAsia="en-IE"/>
          </w:rPr>
          <w:tab/>
        </w:r>
        <w:r w:rsidR="00591EE2" w:rsidRPr="00591EE2">
          <w:rPr>
            <w:rStyle w:val="Hyperlink"/>
            <w:noProof/>
            <w:sz w:val="22"/>
            <w:szCs w:val="22"/>
          </w:rPr>
          <w:t>Biological Bank</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_Toc312257694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105</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95" w:history="1">
        <w:r w:rsidR="00591EE2" w:rsidRPr="00591EE2">
          <w:rPr>
            <w:rStyle w:val="Hyperlink"/>
            <w:i w:val="0"/>
            <w:noProof/>
            <w:sz w:val="22"/>
            <w:szCs w:val="22"/>
          </w:rPr>
          <w:t>2.1.1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Sample Collection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_Toc312257695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96" w:history="1">
        <w:r w:rsidR="00591EE2" w:rsidRPr="00591EE2">
          <w:rPr>
            <w:rStyle w:val="Hyperlink"/>
            <w:i w:val="0"/>
            <w:noProof/>
            <w:sz w:val="22"/>
            <w:szCs w:val="22"/>
          </w:rPr>
          <w:t>2.1.2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Informed consent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_Toc312257696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97" w:history="1">
        <w:r w:rsidR="00591EE2" w:rsidRPr="00591EE2">
          <w:rPr>
            <w:rStyle w:val="Hyperlink"/>
            <w:i w:val="0"/>
            <w:noProof/>
            <w:sz w:val="22"/>
            <w:szCs w:val="22"/>
          </w:rPr>
          <w:t>2.1.3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Patient information leaflet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_Toc312257697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98" w:history="1">
        <w:r w:rsidR="00591EE2" w:rsidRPr="00591EE2">
          <w:rPr>
            <w:rStyle w:val="Hyperlink"/>
            <w:i w:val="0"/>
            <w:noProof/>
            <w:sz w:val="22"/>
            <w:szCs w:val="22"/>
          </w:rPr>
          <w:t>2.1.4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Safety Precautions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_Toc312257698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699" w:history="1">
        <w:r w:rsidR="00591EE2" w:rsidRPr="00591EE2">
          <w:rPr>
            <w:rStyle w:val="Hyperlink"/>
            <w:i w:val="0"/>
            <w:noProof/>
            <w:sz w:val="22"/>
            <w:szCs w:val="22"/>
          </w:rPr>
          <w:t>2.1.5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Glassware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_Toc312257699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106</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0" w:history="1">
        <w:r w:rsidR="00591EE2" w:rsidRPr="00591EE2">
          <w:rPr>
            <w:rStyle w:val="Hyperlink"/>
            <w:i w:val="0"/>
            <w:noProof/>
            <w:sz w:val="22"/>
            <w:szCs w:val="22"/>
          </w:rPr>
          <w:t>2.1.6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Water</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106</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1" w:history="1">
        <w:r w:rsidR="00591EE2" w:rsidRPr="00591EE2">
          <w:rPr>
            <w:rStyle w:val="Hyperlink"/>
            <w:i w:val="0"/>
            <w:noProof/>
            <w:sz w:val="22"/>
            <w:szCs w:val="22"/>
          </w:rPr>
          <w:t>2.1.7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Sterilisation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_Toc312257701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106</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2" w:history="1">
        <w:r w:rsidR="00591EE2" w:rsidRPr="00591EE2">
          <w:rPr>
            <w:rStyle w:val="Hyperlink"/>
            <w:i w:val="0"/>
            <w:noProof/>
            <w:sz w:val="22"/>
            <w:szCs w:val="22"/>
          </w:rPr>
          <w:t>2.1.8</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Serum Specimen Procurement, Processing and Storage for</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107</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4" w:history="1">
        <w:r w:rsidR="00591EE2" w:rsidRPr="00591EE2">
          <w:rPr>
            <w:rStyle w:val="Hyperlink"/>
            <w:i w:val="0"/>
            <w:noProof/>
            <w:sz w:val="22"/>
            <w:szCs w:val="22"/>
          </w:rPr>
          <w:t>2.1.9</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Preparation of Bone marrow medium</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109</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5" w:history="1">
        <w:r w:rsidR="00591EE2" w:rsidRPr="00591EE2">
          <w:rPr>
            <w:rStyle w:val="Hyperlink"/>
            <w:i w:val="0"/>
            <w:noProof/>
            <w:sz w:val="22"/>
            <w:szCs w:val="22"/>
          </w:rPr>
          <w:t>2.1.10</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Bone Marrow media recipe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109</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6" w:history="1">
        <w:r w:rsidR="00591EE2" w:rsidRPr="00591EE2">
          <w:rPr>
            <w:rStyle w:val="Hyperlink"/>
            <w:i w:val="0"/>
            <w:noProof/>
            <w:sz w:val="22"/>
            <w:szCs w:val="22"/>
          </w:rPr>
          <w:t>2.1.11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Processing of Bone Marrow Aspirates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7" w:history="1">
        <w:r w:rsidR="00591EE2" w:rsidRPr="00591EE2">
          <w:rPr>
            <w:rStyle w:val="Hyperlink"/>
            <w:i w:val="0"/>
            <w:noProof/>
            <w:sz w:val="22"/>
            <w:szCs w:val="22"/>
          </w:rPr>
          <w:t>2.1.12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Plasma and Stromal cells isolation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8" w:history="1">
        <w:r w:rsidR="00591EE2" w:rsidRPr="00591EE2">
          <w:rPr>
            <w:rStyle w:val="Hyperlink"/>
            <w:i w:val="0"/>
            <w:noProof/>
            <w:sz w:val="22"/>
            <w:szCs w:val="22"/>
          </w:rPr>
          <w:t>2.1.13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Cell Counting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113</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09" w:history="1">
        <w:r w:rsidR="00591EE2" w:rsidRPr="00591EE2">
          <w:rPr>
            <w:rStyle w:val="Hyperlink"/>
            <w:i w:val="0"/>
            <w:noProof/>
            <w:sz w:val="22"/>
            <w:szCs w:val="22"/>
          </w:rPr>
          <w:t>2.1.14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Immunodepletion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_Toc312257709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114</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0" w:history="1">
        <w:r w:rsidR="00591EE2" w:rsidRPr="00591EE2">
          <w:rPr>
            <w:rStyle w:val="Hyperlink"/>
            <w:i w:val="0"/>
            <w:noProof/>
            <w:sz w:val="22"/>
            <w:szCs w:val="22"/>
          </w:rPr>
          <w:t>2.1.15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 Precipitation and Quantification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1" w:history="1">
        <w:r w:rsidR="00591EE2" w:rsidRPr="00591EE2">
          <w:rPr>
            <w:rStyle w:val="Hyperlink"/>
            <w:i w:val="0"/>
            <w:noProof/>
            <w:sz w:val="22"/>
            <w:szCs w:val="22"/>
          </w:rPr>
          <w:t>2.1.16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 quantification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_Toc312257711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115</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2" w:history="1">
        <w:r w:rsidR="00591EE2" w:rsidRPr="00591EE2">
          <w:rPr>
            <w:rStyle w:val="Hyperlink"/>
            <w:i w:val="0"/>
            <w:noProof/>
            <w:sz w:val="22"/>
            <w:szCs w:val="22"/>
          </w:rPr>
          <w:t>2.1.17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Labelling of cell lysates for DIGE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117</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3" w:history="1">
        <w:r w:rsidR="00591EE2" w:rsidRPr="00591EE2">
          <w:rPr>
            <w:rStyle w:val="Hyperlink"/>
            <w:i w:val="0"/>
            <w:noProof/>
            <w:sz w:val="22"/>
            <w:szCs w:val="22"/>
          </w:rPr>
          <w:t>2.1.18</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 sample labelling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117</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4" w:history="1">
        <w:r w:rsidR="00591EE2" w:rsidRPr="00591EE2">
          <w:rPr>
            <w:rStyle w:val="Hyperlink"/>
            <w:i w:val="0"/>
            <w:noProof/>
            <w:sz w:val="22"/>
            <w:szCs w:val="22"/>
          </w:rPr>
          <w:t>2.1.19</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Preparing the labelled samples for the first dimension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118</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15" w:history="1">
        <w:r w:rsidR="00591EE2" w:rsidRPr="00591EE2">
          <w:rPr>
            <w:rStyle w:val="Hyperlink"/>
            <w:noProof/>
            <w:sz w:val="22"/>
            <w:szCs w:val="22"/>
          </w:rPr>
          <w:t>2.1.19.1</w:t>
        </w:r>
        <w:r w:rsidR="00591EE2" w:rsidRPr="00591EE2">
          <w:rPr>
            <w:rFonts w:eastAsiaTheme="minorEastAsia"/>
            <w:noProof/>
            <w:sz w:val="22"/>
            <w:szCs w:val="22"/>
            <w:lang w:eastAsia="en-IE"/>
          </w:rPr>
          <w:tab/>
        </w:r>
        <w:r w:rsidR="00591EE2" w:rsidRPr="00591EE2">
          <w:rPr>
            <w:rStyle w:val="Hyperlink"/>
            <w:noProof/>
            <w:sz w:val="22"/>
            <w:szCs w:val="22"/>
          </w:rPr>
          <w:t>Isoelectric focussing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_Toc312257715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118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6" w:history="1">
        <w:r w:rsidR="00591EE2" w:rsidRPr="00591EE2">
          <w:rPr>
            <w:rStyle w:val="Hyperlink"/>
            <w:i w:val="0"/>
            <w:noProof/>
            <w:sz w:val="22"/>
            <w:szCs w:val="22"/>
          </w:rPr>
          <w:t>2.1.20</w:t>
        </w:r>
        <w:r w:rsidR="00591EE2" w:rsidRPr="00591EE2">
          <w:rPr>
            <w:rFonts w:eastAsiaTheme="minorEastAsia"/>
            <w:i w:val="0"/>
            <w:iCs w:val="0"/>
            <w:noProof/>
            <w:sz w:val="22"/>
            <w:szCs w:val="22"/>
            <w:lang w:eastAsia="en-IE"/>
          </w:rPr>
          <w:tab/>
        </w:r>
        <w:r w:rsidR="00591EE2" w:rsidRPr="00591EE2">
          <w:rPr>
            <w:rStyle w:val="Hyperlink"/>
            <w:i w:val="0"/>
            <w:noProof/>
            <w:sz w:val="22"/>
            <w:szCs w:val="22"/>
          </w:rPr>
          <w:t>Isoelectric focussing using the IPGphor manifold</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118</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17" w:history="1">
        <w:r w:rsidR="00591EE2" w:rsidRPr="00591EE2">
          <w:rPr>
            <w:rStyle w:val="Hyperlink"/>
            <w:noProof/>
            <w:sz w:val="22"/>
            <w:szCs w:val="22"/>
          </w:rPr>
          <w:t>2.1.20.1</w:t>
        </w:r>
        <w:r w:rsidR="00591EE2" w:rsidRPr="00591EE2">
          <w:rPr>
            <w:rFonts w:eastAsiaTheme="minorEastAsia"/>
            <w:noProof/>
            <w:sz w:val="22"/>
            <w:szCs w:val="22"/>
            <w:lang w:eastAsia="en-IE"/>
          </w:rPr>
          <w:tab/>
        </w:r>
        <w:r w:rsidR="00591EE2" w:rsidRPr="00591EE2">
          <w:rPr>
            <w:rStyle w:val="Hyperlink"/>
            <w:noProof/>
            <w:sz w:val="22"/>
            <w:szCs w:val="22"/>
          </w:rPr>
          <w:t>Protein loading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_Toc312257717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119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18" w:history="1">
        <w:r w:rsidR="00591EE2" w:rsidRPr="00591EE2">
          <w:rPr>
            <w:rStyle w:val="Hyperlink"/>
            <w:noProof/>
            <w:sz w:val="22"/>
            <w:szCs w:val="22"/>
          </w:rPr>
          <w:t>2.1.20.2</w:t>
        </w:r>
        <w:r w:rsidR="00591EE2" w:rsidRPr="00591EE2">
          <w:rPr>
            <w:rFonts w:eastAsiaTheme="minorEastAsia"/>
            <w:noProof/>
            <w:sz w:val="22"/>
            <w:szCs w:val="22"/>
            <w:lang w:eastAsia="en-IE"/>
          </w:rPr>
          <w:tab/>
        </w:r>
        <w:r w:rsidR="00591EE2" w:rsidRPr="00591EE2">
          <w:rPr>
            <w:rStyle w:val="Hyperlink"/>
            <w:noProof/>
            <w:sz w:val="22"/>
            <w:szCs w:val="22"/>
          </w:rPr>
          <w:t>Temperature and IEF parameters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_Toc312257718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119</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19" w:history="1">
        <w:r w:rsidR="00591EE2" w:rsidRPr="00591EE2">
          <w:rPr>
            <w:rStyle w:val="Hyperlink"/>
            <w:i w:val="0"/>
            <w:noProof/>
            <w:sz w:val="22"/>
            <w:szCs w:val="22"/>
          </w:rPr>
          <w:t>2.1.21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Second Dimension – SDS polyacrylamide gel electrophoresis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_Toc312257719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0" w:history="1">
        <w:r w:rsidR="00591EE2" w:rsidRPr="00591EE2">
          <w:rPr>
            <w:rStyle w:val="Hyperlink"/>
            <w:noProof/>
            <w:sz w:val="22"/>
            <w:szCs w:val="22"/>
          </w:rPr>
          <w:t>2.1.21.1</w:t>
        </w:r>
        <w:r w:rsidR="00591EE2" w:rsidRPr="00591EE2">
          <w:rPr>
            <w:rFonts w:eastAsiaTheme="minorEastAsia"/>
            <w:noProof/>
            <w:sz w:val="22"/>
            <w:szCs w:val="22"/>
            <w:lang w:eastAsia="en-IE"/>
          </w:rPr>
          <w:tab/>
        </w:r>
        <w:r w:rsidR="00591EE2" w:rsidRPr="00591EE2">
          <w:rPr>
            <w:rStyle w:val="Hyperlink"/>
            <w:noProof/>
            <w:sz w:val="22"/>
            <w:szCs w:val="22"/>
          </w:rPr>
          <w:t>Casting gels in the ETTAN Dalt-12 gel caster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1" w:history="1">
        <w:r w:rsidR="00591EE2" w:rsidRPr="00591EE2">
          <w:rPr>
            <w:rStyle w:val="Hyperlink"/>
            <w:noProof/>
            <w:sz w:val="22"/>
            <w:szCs w:val="22"/>
          </w:rPr>
          <w:t>2.1.21.2</w:t>
        </w:r>
        <w:r w:rsidR="00591EE2" w:rsidRPr="00591EE2">
          <w:rPr>
            <w:rFonts w:eastAsiaTheme="minorEastAsia"/>
            <w:noProof/>
            <w:sz w:val="22"/>
            <w:szCs w:val="22"/>
            <w:lang w:eastAsia="en-IE"/>
          </w:rPr>
          <w:tab/>
        </w:r>
        <w:r w:rsidR="00591EE2" w:rsidRPr="00591EE2">
          <w:rPr>
            <w:rStyle w:val="Hyperlink"/>
            <w:noProof/>
            <w:sz w:val="22"/>
            <w:szCs w:val="22"/>
          </w:rPr>
          <w:t>Spot picking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122</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22" w:history="1">
        <w:r w:rsidR="00591EE2" w:rsidRPr="00591EE2">
          <w:rPr>
            <w:rStyle w:val="Hyperlink"/>
            <w:i w:val="0"/>
            <w:noProof/>
            <w:sz w:val="22"/>
            <w:szCs w:val="22"/>
          </w:rPr>
          <w:t>2.1.22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Preparing the ETTAN DALT 12 electrophoresis unit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_Toc312257722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123</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3" w:history="1">
        <w:r w:rsidR="00591EE2" w:rsidRPr="00591EE2">
          <w:rPr>
            <w:rStyle w:val="Hyperlink"/>
            <w:noProof/>
            <w:sz w:val="22"/>
            <w:szCs w:val="22"/>
          </w:rPr>
          <w:t>2.1.22.1</w:t>
        </w:r>
        <w:r w:rsidR="00591EE2" w:rsidRPr="00591EE2">
          <w:rPr>
            <w:rFonts w:eastAsiaTheme="minorEastAsia"/>
            <w:noProof/>
            <w:sz w:val="22"/>
            <w:szCs w:val="22"/>
            <w:lang w:eastAsia="en-IE"/>
          </w:rPr>
          <w:tab/>
        </w:r>
        <w:r w:rsidR="00591EE2" w:rsidRPr="00591EE2">
          <w:rPr>
            <w:rStyle w:val="Hyperlink"/>
            <w:noProof/>
            <w:sz w:val="22"/>
            <w:szCs w:val="22"/>
          </w:rPr>
          <w:t>Equilibration of focussed Immobiline Dry Strips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4" w:history="1">
        <w:r w:rsidR="00591EE2" w:rsidRPr="00591EE2">
          <w:rPr>
            <w:rStyle w:val="Hyperlink"/>
            <w:noProof/>
            <w:sz w:val="22"/>
            <w:szCs w:val="22"/>
          </w:rPr>
          <w:t>2.1.22.2</w:t>
        </w:r>
        <w:r w:rsidR="00591EE2" w:rsidRPr="00591EE2">
          <w:rPr>
            <w:rFonts w:eastAsiaTheme="minorEastAsia"/>
            <w:noProof/>
            <w:sz w:val="22"/>
            <w:szCs w:val="22"/>
            <w:lang w:eastAsia="en-IE"/>
          </w:rPr>
          <w:tab/>
        </w:r>
        <w:r w:rsidR="00591EE2" w:rsidRPr="00591EE2">
          <w:rPr>
            <w:rStyle w:val="Hyperlink"/>
            <w:noProof/>
            <w:sz w:val="22"/>
            <w:szCs w:val="22"/>
          </w:rPr>
          <w:t>Loading the focussed Immobiline DryStrips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5" w:history="1">
        <w:r w:rsidR="00591EE2" w:rsidRPr="00591EE2">
          <w:rPr>
            <w:rStyle w:val="Hyperlink"/>
            <w:noProof/>
            <w:sz w:val="22"/>
            <w:szCs w:val="22"/>
          </w:rPr>
          <w:t>2.1.22.3</w:t>
        </w:r>
        <w:r w:rsidR="00591EE2" w:rsidRPr="00591EE2">
          <w:rPr>
            <w:rFonts w:eastAsiaTheme="minorEastAsia"/>
            <w:noProof/>
            <w:sz w:val="22"/>
            <w:szCs w:val="22"/>
            <w:lang w:eastAsia="en-IE"/>
          </w:rPr>
          <w:tab/>
        </w:r>
        <w:r w:rsidR="00591EE2" w:rsidRPr="00591EE2">
          <w:rPr>
            <w:rStyle w:val="Hyperlink"/>
            <w:noProof/>
            <w:sz w:val="22"/>
            <w:szCs w:val="22"/>
          </w:rPr>
          <w:t>Inserting the gels into the Ettan DALT 12 electrophoresis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124</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27" w:history="1">
        <w:r w:rsidR="00591EE2" w:rsidRPr="00591EE2">
          <w:rPr>
            <w:rStyle w:val="Hyperlink"/>
            <w:i w:val="0"/>
            <w:noProof/>
            <w:sz w:val="22"/>
            <w:szCs w:val="22"/>
          </w:rPr>
          <w:t>2.1.23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Method for scanning DIGE labelled samples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_Toc312257727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125</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8" w:history="1">
        <w:r w:rsidR="00591EE2" w:rsidRPr="00591EE2">
          <w:rPr>
            <w:rStyle w:val="Hyperlink"/>
            <w:noProof/>
            <w:sz w:val="22"/>
            <w:szCs w:val="22"/>
          </w:rPr>
          <w:t>2.1.23.1</w:t>
        </w:r>
        <w:r w:rsidR="00591EE2" w:rsidRPr="00591EE2">
          <w:rPr>
            <w:rFonts w:eastAsiaTheme="minorEastAsia"/>
            <w:noProof/>
            <w:sz w:val="22"/>
            <w:szCs w:val="22"/>
            <w:lang w:eastAsia="en-IE"/>
          </w:rPr>
          <w:tab/>
        </w:r>
        <w:r w:rsidR="00591EE2" w:rsidRPr="00591EE2">
          <w:rPr>
            <w:rStyle w:val="Hyperlink"/>
            <w:noProof/>
            <w:sz w:val="22"/>
            <w:szCs w:val="22"/>
          </w:rPr>
          <w:t>Typhoon Variable Mode Imager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29" w:history="1">
        <w:r w:rsidR="00591EE2" w:rsidRPr="00591EE2">
          <w:rPr>
            <w:rStyle w:val="Hyperlink"/>
            <w:noProof/>
            <w:sz w:val="22"/>
            <w:szCs w:val="22"/>
          </w:rPr>
          <w:t>2.1.23.2</w:t>
        </w:r>
        <w:r w:rsidR="00591EE2" w:rsidRPr="00591EE2">
          <w:rPr>
            <w:rFonts w:eastAsiaTheme="minorEastAsia"/>
            <w:noProof/>
            <w:sz w:val="22"/>
            <w:szCs w:val="22"/>
            <w:lang w:eastAsia="en-IE"/>
          </w:rPr>
          <w:tab/>
        </w:r>
        <w:r w:rsidR="00591EE2" w:rsidRPr="00591EE2">
          <w:rPr>
            <w:rStyle w:val="Hyperlink"/>
            <w:noProof/>
            <w:sz w:val="22"/>
            <w:szCs w:val="22"/>
          </w:rPr>
          <w:t>Gel scanning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_Toc312257729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30" w:history="1">
        <w:r w:rsidR="00591EE2" w:rsidRPr="00591EE2">
          <w:rPr>
            <w:rStyle w:val="Hyperlink"/>
            <w:noProof/>
            <w:sz w:val="22"/>
            <w:szCs w:val="22"/>
          </w:rPr>
          <w:t>2.1.23.3</w:t>
        </w:r>
        <w:r w:rsidR="00591EE2" w:rsidRPr="00591EE2">
          <w:rPr>
            <w:rFonts w:eastAsiaTheme="minorEastAsia"/>
            <w:noProof/>
            <w:sz w:val="22"/>
            <w:szCs w:val="22"/>
            <w:lang w:eastAsia="en-IE"/>
          </w:rPr>
          <w:tab/>
        </w:r>
        <w:r w:rsidR="00591EE2" w:rsidRPr="00591EE2">
          <w:rPr>
            <w:rStyle w:val="Hyperlink"/>
            <w:noProof/>
            <w:sz w:val="22"/>
            <w:szCs w:val="22"/>
          </w:rPr>
          <w:t>Analysis of gel images - Differential in-gel analysis (DIA)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_Toc312257730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125</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1" w:history="1">
        <w:r w:rsidR="00591EE2" w:rsidRPr="00591EE2">
          <w:rPr>
            <w:rStyle w:val="Hyperlink"/>
            <w:i w:val="0"/>
            <w:noProof/>
            <w:sz w:val="22"/>
            <w:szCs w:val="22"/>
          </w:rPr>
          <w:t>2.1.24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Biological variation analysis (BVA)</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_Toc312257731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127</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2" w:history="1">
        <w:r w:rsidR="00591EE2" w:rsidRPr="00591EE2">
          <w:rPr>
            <w:rStyle w:val="Hyperlink"/>
            <w:i w:val="0"/>
            <w:noProof/>
            <w:sz w:val="22"/>
            <w:szCs w:val="22"/>
          </w:rPr>
          <w:t>2.1.25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Brilliant blue G Colloidal coomassie staining of p</w:t>
        </w:r>
        <w:r w:rsidR="00591EE2">
          <w:rPr>
            <w:rStyle w:val="Hyperlink"/>
            <w:i w:val="0"/>
            <w:noProof/>
            <w:sz w:val="22"/>
            <w:szCs w:val="22"/>
          </w:rPr>
          <w:t xml:space="preserve">reparative gels for spot </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127</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33" w:history="1">
        <w:r w:rsidR="00591EE2" w:rsidRPr="00591EE2">
          <w:rPr>
            <w:rStyle w:val="Hyperlink"/>
            <w:noProof/>
            <w:sz w:val="22"/>
            <w:szCs w:val="22"/>
          </w:rPr>
          <w:t>2.1.25.1</w:t>
        </w:r>
        <w:r w:rsidR="00591EE2" w:rsidRPr="00591EE2">
          <w:rPr>
            <w:rFonts w:eastAsiaTheme="minorEastAsia"/>
            <w:noProof/>
            <w:sz w:val="22"/>
            <w:szCs w:val="22"/>
            <w:lang w:eastAsia="en-IE"/>
          </w:rPr>
          <w:tab/>
        </w:r>
        <w:r w:rsidR="00591EE2" w:rsidRPr="00591EE2">
          <w:rPr>
            <w:rStyle w:val="Hyperlink"/>
            <w:noProof/>
            <w:sz w:val="22"/>
            <w:szCs w:val="22"/>
          </w:rPr>
          <w:t>Destaining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_Toc312257733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128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4" w:history="1">
        <w:r w:rsidR="00591EE2" w:rsidRPr="00591EE2">
          <w:rPr>
            <w:rStyle w:val="Hyperlink"/>
            <w:i w:val="0"/>
            <w:noProof/>
            <w:sz w:val="22"/>
            <w:szCs w:val="22"/>
          </w:rPr>
          <w:t>2.1.26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Spot digestion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5" w:history="1">
        <w:r w:rsidR="00591EE2" w:rsidRPr="00591EE2">
          <w:rPr>
            <w:rStyle w:val="Hyperlink"/>
            <w:i w:val="0"/>
            <w:noProof/>
            <w:sz w:val="22"/>
            <w:szCs w:val="22"/>
          </w:rPr>
          <w:t>2.1.27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Ettan Spot Picker robot (GE Healthcare)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6" w:history="1">
        <w:r w:rsidR="00591EE2" w:rsidRPr="00591EE2">
          <w:rPr>
            <w:rStyle w:val="Hyperlink"/>
            <w:i w:val="0"/>
            <w:noProof/>
            <w:sz w:val="22"/>
            <w:szCs w:val="22"/>
          </w:rPr>
          <w:t>2.1.28</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 Identification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129</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7" w:history="1">
        <w:r w:rsidR="00591EE2" w:rsidRPr="00591EE2">
          <w:rPr>
            <w:rStyle w:val="Hyperlink"/>
            <w:i w:val="0"/>
            <w:noProof/>
            <w:sz w:val="22"/>
            <w:szCs w:val="22"/>
          </w:rPr>
          <w:t>2.1.29</w:t>
        </w:r>
        <w:r w:rsidR="00591EE2" w:rsidRPr="00591EE2">
          <w:rPr>
            <w:rFonts w:eastAsiaTheme="minorEastAsia"/>
            <w:i w:val="0"/>
            <w:iCs w:val="0"/>
            <w:noProof/>
            <w:sz w:val="22"/>
            <w:szCs w:val="22"/>
            <w:lang w:eastAsia="en-IE"/>
          </w:rPr>
          <w:tab/>
        </w:r>
        <w:r w:rsidR="00591EE2" w:rsidRPr="00591EE2">
          <w:rPr>
            <w:rStyle w:val="Hyperlink"/>
            <w:i w:val="0"/>
            <w:noProof/>
            <w:sz w:val="22"/>
            <w:szCs w:val="22"/>
          </w:rPr>
          <w:t>Using injection pickup of the LC system</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129</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8" w:history="1">
        <w:r w:rsidR="00591EE2" w:rsidRPr="00591EE2">
          <w:rPr>
            <w:rStyle w:val="Hyperlink"/>
            <w:i w:val="0"/>
            <w:noProof/>
            <w:sz w:val="22"/>
            <w:szCs w:val="22"/>
          </w:rPr>
          <w:t>2.1.30</w:t>
        </w:r>
        <w:r w:rsidR="00591EE2" w:rsidRPr="00591EE2">
          <w:rPr>
            <w:rFonts w:eastAsiaTheme="minorEastAsia"/>
            <w:i w:val="0"/>
            <w:iCs w:val="0"/>
            <w:noProof/>
            <w:sz w:val="22"/>
            <w:szCs w:val="22"/>
            <w:lang w:eastAsia="en-IE"/>
          </w:rPr>
          <w:tab/>
        </w:r>
        <w:r w:rsidR="00591EE2" w:rsidRPr="00591EE2">
          <w:rPr>
            <w:rStyle w:val="Hyperlink"/>
            <w:i w:val="0"/>
            <w:noProof/>
            <w:sz w:val="22"/>
            <w:szCs w:val="22"/>
          </w:rPr>
          <w:t>Identification of peptides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130</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39" w:history="1">
        <w:r w:rsidR="00591EE2" w:rsidRPr="00591EE2">
          <w:rPr>
            <w:rStyle w:val="Hyperlink"/>
            <w:i w:val="0"/>
            <w:noProof/>
            <w:sz w:val="22"/>
            <w:szCs w:val="22"/>
          </w:rPr>
          <w:t>2.1.31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Western blotting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_Toc312257739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131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40" w:history="1">
        <w:r w:rsidR="00591EE2" w:rsidRPr="00591EE2">
          <w:rPr>
            <w:rStyle w:val="Hyperlink"/>
            <w:i w:val="0"/>
            <w:noProof/>
            <w:sz w:val="22"/>
            <w:szCs w:val="22"/>
          </w:rPr>
          <w:t>2.1.32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Enzyme Linked immunosorbant Assay (ELISA)</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_Toc312257740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132</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1" w:history="1">
        <w:r w:rsidR="00591EE2" w:rsidRPr="00591EE2">
          <w:rPr>
            <w:rStyle w:val="Hyperlink"/>
            <w:noProof/>
            <w:sz w:val="22"/>
            <w:szCs w:val="22"/>
          </w:rPr>
          <w:t>2.1.32.1</w:t>
        </w:r>
        <w:r w:rsidR="00591EE2" w:rsidRPr="00591EE2">
          <w:rPr>
            <w:rFonts w:eastAsiaTheme="minorEastAsia"/>
            <w:noProof/>
            <w:sz w:val="22"/>
            <w:szCs w:val="22"/>
            <w:lang w:eastAsia="en-IE"/>
          </w:rPr>
          <w:tab/>
        </w:r>
        <w:r w:rsidR="00591EE2" w:rsidRPr="00591EE2">
          <w:rPr>
            <w:rStyle w:val="Hyperlink"/>
            <w:noProof/>
            <w:sz w:val="22"/>
            <w:szCs w:val="22"/>
          </w:rPr>
          <w:t>Transthyretin (TYR)-Assay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2" w:history="1">
        <w:r w:rsidR="00591EE2" w:rsidRPr="00591EE2">
          <w:rPr>
            <w:rStyle w:val="Hyperlink"/>
            <w:noProof/>
            <w:sz w:val="22"/>
            <w:szCs w:val="22"/>
          </w:rPr>
          <w:t>2.1.32.2</w:t>
        </w:r>
        <w:r w:rsidR="00591EE2" w:rsidRPr="00591EE2">
          <w:rPr>
            <w:rFonts w:eastAsiaTheme="minorEastAsia"/>
            <w:noProof/>
            <w:sz w:val="22"/>
            <w:szCs w:val="22"/>
            <w:lang w:eastAsia="en-IE"/>
          </w:rPr>
          <w:tab/>
        </w:r>
        <w:r w:rsidR="00591EE2" w:rsidRPr="00591EE2">
          <w:rPr>
            <w:rStyle w:val="Hyperlink"/>
            <w:noProof/>
            <w:sz w:val="22"/>
            <w:szCs w:val="22"/>
          </w:rPr>
          <w:t>Zinc-Alpha-2-Glycoprotein (ZAG)-Assay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3" w:history="1">
        <w:r w:rsidR="00591EE2" w:rsidRPr="00591EE2">
          <w:rPr>
            <w:rStyle w:val="Hyperlink"/>
            <w:noProof/>
            <w:sz w:val="22"/>
            <w:szCs w:val="22"/>
          </w:rPr>
          <w:t>2.1.32.3</w:t>
        </w:r>
        <w:r w:rsidR="00591EE2" w:rsidRPr="00591EE2">
          <w:rPr>
            <w:rFonts w:eastAsiaTheme="minorEastAsia"/>
            <w:noProof/>
            <w:sz w:val="22"/>
            <w:szCs w:val="22"/>
            <w:lang w:eastAsia="en-IE"/>
          </w:rPr>
          <w:tab/>
        </w:r>
        <w:r w:rsidR="00591EE2" w:rsidRPr="00591EE2">
          <w:rPr>
            <w:rStyle w:val="Hyperlink"/>
            <w:noProof/>
            <w:sz w:val="22"/>
            <w:szCs w:val="22"/>
          </w:rPr>
          <w:t>Vitamin D binding protein (VDB) - 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4" w:history="1">
        <w:r w:rsidR="00591EE2" w:rsidRPr="00591EE2">
          <w:rPr>
            <w:rStyle w:val="Hyperlink"/>
            <w:noProof/>
            <w:sz w:val="22"/>
            <w:szCs w:val="22"/>
          </w:rPr>
          <w:t>2.1.32.4</w:t>
        </w:r>
        <w:r w:rsidR="00591EE2" w:rsidRPr="00591EE2">
          <w:rPr>
            <w:rFonts w:eastAsiaTheme="minorEastAsia"/>
            <w:noProof/>
            <w:sz w:val="22"/>
            <w:szCs w:val="22"/>
            <w:lang w:eastAsia="en-IE"/>
          </w:rPr>
          <w:tab/>
        </w:r>
        <w:r w:rsidR="00591EE2" w:rsidRPr="00591EE2">
          <w:rPr>
            <w:rStyle w:val="Hyperlink"/>
            <w:noProof/>
            <w:sz w:val="22"/>
            <w:szCs w:val="22"/>
          </w:rPr>
          <w:t>Beta-2-microglobulin (B2M) - 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5" w:history="1">
        <w:r w:rsidR="00591EE2" w:rsidRPr="00591EE2">
          <w:rPr>
            <w:rStyle w:val="Hyperlink"/>
            <w:noProof/>
            <w:sz w:val="22"/>
            <w:szCs w:val="22"/>
          </w:rPr>
          <w:t>2.1.32.5</w:t>
        </w:r>
        <w:r w:rsidR="00591EE2" w:rsidRPr="00591EE2">
          <w:rPr>
            <w:rFonts w:eastAsiaTheme="minorEastAsia"/>
            <w:noProof/>
            <w:sz w:val="22"/>
            <w:szCs w:val="22"/>
            <w:lang w:eastAsia="en-IE"/>
          </w:rPr>
          <w:tab/>
        </w:r>
        <w:r w:rsidR="00591EE2" w:rsidRPr="00591EE2">
          <w:rPr>
            <w:rStyle w:val="Hyperlink"/>
            <w:noProof/>
            <w:sz w:val="22"/>
            <w:szCs w:val="22"/>
          </w:rPr>
          <w:t>Human Serum Amyloid A (SAA) -Assay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137</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6" w:history="1">
        <w:r w:rsidR="00591EE2" w:rsidRPr="00591EE2">
          <w:rPr>
            <w:rStyle w:val="Hyperlink"/>
            <w:noProof/>
            <w:sz w:val="22"/>
            <w:szCs w:val="22"/>
          </w:rPr>
          <w:t>2.1.32.6</w:t>
        </w:r>
        <w:r w:rsidR="00591EE2" w:rsidRPr="00591EE2">
          <w:rPr>
            <w:rFonts w:eastAsiaTheme="minorEastAsia"/>
            <w:noProof/>
            <w:sz w:val="22"/>
            <w:szCs w:val="22"/>
            <w:lang w:eastAsia="en-IE"/>
          </w:rPr>
          <w:tab/>
        </w:r>
        <w:r w:rsidR="00591EE2" w:rsidRPr="00591EE2">
          <w:rPr>
            <w:rStyle w:val="Hyperlink"/>
            <w:noProof/>
            <w:sz w:val="22"/>
            <w:szCs w:val="22"/>
          </w:rPr>
          <w:t>Serum Haptoglobin Precursor (Hp)-Assay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47" w:history="1">
        <w:r w:rsidR="00591EE2" w:rsidRPr="00591EE2">
          <w:rPr>
            <w:rStyle w:val="Hyperlink"/>
            <w:i w:val="0"/>
            <w:noProof/>
            <w:sz w:val="22"/>
            <w:szCs w:val="22"/>
          </w:rPr>
          <w:t>2.1.33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Quantification of thalidomide level in serum</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_Toc312257747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139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8" w:history="1">
        <w:r w:rsidR="00591EE2" w:rsidRPr="00591EE2">
          <w:rPr>
            <w:rStyle w:val="Hyperlink"/>
            <w:noProof/>
            <w:sz w:val="22"/>
            <w:szCs w:val="22"/>
          </w:rPr>
          <w:t>2.1.33.1</w:t>
        </w:r>
        <w:r w:rsidR="00591EE2" w:rsidRPr="00591EE2">
          <w:rPr>
            <w:rFonts w:eastAsiaTheme="minorEastAsia"/>
            <w:noProof/>
            <w:sz w:val="22"/>
            <w:szCs w:val="22"/>
            <w:lang w:eastAsia="en-IE"/>
          </w:rPr>
          <w:tab/>
        </w:r>
        <w:r w:rsidR="00591EE2" w:rsidRPr="00591EE2">
          <w:rPr>
            <w:rStyle w:val="Hyperlink"/>
            <w:noProof/>
            <w:sz w:val="22"/>
            <w:szCs w:val="22"/>
          </w:rPr>
          <w:t>Serum sample preparation for thalidomide level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49" w:history="1">
        <w:r w:rsidR="00591EE2" w:rsidRPr="00591EE2">
          <w:rPr>
            <w:rStyle w:val="Hyperlink"/>
            <w:noProof/>
            <w:sz w:val="22"/>
            <w:szCs w:val="22"/>
          </w:rPr>
          <w:t>2.1.33.2</w:t>
        </w:r>
        <w:r w:rsidR="00591EE2" w:rsidRPr="00591EE2">
          <w:rPr>
            <w:rFonts w:eastAsiaTheme="minorEastAsia"/>
            <w:noProof/>
            <w:sz w:val="22"/>
            <w:szCs w:val="22"/>
            <w:lang w:eastAsia="en-IE"/>
          </w:rPr>
          <w:tab/>
        </w:r>
        <w:r w:rsidR="00591EE2" w:rsidRPr="00591EE2">
          <w:rPr>
            <w:rStyle w:val="Hyperlink"/>
            <w:noProof/>
            <w:sz w:val="22"/>
            <w:szCs w:val="22"/>
          </w:rPr>
          <w:t>Sample handling collection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_Toc312257749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0" w:history="1">
        <w:r w:rsidR="00591EE2" w:rsidRPr="00591EE2">
          <w:rPr>
            <w:rStyle w:val="Hyperlink"/>
            <w:noProof/>
            <w:sz w:val="22"/>
            <w:szCs w:val="22"/>
          </w:rPr>
          <w:t>2.1.33.3</w:t>
        </w:r>
        <w:r w:rsidR="00591EE2" w:rsidRPr="00591EE2">
          <w:rPr>
            <w:rFonts w:eastAsiaTheme="minorEastAsia"/>
            <w:noProof/>
            <w:sz w:val="22"/>
            <w:szCs w:val="22"/>
            <w:lang w:eastAsia="en-IE"/>
          </w:rPr>
          <w:tab/>
        </w:r>
        <w:r w:rsidR="00591EE2" w:rsidRPr="00591EE2">
          <w:rPr>
            <w:rStyle w:val="Hyperlink"/>
            <w:noProof/>
            <w:sz w:val="22"/>
            <w:szCs w:val="22"/>
          </w:rPr>
          <w:t>Safe handling of cytotoxic drugs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1" w:history="1">
        <w:r w:rsidR="00591EE2" w:rsidRPr="00591EE2">
          <w:rPr>
            <w:rStyle w:val="Hyperlink"/>
            <w:noProof/>
            <w:sz w:val="22"/>
            <w:szCs w:val="22"/>
          </w:rPr>
          <w:t>2.1.33.4</w:t>
        </w:r>
        <w:r w:rsidR="00591EE2" w:rsidRPr="00591EE2">
          <w:rPr>
            <w:rFonts w:eastAsiaTheme="minorEastAsia"/>
            <w:noProof/>
            <w:sz w:val="22"/>
            <w:szCs w:val="22"/>
            <w:lang w:eastAsia="en-IE"/>
          </w:rPr>
          <w:tab/>
        </w:r>
        <w:r w:rsidR="00591EE2" w:rsidRPr="00591EE2">
          <w:rPr>
            <w:rStyle w:val="Hyperlink"/>
            <w:noProof/>
            <w:sz w:val="22"/>
            <w:szCs w:val="22"/>
          </w:rPr>
          <w:t>Liquid-liquid extraction procedure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139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2" w:history="1">
        <w:r w:rsidR="00591EE2" w:rsidRPr="00591EE2">
          <w:rPr>
            <w:rStyle w:val="Hyperlink"/>
            <w:noProof/>
            <w:sz w:val="22"/>
            <w:szCs w:val="22"/>
          </w:rPr>
          <w:t>2.1.33.5</w:t>
        </w:r>
        <w:r w:rsidR="00591EE2" w:rsidRPr="00591EE2">
          <w:rPr>
            <w:rFonts w:eastAsiaTheme="minorEastAsia"/>
            <w:noProof/>
            <w:sz w:val="22"/>
            <w:szCs w:val="22"/>
            <w:lang w:eastAsia="en-IE"/>
          </w:rPr>
          <w:tab/>
        </w:r>
        <w:r w:rsidR="00591EE2" w:rsidRPr="00591EE2">
          <w:rPr>
            <w:rStyle w:val="Hyperlink"/>
            <w:noProof/>
            <w:sz w:val="22"/>
            <w:szCs w:val="22"/>
          </w:rPr>
          <w:t>Chromatographic and mass spectrometry conditions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140</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754" w:history="1">
        <w:r w:rsidR="00591EE2" w:rsidRPr="00591EE2">
          <w:rPr>
            <w:rStyle w:val="Hyperlink"/>
            <w:noProof/>
            <w:sz w:val="22"/>
            <w:szCs w:val="22"/>
          </w:rPr>
          <w:t>3.1</w:t>
        </w:r>
        <w:r w:rsidR="00591EE2" w:rsidRPr="00591EE2">
          <w:rPr>
            <w:rFonts w:eastAsiaTheme="minorEastAsia"/>
            <w:smallCaps w:val="0"/>
            <w:noProof/>
            <w:sz w:val="22"/>
            <w:szCs w:val="22"/>
            <w:lang w:eastAsia="en-IE"/>
          </w:rPr>
          <w:tab/>
        </w:r>
        <w:r w:rsidR="00591EE2" w:rsidRPr="00591EE2">
          <w:rPr>
            <w:rStyle w:val="Hyperlink"/>
            <w:noProof/>
            <w:sz w:val="22"/>
            <w:szCs w:val="22"/>
          </w:rPr>
          <w:t>Biological bank Sample sets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142</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55" w:history="1">
        <w:r w:rsidR="00591EE2" w:rsidRPr="00591EE2">
          <w:rPr>
            <w:rStyle w:val="Hyperlink"/>
            <w:i w:val="0"/>
            <w:noProof/>
            <w:sz w:val="22"/>
            <w:szCs w:val="22"/>
          </w:rPr>
          <w:t>3.1.1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Bone marrow sample set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_Toc312257755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143</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6" w:history="1">
        <w:r w:rsidR="00591EE2" w:rsidRPr="00591EE2">
          <w:rPr>
            <w:rStyle w:val="Hyperlink"/>
            <w:noProof/>
            <w:sz w:val="22"/>
            <w:szCs w:val="22"/>
          </w:rPr>
          <w:t>3.1.1.1</w:t>
        </w:r>
        <w:r w:rsidR="00591EE2" w:rsidRPr="00591EE2">
          <w:rPr>
            <w:rFonts w:eastAsiaTheme="minorEastAsia"/>
            <w:noProof/>
            <w:sz w:val="22"/>
            <w:szCs w:val="22"/>
            <w:lang w:eastAsia="en-IE"/>
          </w:rPr>
          <w:tab/>
        </w:r>
        <w:r w:rsidR="00591EE2" w:rsidRPr="00591EE2">
          <w:rPr>
            <w:rStyle w:val="Hyperlink"/>
            <w:noProof/>
            <w:sz w:val="22"/>
            <w:szCs w:val="22"/>
          </w:rPr>
          <w:t>Demographics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7" w:history="1">
        <w:r w:rsidR="00591EE2" w:rsidRPr="00591EE2">
          <w:rPr>
            <w:rStyle w:val="Hyperlink"/>
            <w:noProof/>
            <w:sz w:val="22"/>
            <w:szCs w:val="22"/>
          </w:rPr>
          <w:t>3.1.1.2</w:t>
        </w:r>
        <w:r w:rsidR="00591EE2" w:rsidRPr="00591EE2">
          <w:rPr>
            <w:rFonts w:eastAsiaTheme="minorEastAsia"/>
            <w:noProof/>
            <w:sz w:val="22"/>
            <w:szCs w:val="22"/>
            <w:lang w:eastAsia="en-IE"/>
          </w:rPr>
          <w:tab/>
        </w:r>
        <w:r w:rsidR="00591EE2" w:rsidRPr="00591EE2">
          <w:rPr>
            <w:rStyle w:val="Hyperlink"/>
            <w:noProof/>
            <w:sz w:val="22"/>
            <w:szCs w:val="22"/>
          </w:rPr>
          <w:t>Participant Diagnosis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8" w:history="1">
        <w:r w:rsidR="00591EE2" w:rsidRPr="00591EE2">
          <w:rPr>
            <w:rStyle w:val="Hyperlink"/>
            <w:noProof/>
            <w:sz w:val="22"/>
            <w:szCs w:val="22"/>
          </w:rPr>
          <w:t>3.1.1.3</w:t>
        </w:r>
        <w:r w:rsidR="00591EE2" w:rsidRPr="00591EE2">
          <w:rPr>
            <w:rFonts w:eastAsiaTheme="minorEastAsia"/>
            <w:noProof/>
            <w:sz w:val="22"/>
            <w:szCs w:val="22"/>
            <w:lang w:eastAsia="en-IE"/>
          </w:rPr>
          <w:tab/>
        </w:r>
        <w:r w:rsidR="00591EE2" w:rsidRPr="00591EE2">
          <w:rPr>
            <w:rStyle w:val="Hyperlink"/>
            <w:noProof/>
            <w:sz w:val="22"/>
            <w:szCs w:val="22"/>
          </w:rPr>
          <w:t>Patients with Multiple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59" w:history="1">
        <w:r w:rsidR="00591EE2" w:rsidRPr="00591EE2">
          <w:rPr>
            <w:rStyle w:val="Hyperlink"/>
            <w:noProof/>
            <w:sz w:val="22"/>
            <w:szCs w:val="22"/>
          </w:rPr>
          <w:t>3.1.1.4</w:t>
        </w:r>
        <w:r w:rsidR="00591EE2" w:rsidRPr="00591EE2">
          <w:rPr>
            <w:rFonts w:eastAsiaTheme="minorEastAsia"/>
            <w:noProof/>
            <w:sz w:val="22"/>
            <w:szCs w:val="22"/>
            <w:lang w:eastAsia="en-IE"/>
          </w:rPr>
          <w:tab/>
        </w:r>
        <w:r w:rsidR="00591EE2" w:rsidRPr="00591EE2">
          <w:rPr>
            <w:rStyle w:val="Hyperlink"/>
            <w:noProof/>
            <w:sz w:val="22"/>
            <w:szCs w:val="22"/>
          </w:rPr>
          <w:t>Patients with Smouldering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_Toc312257759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60" w:history="1">
        <w:r w:rsidR="00591EE2" w:rsidRPr="00591EE2">
          <w:rPr>
            <w:rStyle w:val="Hyperlink"/>
            <w:noProof/>
            <w:sz w:val="22"/>
            <w:szCs w:val="22"/>
          </w:rPr>
          <w:t>3.1.1.5</w:t>
        </w:r>
        <w:r w:rsidR="00591EE2" w:rsidRPr="00591EE2">
          <w:rPr>
            <w:rFonts w:eastAsiaTheme="minorEastAsia"/>
            <w:noProof/>
            <w:sz w:val="22"/>
            <w:szCs w:val="22"/>
            <w:lang w:eastAsia="en-IE"/>
          </w:rPr>
          <w:tab/>
        </w:r>
        <w:r w:rsidR="00591EE2" w:rsidRPr="00591EE2">
          <w:rPr>
            <w:rStyle w:val="Hyperlink"/>
            <w:noProof/>
            <w:sz w:val="22"/>
            <w:szCs w:val="22"/>
          </w:rPr>
          <w:t>Patients with Monoclonal gammapathy of unknown significance (MGUS)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146</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61" w:history="1">
        <w:r w:rsidR="00591EE2" w:rsidRPr="00591EE2">
          <w:rPr>
            <w:rStyle w:val="Hyperlink"/>
            <w:noProof/>
            <w:sz w:val="22"/>
            <w:szCs w:val="22"/>
          </w:rPr>
          <w:t>3.1.1.6</w:t>
        </w:r>
        <w:r w:rsidR="00591EE2" w:rsidRPr="00591EE2">
          <w:rPr>
            <w:rFonts w:eastAsiaTheme="minorEastAsia"/>
            <w:noProof/>
            <w:sz w:val="22"/>
            <w:szCs w:val="22"/>
            <w:lang w:eastAsia="en-IE"/>
          </w:rPr>
          <w:tab/>
        </w:r>
        <w:r w:rsidR="00591EE2" w:rsidRPr="00591EE2">
          <w:rPr>
            <w:rStyle w:val="Hyperlink"/>
            <w:noProof/>
            <w:sz w:val="22"/>
            <w:szCs w:val="22"/>
          </w:rPr>
          <w:t>Patients with Plasma cell leukaemia and Plasmacytoma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146</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62" w:history="1">
        <w:r w:rsidR="00591EE2" w:rsidRPr="00591EE2">
          <w:rPr>
            <w:rStyle w:val="Hyperlink"/>
            <w:i w:val="0"/>
            <w:noProof/>
            <w:sz w:val="22"/>
            <w:szCs w:val="22"/>
          </w:rPr>
          <w:t>3.1.2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Serum Samples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_Toc312257762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148</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63" w:history="1">
        <w:r w:rsidR="00591EE2" w:rsidRPr="00591EE2">
          <w:rPr>
            <w:rStyle w:val="Hyperlink"/>
            <w:noProof/>
            <w:sz w:val="22"/>
            <w:szCs w:val="22"/>
          </w:rPr>
          <w:t>3.1.2.1</w:t>
        </w:r>
        <w:r w:rsidR="00591EE2" w:rsidRPr="00591EE2">
          <w:rPr>
            <w:rFonts w:eastAsiaTheme="minorEastAsia"/>
            <w:noProof/>
            <w:sz w:val="22"/>
            <w:szCs w:val="22"/>
            <w:lang w:eastAsia="en-IE"/>
          </w:rPr>
          <w:tab/>
        </w:r>
        <w:r w:rsidR="00591EE2" w:rsidRPr="00591EE2">
          <w:rPr>
            <w:rStyle w:val="Hyperlink"/>
            <w:noProof/>
            <w:sz w:val="22"/>
            <w:szCs w:val="22"/>
          </w:rPr>
          <w:t>Demographics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64" w:history="1">
        <w:r w:rsidR="00591EE2" w:rsidRPr="00591EE2">
          <w:rPr>
            <w:rStyle w:val="Hyperlink"/>
            <w:noProof/>
            <w:sz w:val="22"/>
            <w:szCs w:val="22"/>
          </w:rPr>
          <w:t>3.1.2.2</w:t>
        </w:r>
        <w:r w:rsidR="00591EE2" w:rsidRPr="00591EE2">
          <w:rPr>
            <w:rFonts w:eastAsiaTheme="minorEastAsia"/>
            <w:noProof/>
            <w:sz w:val="22"/>
            <w:szCs w:val="22"/>
            <w:lang w:eastAsia="en-IE"/>
          </w:rPr>
          <w:tab/>
        </w:r>
        <w:r w:rsidR="00591EE2" w:rsidRPr="00591EE2">
          <w:rPr>
            <w:rStyle w:val="Hyperlink"/>
            <w:noProof/>
            <w:sz w:val="22"/>
            <w:szCs w:val="22"/>
          </w:rPr>
          <w:t>Participant Diagnosis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65" w:history="1">
        <w:r w:rsidR="00591EE2" w:rsidRPr="00591EE2">
          <w:rPr>
            <w:rStyle w:val="Hyperlink"/>
            <w:noProof/>
            <w:sz w:val="22"/>
            <w:szCs w:val="22"/>
          </w:rPr>
          <w:t>3.1.2.3</w:t>
        </w:r>
        <w:r w:rsidR="00591EE2" w:rsidRPr="00591EE2">
          <w:rPr>
            <w:rFonts w:eastAsiaTheme="minorEastAsia"/>
            <w:noProof/>
            <w:sz w:val="22"/>
            <w:szCs w:val="22"/>
            <w:lang w:eastAsia="en-IE"/>
          </w:rPr>
          <w:tab/>
        </w:r>
        <w:r w:rsidR="00591EE2" w:rsidRPr="00591EE2">
          <w:rPr>
            <w:rStyle w:val="Hyperlink"/>
            <w:noProof/>
            <w:sz w:val="22"/>
            <w:szCs w:val="22"/>
          </w:rPr>
          <w:t>Multiple myeloma patients samples set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149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766" w:history="1">
        <w:r w:rsidR="00591EE2" w:rsidRPr="00591EE2">
          <w:rPr>
            <w:rStyle w:val="Hyperlink"/>
            <w:noProof/>
            <w:sz w:val="22"/>
            <w:szCs w:val="22"/>
          </w:rPr>
          <w:t>3.2</w:t>
        </w:r>
        <w:r w:rsidR="00591EE2" w:rsidRPr="00591EE2">
          <w:rPr>
            <w:rFonts w:eastAsiaTheme="minorEastAsia"/>
            <w:smallCaps w:val="0"/>
            <w:noProof/>
            <w:sz w:val="22"/>
            <w:szCs w:val="22"/>
            <w:lang w:eastAsia="en-IE"/>
          </w:rPr>
          <w:tab/>
        </w:r>
        <w:r w:rsidR="00591EE2" w:rsidRPr="00591EE2">
          <w:rPr>
            <w:rStyle w:val="Hyperlink"/>
            <w:noProof/>
            <w:sz w:val="22"/>
            <w:szCs w:val="22"/>
          </w:rPr>
          <w:t>2D-DIGE biomarker discovery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_Toc312257766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150</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67" w:history="1">
        <w:r w:rsidR="00591EE2" w:rsidRPr="00591EE2">
          <w:rPr>
            <w:rStyle w:val="Hyperlink"/>
            <w:i w:val="0"/>
            <w:noProof/>
            <w:sz w:val="22"/>
            <w:szCs w:val="22"/>
          </w:rPr>
          <w:t>3.2.1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Patients’ samples data set for 2D-DIGE analysis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_Toc312257767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68" w:history="1">
        <w:r w:rsidR="00591EE2" w:rsidRPr="00591EE2">
          <w:rPr>
            <w:rStyle w:val="Hyperlink"/>
            <w:i w:val="0"/>
            <w:noProof/>
            <w:sz w:val="22"/>
            <w:szCs w:val="22"/>
          </w:rPr>
          <w:t>3.2.2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Age and Response data set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_Toc312257768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69" w:history="1">
        <w:r w:rsidR="00591EE2" w:rsidRPr="00591EE2">
          <w:rPr>
            <w:rStyle w:val="Hyperlink"/>
            <w:i w:val="0"/>
            <w:noProof/>
            <w:sz w:val="22"/>
            <w:szCs w:val="22"/>
          </w:rPr>
          <w:t>3.2.3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Disease staging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_Toc312257769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70" w:history="1">
        <w:r w:rsidR="00591EE2" w:rsidRPr="00591EE2">
          <w:rPr>
            <w:rStyle w:val="Hyperlink"/>
            <w:i w:val="0"/>
            <w:noProof/>
            <w:sz w:val="22"/>
            <w:szCs w:val="22"/>
          </w:rPr>
          <w:t>3.2.4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Treatment protocols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_Toc312257770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71" w:history="1">
        <w:r w:rsidR="00591EE2" w:rsidRPr="00591EE2">
          <w:rPr>
            <w:rStyle w:val="Hyperlink"/>
            <w:noProof/>
            <w:sz w:val="22"/>
            <w:szCs w:val="22"/>
          </w:rPr>
          <w:t>3.2.4.1</w:t>
        </w:r>
        <w:r w:rsidR="00591EE2" w:rsidRPr="00591EE2">
          <w:rPr>
            <w:rFonts w:eastAsiaTheme="minorEastAsia"/>
            <w:noProof/>
            <w:sz w:val="22"/>
            <w:szCs w:val="22"/>
            <w:lang w:eastAsia="en-IE"/>
          </w:rPr>
          <w:tab/>
        </w:r>
        <w:r w:rsidR="00591EE2" w:rsidRPr="00591EE2">
          <w:rPr>
            <w:rStyle w:val="Hyperlink"/>
            <w:noProof/>
            <w:sz w:val="22"/>
            <w:szCs w:val="22"/>
          </w:rPr>
          <w:t>Patients responsive to thalidomide based regimen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72" w:history="1">
        <w:r w:rsidR="00591EE2" w:rsidRPr="00591EE2">
          <w:rPr>
            <w:rStyle w:val="Hyperlink"/>
            <w:noProof/>
            <w:sz w:val="22"/>
            <w:szCs w:val="22"/>
          </w:rPr>
          <w:t>3.2.4.2</w:t>
        </w:r>
        <w:r w:rsidR="00591EE2" w:rsidRPr="00591EE2">
          <w:rPr>
            <w:rFonts w:eastAsiaTheme="minorEastAsia"/>
            <w:noProof/>
            <w:sz w:val="22"/>
            <w:szCs w:val="22"/>
            <w:lang w:eastAsia="en-IE"/>
          </w:rPr>
          <w:tab/>
        </w:r>
        <w:r w:rsidR="00591EE2" w:rsidRPr="00591EE2">
          <w:rPr>
            <w:rStyle w:val="Hyperlink"/>
            <w:noProof/>
            <w:sz w:val="22"/>
            <w:szCs w:val="22"/>
          </w:rPr>
          <w:t>Patients non-responsive to thalidomide based regimen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152</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73" w:history="1">
        <w:r w:rsidR="00591EE2" w:rsidRPr="00591EE2">
          <w:rPr>
            <w:rStyle w:val="Hyperlink"/>
            <w:i w:val="0"/>
            <w:noProof/>
            <w:sz w:val="22"/>
            <w:szCs w:val="22"/>
          </w:rPr>
          <w:t>3.2.5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Patients follow-up post initiation of anti-myeloma treatment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_Toc312257773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153</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74" w:history="1">
        <w:r w:rsidR="00591EE2" w:rsidRPr="00591EE2">
          <w:rPr>
            <w:rStyle w:val="Hyperlink"/>
            <w:i w:val="0"/>
            <w:noProof/>
            <w:sz w:val="22"/>
            <w:szCs w:val="22"/>
          </w:rPr>
          <w:t>3.2.6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Classification of response to thalidomide based treatment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_Toc312257774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153</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75" w:history="1">
        <w:r w:rsidR="00591EE2" w:rsidRPr="00591EE2">
          <w:rPr>
            <w:rStyle w:val="Hyperlink"/>
            <w:noProof/>
            <w:sz w:val="22"/>
            <w:szCs w:val="22"/>
          </w:rPr>
          <w:t>3.2.6.1</w:t>
        </w:r>
        <w:r w:rsidR="00591EE2" w:rsidRPr="00591EE2">
          <w:rPr>
            <w:rFonts w:eastAsiaTheme="minorEastAsia"/>
            <w:noProof/>
            <w:sz w:val="22"/>
            <w:szCs w:val="22"/>
            <w:lang w:eastAsia="en-IE"/>
          </w:rPr>
          <w:tab/>
        </w:r>
        <w:r w:rsidR="00591EE2" w:rsidRPr="00591EE2">
          <w:rPr>
            <w:rStyle w:val="Hyperlink"/>
            <w:noProof/>
            <w:sz w:val="22"/>
            <w:szCs w:val="22"/>
          </w:rPr>
          <w:t>Responders to thalidomide based treatment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76" w:history="1">
        <w:r w:rsidR="00591EE2" w:rsidRPr="00591EE2">
          <w:rPr>
            <w:rStyle w:val="Hyperlink"/>
            <w:noProof/>
            <w:sz w:val="22"/>
            <w:szCs w:val="22"/>
          </w:rPr>
          <w:t>3.2.6.2</w:t>
        </w:r>
        <w:r w:rsidR="00591EE2" w:rsidRPr="00591EE2">
          <w:rPr>
            <w:rFonts w:eastAsiaTheme="minorEastAsia"/>
            <w:noProof/>
            <w:sz w:val="22"/>
            <w:szCs w:val="22"/>
            <w:lang w:eastAsia="en-IE"/>
          </w:rPr>
          <w:tab/>
        </w:r>
        <w:r w:rsidR="00591EE2" w:rsidRPr="00591EE2">
          <w:rPr>
            <w:rStyle w:val="Hyperlink"/>
            <w:noProof/>
            <w:sz w:val="22"/>
            <w:szCs w:val="22"/>
          </w:rPr>
          <w:t>Complete response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77" w:history="1">
        <w:r w:rsidR="00591EE2" w:rsidRPr="00591EE2">
          <w:rPr>
            <w:rStyle w:val="Hyperlink"/>
            <w:noProof/>
            <w:sz w:val="22"/>
            <w:szCs w:val="22"/>
          </w:rPr>
          <w:t>3.2.6.3</w:t>
        </w:r>
        <w:r w:rsidR="00591EE2" w:rsidRPr="00591EE2">
          <w:rPr>
            <w:rFonts w:eastAsiaTheme="minorEastAsia"/>
            <w:noProof/>
            <w:sz w:val="22"/>
            <w:szCs w:val="22"/>
            <w:lang w:eastAsia="en-IE"/>
          </w:rPr>
          <w:tab/>
        </w:r>
        <w:r w:rsidR="00591EE2" w:rsidRPr="00591EE2">
          <w:rPr>
            <w:rStyle w:val="Hyperlink"/>
            <w:noProof/>
            <w:sz w:val="22"/>
            <w:szCs w:val="22"/>
          </w:rPr>
          <w:t>Very good partial response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153</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78" w:history="1">
        <w:r w:rsidR="00591EE2" w:rsidRPr="00591EE2">
          <w:rPr>
            <w:rStyle w:val="Hyperlink"/>
            <w:i w:val="0"/>
            <w:noProof/>
            <w:sz w:val="22"/>
            <w:szCs w:val="22"/>
          </w:rPr>
          <w:t>3.2.7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Non-responders to thalidomide based treatment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_Toc312257778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153</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779" w:history="1">
        <w:r w:rsidR="00591EE2" w:rsidRPr="00591EE2">
          <w:rPr>
            <w:rStyle w:val="Hyperlink"/>
            <w:noProof/>
            <w:sz w:val="22"/>
            <w:szCs w:val="22"/>
          </w:rPr>
          <w:t>3.3</w:t>
        </w:r>
        <w:r w:rsidR="00591EE2" w:rsidRPr="00591EE2">
          <w:rPr>
            <w:rFonts w:eastAsiaTheme="minorEastAsia"/>
            <w:smallCaps w:val="0"/>
            <w:noProof/>
            <w:sz w:val="22"/>
            <w:szCs w:val="22"/>
            <w:lang w:eastAsia="en-IE"/>
          </w:rPr>
          <w:tab/>
        </w:r>
        <w:r w:rsidR="00591EE2" w:rsidRPr="00591EE2">
          <w:rPr>
            <w:rStyle w:val="Hyperlink"/>
            <w:noProof/>
            <w:sz w:val="22"/>
            <w:szCs w:val="22"/>
          </w:rPr>
          <w:t>2D-DIGE and Proteomic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_Toc312257779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156</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0" w:history="1">
        <w:r w:rsidR="00591EE2" w:rsidRPr="00591EE2">
          <w:rPr>
            <w:rStyle w:val="Hyperlink"/>
            <w:i w:val="0"/>
            <w:noProof/>
            <w:sz w:val="22"/>
            <w:szCs w:val="22"/>
          </w:rPr>
          <w:t>3.3.1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Serum Immunodepletion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156</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1" w:history="1">
        <w:r w:rsidR="00591EE2" w:rsidRPr="00591EE2">
          <w:rPr>
            <w:rStyle w:val="Hyperlink"/>
            <w:i w:val="0"/>
            <w:noProof/>
            <w:sz w:val="22"/>
            <w:szCs w:val="22"/>
          </w:rPr>
          <w:t>3.3.2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Western blot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_Toc312257781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157</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2" w:history="1">
        <w:r w:rsidR="00591EE2" w:rsidRPr="00591EE2">
          <w:rPr>
            <w:rStyle w:val="Hyperlink"/>
            <w:i w:val="0"/>
            <w:noProof/>
            <w:sz w:val="22"/>
            <w:szCs w:val="22"/>
          </w:rPr>
          <w:t>3.3.3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Proteomic profiling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158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3" w:history="1">
        <w:r w:rsidR="00591EE2" w:rsidRPr="00591EE2">
          <w:rPr>
            <w:rStyle w:val="Hyperlink"/>
            <w:i w:val="0"/>
            <w:noProof/>
            <w:sz w:val="22"/>
            <w:szCs w:val="22"/>
          </w:rPr>
          <w:t>3.3.4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 Identification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161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4" w:history="1">
        <w:r w:rsidR="00591EE2" w:rsidRPr="00591EE2">
          <w:rPr>
            <w:rStyle w:val="Hyperlink"/>
            <w:i w:val="0"/>
            <w:noProof/>
            <w:sz w:val="22"/>
            <w:szCs w:val="22"/>
          </w:rPr>
          <w:t>3.3.5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Proteins abundance level</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161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85" w:history="1">
        <w:r w:rsidR="00591EE2" w:rsidRPr="00591EE2">
          <w:rPr>
            <w:rStyle w:val="Hyperlink"/>
            <w:noProof/>
            <w:sz w:val="22"/>
            <w:szCs w:val="22"/>
          </w:rPr>
          <w:t>3.3.5.1</w:t>
        </w:r>
        <w:r w:rsidR="00591EE2" w:rsidRPr="00591EE2">
          <w:rPr>
            <w:rFonts w:eastAsiaTheme="minorEastAsia"/>
            <w:noProof/>
            <w:sz w:val="22"/>
            <w:szCs w:val="22"/>
            <w:lang w:eastAsia="en-IE"/>
          </w:rPr>
          <w:tab/>
        </w:r>
        <w:r w:rsidR="00591EE2" w:rsidRPr="00591EE2">
          <w:rPr>
            <w:rStyle w:val="Hyperlink"/>
            <w:noProof/>
            <w:sz w:val="22"/>
            <w:szCs w:val="22"/>
          </w:rPr>
          <w:t>Proteins with higher abundance level in non-responders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_Toc312257785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161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86" w:history="1">
        <w:r w:rsidR="00591EE2" w:rsidRPr="00591EE2">
          <w:rPr>
            <w:rStyle w:val="Hyperlink"/>
            <w:noProof/>
            <w:sz w:val="22"/>
            <w:szCs w:val="22"/>
          </w:rPr>
          <w:t>3.3.5.2</w:t>
        </w:r>
        <w:r w:rsidR="00591EE2" w:rsidRPr="00591EE2">
          <w:rPr>
            <w:rFonts w:eastAsiaTheme="minorEastAsia"/>
            <w:noProof/>
            <w:sz w:val="22"/>
            <w:szCs w:val="22"/>
            <w:lang w:eastAsia="en-IE"/>
          </w:rPr>
          <w:tab/>
        </w:r>
        <w:r w:rsidR="00591EE2" w:rsidRPr="00591EE2">
          <w:rPr>
            <w:rStyle w:val="Hyperlink"/>
            <w:noProof/>
            <w:sz w:val="22"/>
            <w:szCs w:val="22"/>
          </w:rPr>
          <w:t>Protein with lower abundance level in non-responders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_Toc312257786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162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787" w:history="1">
        <w:r w:rsidR="00591EE2" w:rsidRPr="00591EE2">
          <w:rPr>
            <w:rStyle w:val="Hyperlink"/>
            <w:noProof/>
            <w:sz w:val="22"/>
            <w:szCs w:val="22"/>
          </w:rPr>
          <w:t>3.4</w:t>
        </w:r>
        <w:r w:rsidR="00591EE2" w:rsidRPr="00591EE2">
          <w:rPr>
            <w:rFonts w:eastAsiaTheme="minorEastAsia"/>
            <w:smallCaps w:val="0"/>
            <w:noProof/>
            <w:sz w:val="22"/>
            <w:szCs w:val="22"/>
            <w:lang w:eastAsia="en-IE"/>
          </w:rPr>
          <w:tab/>
        </w:r>
        <w:r w:rsidR="00591EE2" w:rsidRPr="00591EE2">
          <w:rPr>
            <w:rStyle w:val="Hyperlink"/>
            <w:noProof/>
            <w:sz w:val="22"/>
            <w:szCs w:val="22"/>
          </w:rPr>
          <w:t xml:space="preserve">ELISA values and 2D-DIGE data corresponding ROC curve </w:t>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88" w:history="1">
        <w:r w:rsidR="00591EE2" w:rsidRPr="00591EE2">
          <w:rPr>
            <w:rStyle w:val="Hyperlink"/>
            <w:i w:val="0"/>
            <w:noProof/>
            <w:sz w:val="22"/>
            <w:szCs w:val="22"/>
          </w:rPr>
          <w:t>3.4.1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ELISA values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_Toc312257788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170</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789" w:history="1">
        <w:r w:rsidR="00591EE2" w:rsidRPr="00591EE2">
          <w:rPr>
            <w:rStyle w:val="Hyperlink"/>
            <w:noProof/>
            <w:sz w:val="22"/>
            <w:szCs w:val="22"/>
          </w:rPr>
          <w:t>3.5</w:t>
        </w:r>
        <w:r w:rsidR="00591EE2" w:rsidRPr="00591EE2">
          <w:rPr>
            <w:rFonts w:eastAsiaTheme="minorEastAsia"/>
            <w:smallCaps w:val="0"/>
            <w:noProof/>
            <w:sz w:val="22"/>
            <w:szCs w:val="22"/>
            <w:lang w:eastAsia="en-IE"/>
          </w:rPr>
          <w:tab/>
        </w:r>
        <w:r w:rsidR="00591EE2" w:rsidRPr="00591EE2">
          <w:rPr>
            <w:rStyle w:val="Hyperlink"/>
            <w:noProof/>
            <w:sz w:val="22"/>
            <w:szCs w:val="22"/>
          </w:rPr>
          <w:t>Scatter diagrams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_Toc312257789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174</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90" w:history="1">
        <w:r w:rsidR="00591EE2" w:rsidRPr="00591EE2">
          <w:rPr>
            <w:rStyle w:val="Hyperlink"/>
            <w:i w:val="0"/>
            <w:noProof/>
            <w:sz w:val="22"/>
            <w:szCs w:val="22"/>
          </w:rPr>
          <w:t>3.5.1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2D-DIGE data corresponding ROC curve analysis using ELISA value.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_Toc312257790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181</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1" w:history="1">
        <w:r w:rsidR="00591EE2" w:rsidRPr="00591EE2">
          <w:rPr>
            <w:rStyle w:val="Hyperlink"/>
            <w:noProof/>
            <w:sz w:val="22"/>
            <w:szCs w:val="22"/>
          </w:rPr>
          <w:t>3.5.1.1</w:t>
        </w:r>
        <w:r w:rsidR="00591EE2" w:rsidRPr="00591EE2">
          <w:rPr>
            <w:rFonts w:eastAsiaTheme="minorEastAsia"/>
            <w:noProof/>
            <w:sz w:val="22"/>
            <w:szCs w:val="22"/>
            <w:lang w:eastAsia="en-IE"/>
          </w:rPr>
          <w:tab/>
        </w:r>
        <w:r w:rsidR="00591EE2" w:rsidRPr="00591EE2">
          <w:rPr>
            <w:rStyle w:val="Hyperlink"/>
            <w:noProof/>
            <w:sz w:val="22"/>
            <w:szCs w:val="22"/>
          </w:rPr>
          <w:t>Zinc alpha 2-glycoprotein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181</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2" w:history="1">
        <w:r w:rsidR="00591EE2" w:rsidRPr="00591EE2">
          <w:rPr>
            <w:rStyle w:val="Hyperlink"/>
            <w:noProof/>
            <w:sz w:val="22"/>
            <w:szCs w:val="22"/>
          </w:rPr>
          <w:t>3.5.1.2</w:t>
        </w:r>
        <w:r w:rsidR="00591EE2" w:rsidRPr="00591EE2">
          <w:rPr>
            <w:rFonts w:eastAsiaTheme="minorEastAsia"/>
            <w:noProof/>
            <w:sz w:val="22"/>
            <w:szCs w:val="22"/>
            <w:lang w:eastAsia="en-IE"/>
          </w:rPr>
          <w:tab/>
        </w:r>
        <w:r w:rsidR="00591EE2" w:rsidRPr="00591EE2">
          <w:rPr>
            <w:rStyle w:val="Hyperlink"/>
            <w:noProof/>
            <w:sz w:val="22"/>
            <w:szCs w:val="22"/>
          </w:rPr>
          <w:t>Serum Amyloid A protein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184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3" w:history="1">
        <w:r w:rsidR="00591EE2" w:rsidRPr="00591EE2">
          <w:rPr>
            <w:rStyle w:val="Hyperlink"/>
            <w:noProof/>
            <w:sz w:val="22"/>
            <w:szCs w:val="22"/>
          </w:rPr>
          <w:t>3.5.1.3</w:t>
        </w:r>
        <w:r w:rsidR="00591EE2" w:rsidRPr="00591EE2">
          <w:rPr>
            <w:rFonts w:eastAsiaTheme="minorEastAsia"/>
            <w:noProof/>
            <w:sz w:val="22"/>
            <w:szCs w:val="22"/>
            <w:lang w:eastAsia="en-IE"/>
          </w:rPr>
          <w:tab/>
        </w:r>
        <w:r w:rsidR="00591EE2" w:rsidRPr="00591EE2">
          <w:rPr>
            <w:rStyle w:val="Hyperlink"/>
            <w:noProof/>
            <w:sz w:val="22"/>
            <w:szCs w:val="22"/>
          </w:rPr>
          <w:t>Serum Haptoglobin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187</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4" w:history="1">
        <w:r w:rsidR="00591EE2" w:rsidRPr="00591EE2">
          <w:rPr>
            <w:rStyle w:val="Hyperlink"/>
            <w:noProof/>
            <w:sz w:val="22"/>
            <w:szCs w:val="22"/>
          </w:rPr>
          <w:t>3.5.1.4</w:t>
        </w:r>
        <w:r w:rsidR="00591EE2" w:rsidRPr="00591EE2">
          <w:rPr>
            <w:rFonts w:eastAsiaTheme="minorEastAsia"/>
            <w:noProof/>
            <w:sz w:val="22"/>
            <w:szCs w:val="22"/>
            <w:lang w:eastAsia="en-IE"/>
          </w:rPr>
          <w:tab/>
        </w:r>
        <w:r w:rsidR="00591EE2" w:rsidRPr="00591EE2">
          <w:rPr>
            <w:rStyle w:val="Hyperlink"/>
            <w:noProof/>
            <w:sz w:val="22"/>
            <w:szCs w:val="22"/>
          </w:rPr>
          <w:t>Vitamin D binding Precursor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190</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5" w:history="1">
        <w:r w:rsidR="00591EE2" w:rsidRPr="00591EE2">
          <w:rPr>
            <w:rStyle w:val="Hyperlink"/>
            <w:noProof/>
            <w:sz w:val="22"/>
            <w:szCs w:val="22"/>
          </w:rPr>
          <w:t>3.5.1.5</w:t>
        </w:r>
        <w:r w:rsidR="00591EE2" w:rsidRPr="00591EE2">
          <w:rPr>
            <w:rFonts w:eastAsiaTheme="minorEastAsia"/>
            <w:noProof/>
            <w:sz w:val="22"/>
            <w:szCs w:val="22"/>
            <w:lang w:eastAsia="en-IE"/>
          </w:rPr>
          <w:tab/>
        </w:r>
        <w:r w:rsidR="00591EE2" w:rsidRPr="00591EE2">
          <w:rPr>
            <w:rStyle w:val="Hyperlink"/>
            <w:noProof/>
            <w:sz w:val="22"/>
            <w:szCs w:val="22"/>
          </w:rPr>
          <w:t>Beta 2-microglobulin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192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6" w:history="1">
        <w:r w:rsidR="00591EE2" w:rsidRPr="00591EE2">
          <w:rPr>
            <w:rStyle w:val="Hyperlink"/>
            <w:noProof/>
            <w:sz w:val="22"/>
            <w:szCs w:val="22"/>
          </w:rPr>
          <w:t>3.5.1.6</w:t>
        </w:r>
        <w:r w:rsidR="00591EE2" w:rsidRPr="00591EE2">
          <w:rPr>
            <w:rFonts w:eastAsiaTheme="minorEastAsia"/>
            <w:noProof/>
            <w:sz w:val="22"/>
            <w:szCs w:val="22"/>
            <w:lang w:eastAsia="en-IE"/>
          </w:rPr>
          <w:tab/>
        </w:r>
        <w:r w:rsidR="00591EE2" w:rsidRPr="00591EE2">
          <w:rPr>
            <w:rStyle w:val="Hyperlink"/>
            <w:noProof/>
            <w:sz w:val="22"/>
            <w:szCs w:val="22"/>
          </w:rPr>
          <w:t>Transthyretin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194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797" w:history="1">
        <w:r w:rsidR="00591EE2" w:rsidRPr="00591EE2">
          <w:rPr>
            <w:rStyle w:val="Hyperlink"/>
            <w:noProof/>
            <w:sz w:val="22"/>
            <w:szCs w:val="22"/>
          </w:rPr>
          <w:t>3.5.1.7</w:t>
        </w:r>
        <w:r w:rsidR="00591EE2" w:rsidRPr="00591EE2">
          <w:rPr>
            <w:rFonts w:eastAsiaTheme="minorEastAsia"/>
            <w:noProof/>
            <w:sz w:val="22"/>
            <w:szCs w:val="22"/>
            <w:lang w:eastAsia="en-IE"/>
          </w:rPr>
          <w:tab/>
        </w:r>
        <w:r w:rsidR="00591EE2" w:rsidRPr="00591EE2">
          <w:rPr>
            <w:rStyle w:val="Hyperlink"/>
            <w:noProof/>
            <w:sz w:val="22"/>
            <w:szCs w:val="22"/>
          </w:rPr>
          <w:t>Protein Spot number 346</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_Toc312257797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197</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98" w:history="1">
        <w:r w:rsidR="00591EE2" w:rsidRPr="00591EE2">
          <w:rPr>
            <w:rStyle w:val="Hyperlink"/>
            <w:i w:val="0"/>
            <w:noProof/>
            <w:sz w:val="22"/>
            <w:szCs w:val="22"/>
          </w:rPr>
          <w:t>3.5.2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Principal Components Analysis (PCA)</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_Toc312257798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198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799" w:history="1">
        <w:r w:rsidR="00591EE2" w:rsidRPr="00591EE2">
          <w:rPr>
            <w:rStyle w:val="Hyperlink"/>
            <w:i w:val="0"/>
            <w:noProof/>
            <w:sz w:val="22"/>
            <w:szCs w:val="22"/>
          </w:rPr>
          <w:t>3.5.3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Statistical analysis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_Toc312257799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205</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0" w:history="1">
        <w:r w:rsidR="00591EE2" w:rsidRPr="00591EE2">
          <w:rPr>
            <w:rStyle w:val="Hyperlink"/>
            <w:noProof/>
            <w:sz w:val="22"/>
            <w:szCs w:val="22"/>
          </w:rPr>
          <w:t>3.5.3.1</w:t>
        </w:r>
        <w:r w:rsidR="00591EE2" w:rsidRPr="00591EE2">
          <w:rPr>
            <w:rFonts w:eastAsiaTheme="minorEastAsia"/>
            <w:noProof/>
            <w:sz w:val="22"/>
            <w:szCs w:val="22"/>
            <w:lang w:eastAsia="en-IE"/>
          </w:rPr>
          <w:tab/>
        </w:r>
        <w:r w:rsidR="00591EE2" w:rsidRPr="00591EE2">
          <w:rPr>
            <w:rStyle w:val="Hyperlink"/>
            <w:noProof/>
            <w:sz w:val="22"/>
            <w:szCs w:val="22"/>
          </w:rPr>
          <w:t>Logistic regression (LR)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205</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1" w:history="1">
        <w:r w:rsidR="00591EE2" w:rsidRPr="00591EE2">
          <w:rPr>
            <w:rStyle w:val="Hyperlink"/>
            <w:noProof/>
            <w:sz w:val="22"/>
            <w:szCs w:val="22"/>
          </w:rPr>
          <w:t>3.5.3.2</w:t>
        </w:r>
        <w:r w:rsidR="00591EE2" w:rsidRPr="00591EE2">
          <w:rPr>
            <w:rFonts w:eastAsiaTheme="minorEastAsia"/>
            <w:noProof/>
            <w:sz w:val="22"/>
            <w:szCs w:val="22"/>
            <w:lang w:eastAsia="en-IE"/>
          </w:rPr>
          <w:tab/>
        </w:r>
        <w:r w:rsidR="00591EE2" w:rsidRPr="00591EE2">
          <w:rPr>
            <w:rStyle w:val="Hyperlink"/>
            <w:noProof/>
            <w:sz w:val="22"/>
            <w:szCs w:val="22"/>
          </w:rPr>
          <w:t>Area under the curve (AUC)</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205</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02" w:history="1">
        <w:r w:rsidR="00591EE2" w:rsidRPr="00591EE2">
          <w:rPr>
            <w:rStyle w:val="Hyperlink"/>
            <w:i w:val="0"/>
            <w:noProof/>
            <w:sz w:val="22"/>
            <w:szCs w:val="22"/>
          </w:rPr>
          <w:t>3.5.4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A Leave-one-out-cross-validation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_Toc312257802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210</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3" w:history="1">
        <w:r w:rsidR="00591EE2" w:rsidRPr="00591EE2">
          <w:rPr>
            <w:rStyle w:val="Hyperlink"/>
            <w:noProof/>
            <w:sz w:val="22"/>
            <w:szCs w:val="22"/>
          </w:rPr>
          <w:t>3.5.4.1</w:t>
        </w:r>
        <w:r w:rsidR="00591EE2" w:rsidRPr="00591EE2">
          <w:rPr>
            <w:rFonts w:eastAsiaTheme="minorEastAsia"/>
            <w:noProof/>
            <w:sz w:val="22"/>
            <w:szCs w:val="22"/>
            <w:lang w:eastAsia="en-IE"/>
          </w:rPr>
          <w:tab/>
        </w:r>
        <w:r w:rsidR="00591EE2" w:rsidRPr="00591EE2">
          <w:rPr>
            <w:rStyle w:val="Hyperlink"/>
            <w:noProof/>
            <w:sz w:val="22"/>
            <w:szCs w:val="22"/>
          </w:rPr>
          <w:t>Calculation of non-response probability using discovered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210</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4" w:history="1">
        <w:r w:rsidR="00591EE2" w:rsidRPr="00591EE2">
          <w:rPr>
            <w:rStyle w:val="Hyperlink"/>
            <w:noProof/>
            <w:sz w:val="22"/>
            <w:szCs w:val="22"/>
          </w:rPr>
          <w:t>3.5.4.2</w:t>
        </w:r>
        <w:r w:rsidR="00591EE2" w:rsidRPr="00591EE2">
          <w:rPr>
            <w:rFonts w:eastAsiaTheme="minorEastAsia"/>
            <w:noProof/>
            <w:sz w:val="22"/>
            <w:szCs w:val="22"/>
            <w:lang w:eastAsia="en-IE"/>
          </w:rPr>
          <w:tab/>
        </w:r>
        <w:r w:rsidR="00591EE2" w:rsidRPr="00591EE2">
          <w:rPr>
            <w:rStyle w:val="Hyperlink"/>
            <w:noProof/>
            <w:sz w:val="22"/>
            <w:szCs w:val="22"/>
          </w:rPr>
          <w:t>Other successful combinations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211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05" w:history="1">
        <w:r w:rsidR="00591EE2" w:rsidRPr="00591EE2">
          <w:rPr>
            <w:rStyle w:val="Hyperlink"/>
            <w:i w:val="0"/>
            <w:noProof/>
            <w:sz w:val="22"/>
            <w:szCs w:val="22"/>
          </w:rPr>
          <w:t>3.5.5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Non-response probability using other independent variables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_Toc312257805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217</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6" w:history="1">
        <w:r w:rsidR="00591EE2" w:rsidRPr="00591EE2">
          <w:rPr>
            <w:rStyle w:val="Hyperlink"/>
            <w:noProof/>
            <w:sz w:val="22"/>
            <w:szCs w:val="22"/>
          </w:rPr>
          <w:t>3.5.5.1</w:t>
        </w:r>
        <w:r w:rsidR="00591EE2" w:rsidRPr="00591EE2">
          <w:rPr>
            <w:rFonts w:eastAsiaTheme="minorEastAsia"/>
            <w:noProof/>
            <w:sz w:val="22"/>
            <w:szCs w:val="22"/>
            <w:lang w:eastAsia="en-IE"/>
          </w:rPr>
          <w:tab/>
        </w:r>
        <w:r w:rsidR="00591EE2" w:rsidRPr="00591EE2">
          <w:rPr>
            <w:rStyle w:val="Hyperlink"/>
            <w:noProof/>
            <w:sz w:val="22"/>
            <w:szCs w:val="22"/>
          </w:rPr>
          <w:t>Serum C reactive protein (CRP) at diagnosis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217</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7" w:history="1">
        <w:r w:rsidR="00591EE2" w:rsidRPr="00591EE2">
          <w:rPr>
            <w:rStyle w:val="Hyperlink"/>
            <w:noProof/>
            <w:sz w:val="22"/>
            <w:szCs w:val="22"/>
          </w:rPr>
          <w:t>3.5.5.2</w:t>
        </w:r>
        <w:r w:rsidR="00591EE2" w:rsidRPr="00591EE2">
          <w:rPr>
            <w:rFonts w:eastAsiaTheme="minorEastAsia"/>
            <w:noProof/>
            <w:sz w:val="22"/>
            <w:szCs w:val="22"/>
            <w:lang w:eastAsia="en-IE"/>
          </w:rPr>
          <w:tab/>
        </w:r>
        <w:r w:rsidR="00591EE2" w:rsidRPr="00591EE2">
          <w:rPr>
            <w:rStyle w:val="Hyperlink"/>
            <w:noProof/>
            <w:sz w:val="22"/>
            <w:szCs w:val="22"/>
          </w:rPr>
          <w:t>Patients age at diagnosis and the predictive model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220</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8" w:history="1">
        <w:r w:rsidR="00591EE2" w:rsidRPr="00591EE2">
          <w:rPr>
            <w:rStyle w:val="Hyperlink"/>
            <w:noProof/>
            <w:sz w:val="22"/>
            <w:szCs w:val="22"/>
          </w:rPr>
          <w:t>3.5.5.3</w:t>
        </w:r>
        <w:r w:rsidR="00591EE2" w:rsidRPr="00591EE2">
          <w:rPr>
            <w:rFonts w:eastAsiaTheme="minorEastAsia"/>
            <w:noProof/>
            <w:sz w:val="22"/>
            <w:szCs w:val="22"/>
            <w:lang w:eastAsia="en-IE"/>
          </w:rPr>
          <w:tab/>
        </w:r>
        <w:r w:rsidR="00591EE2" w:rsidRPr="00591EE2">
          <w:rPr>
            <w:rStyle w:val="Hyperlink"/>
            <w:noProof/>
            <w:sz w:val="22"/>
            <w:szCs w:val="22"/>
          </w:rPr>
          <w:t>Patients haemoglobin level at diagnosis and the predictive model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224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09" w:history="1">
        <w:r w:rsidR="00591EE2" w:rsidRPr="00591EE2">
          <w:rPr>
            <w:rStyle w:val="Hyperlink"/>
            <w:noProof/>
            <w:sz w:val="22"/>
            <w:szCs w:val="22"/>
          </w:rPr>
          <w:t>3.5.5.4</w:t>
        </w:r>
        <w:r w:rsidR="00591EE2" w:rsidRPr="00591EE2">
          <w:rPr>
            <w:rFonts w:eastAsiaTheme="minorEastAsia"/>
            <w:noProof/>
            <w:sz w:val="22"/>
            <w:szCs w:val="22"/>
            <w:lang w:eastAsia="en-IE"/>
          </w:rPr>
          <w:tab/>
        </w:r>
        <w:r w:rsidR="00591EE2" w:rsidRPr="00591EE2">
          <w:rPr>
            <w:rStyle w:val="Hyperlink"/>
            <w:noProof/>
            <w:sz w:val="22"/>
            <w:szCs w:val="22"/>
          </w:rPr>
          <w:t>Patients clinical follow-up</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_Toc312257809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227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10" w:history="1">
        <w:r w:rsidR="00591EE2" w:rsidRPr="00591EE2">
          <w:rPr>
            <w:rStyle w:val="Hyperlink"/>
            <w:noProof/>
            <w:sz w:val="22"/>
            <w:szCs w:val="22"/>
          </w:rPr>
          <w:t>3.6</w:t>
        </w:r>
        <w:r w:rsidR="00591EE2" w:rsidRPr="00591EE2">
          <w:rPr>
            <w:rFonts w:eastAsiaTheme="minorEastAsia"/>
            <w:smallCaps w:val="0"/>
            <w:noProof/>
            <w:sz w:val="22"/>
            <w:szCs w:val="22"/>
            <w:lang w:eastAsia="en-IE"/>
          </w:rPr>
          <w:tab/>
        </w:r>
        <w:r w:rsidR="00591EE2" w:rsidRPr="00591EE2">
          <w:rPr>
            <w:rStyle w:val="Hyperlink"/>
            <w:noProof/>
            <w:sz w:val="22"/>
            <w:szCs w:val="22"/>
          </w:rPr>
          <w:t>Examination of the effect of various storage times and temperatures on the serum level of discovered protein biomarkers (Hp, VDB, SAA) in multiple myeloma patients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_Toc312257810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231</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1" w:history="1">
        <w:r w:rsidR="00591EE2" w:rsidRPr="00591EE2">
          <w:rPr>
            <w:rStyle w:val="Hyperlink"/>
            <w:i w:val="0"/>
            <w:noProof/>
            <w:sz w:val="22"/>
            <w:szCs w:val="22"/>
          </w:rPr>
          <w:t>3.6.1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Background</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_Toc312257811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2" w:history="1">
        <w:r w:rsidR="00591EE2" w:rsidRPr="00591EE2">
          <w:rPr>
            <w:rStyle w:val="Hyperlink"/>
            <w:i w:val="0"/>
            <w:noProof/>
            <w:sz w:val="22"/>
            <w:szCs w:val="22"/>
          </w:rPr>
          <w:t>3.6.2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Strict protocols for serum sample collection and storage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_Toc312257812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3" w:history="1">
        <w:r w:rsidR="00591EE2" w:rsidRPr="00591EE2">
          <w:rPr>
            <w:rStyle w:val="Hyperlink"/>
            <w:i w:val="0"/>
            <w:noProof/>
            <w:sz w:val="22"/>
            <w:szCs w:val="22"/>
          </w:rPr>
          <w:t>3.6.3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Disadvantages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_Toc312257813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4" w:history="1">
        <w:r w:rsidR="00591EE2" w:rsidRPr="00591EE2">
          <w:rPr>
            <w:rStyle w:val="Hyperlink"/>
            <w:i w:val="0"/>
            <w:noProof/>
            <w:sz w:val="22"/>
            <w:szCs w:val="22"/>
          </w:rPr>
          <w:t>3.6.4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Hypothesis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232</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5" w:history="1">
        <w:r w:rsidR="00591EE2" w:rsidRPr="00591EE2">
          <w:rPr>
            <w:rStyle w:val="Hyperlink"/>
            <w:i w:val="0"/>
            <w:noProof/>
            <w:sz w:val="22"/>
            <w:szCs w:val="22"/>
          </w:rPr>
          <w:t>3.6.5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Study design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232</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6" w:history="1">
        <w:r w:rsidR="00591EE2" w:rsidRPr="00591EE2">
          <w:rPr>
            <w:rStyle w:val="Hyperlink"/>
            <w:i w:val="0"/>
            <w:noProof/>
            <w:sz w:val="22"/>
            <w:szCs w:val="22"/>
          </w:rPr>
          <w:t>3.6.6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Results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233</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17" w:history="1">
        <w:r w:rsidR="00591EE2" w:rsidRPr="00591EE2">
          <w:rPr>
            <w:rStyle w:val="Hyperlink"/>
            <w:i w:val="0"/>
            <w:noProof/>
            <w:sz w:val="22"/>
            <w:szCs w:val="22"/>
          </w:rPr>
          <w:t>3.6.7</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Statistical analysis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_Toc312257817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247</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18" w:history="1">
        <w:r w:rsidR="00591EE2" w:rsidRPr="00591EE2">
          <w:rPr>
            <w:rStyle w:val="Hyperlink"/>
            <w:noProof/>
            <w:sz w:val="22"/>
            <w:szCs w:val="22"/>
          </w:rPr>
          <w:t>3.6.7.1</w:t>
        </w:r>
        <w:r w:rsidR="00591EE2" w:rsidRPr="00591EE2">
          <w:rPr>
            <w:rFonts w:eastAsiaTheme="minorEastAsia"/>
            <w:noProof/>
            <w:sz w:val="22"/>
            <w:szCs w:val="22"/>
            <w:lang w:eastAsia="en-IE"/>
          </w:rPr>
          <w:tab/>
        </w:r>
        <w:r w:rsidR="00591EE2" w:rsidRPr="00591EE2">
          <w:rPr>
            <w:rStyle w:val="Hyperlink"/>
            <w:noProof/>
            <w:sz w:val="22"/>
            <w:szCs w:val="22"/>
          </w:rPr>
          <w:t>First Planned paired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_Toc312257818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247</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19" w:history="1">
        <w:r w:rsidR="00591EE2" w:rsidRPr="00591EE2">
          <w:rPr>
            <w:rStyle w:val="Hyperlink"/>
            <w:noProof/>
            <w:sz w:val="22"/>
            <w:szCs w:val="22"/>
          </w:rPr>
          <w:t>3.6.7.2</w:t>
        </w:r>
        <w:r w:rsidR="00591EE2" w:rsidRPr="00591EE2">
          <w:rPr>
            <w:rFonts w:eastAsiaTheme="minorEastAsia"/>
            <w:noProof/>
            <w:sz w:val="22"/>
            <w:szCs w:val="22"/>
            <w:lang w:eastAsia="en-IE"/>
          </w:rPr>
          <w:tab/>
        </w:r>
        <w:r w:rsidR="00591EE2" w:rsidRPr="00591EE2">
          <w:rPr>
            <w:rStyle w:val="Hyperlink"/>
            <w:noProof/>
            <w:sz w:val="22"/>
            <w:szCs w:val="22"/>
          </w:rPr>
          <w:t>Second planed paired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_Toc312257819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247</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0" w:history="1">
        <w:r w:rsidR="00591EE2" w:rsidRPr="00591EE2">
          <w:rPr>
            <w:rStyle w:val="Hyperlink"/>
            <w:noProof/>
            <w:sz w:val="22"/>
            <w:szCs w:val="22"/>
          </w:rPr>
          <w:t>3.6.7.3</w:t>
        </w:r>
        <w:r w:rsidR="00591EE2" w:rsidRPr="00591EE2">
          <w:rPr>
            <w:rFonts w:eastAsiaTheme="minorEastAsia"/>
            <w:noProof/>
            <w:sz w:val="22"/>
            <w:szCs w:val="22"/>
            <w:lang w:eastAsia="en-IE"/>
          </w:rPr>
          <w:tab/>
        </w:r>
        <w:r w:rsidR="00591EE2" w:rsidRPr="00591EE2">
          <w:rPr>
            <w:rStyle w:val="Hyperlink"/>
            <w:noProof/>
            <w:sz w:val="22"/>
            <w:szCs w:val="22"/>
          </w:rPr>
          <w:t>Serum Haptoglobin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248</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1" w:history="1">
        <w:r w:rsidR="00591EE2" w:rsidRPr="00591EE2">
          <w:rPr>
            <w:rStyle w:val="Hyperlink"/>
            <w:noProof/>
            <w:sz w:val="22"/>
            <w:szCs w:val="22"/>
          </w:rPr>
          <w:t>3.6.7.4</w:t>
        </w:r>
        <w:r w:rsidR="00591EE2" w:rsidRPr="00591EE2">
          <w:rPr>
            <w:rFonts w:eastAsiaTheme="minorEastAsia"/>
            <w:noProof/>
            <w:sz w:val="22"/>
            <w:szCs w:val="22"/>
            <w:lang w:eastAsia="en-IE"/>
          </w:rPr>
          <w:tab/>
        </w:r>
        <w:r w:rsidR="00591EE2" w:rsidRPr="00591EE2">
          <w:rPr>
            <w:rStyle w:val="Hyperlink"/>
            <w:noProof/>
            <w:sz w:val="22"/>
            <w:szCs w:val="22"/>
          </w:rPr>
          <w:t>Serum Amyloid A protein (SAA)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250</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2" w:history="1">
        <w:r w:rsidR="00591EE2" w:rsidRPr="00591EE2">
          <w:rPr>
            <w:rStyle w:val="Hyperlink"/>
            <w:noProof/>
            <w:sz w:val="22"/>
            <w:szCs w:val="22"/>
          </w:rPr>
          <w:t>3.6.7.5</w:t>
        </w:r>
        <w:r w:rsidR="00591EE2" w:rsidRPr="00591EE2">
          <w:rPr>
            <w:rFonts w:eastAsiaTheme="minorEastAsia"/>
            <w:noProof/>
            <w:sz w:val="22"/>
            <w:szCs w:val="22"/>
            <w:lang w:eastAsia="en-IE"/>
          </w:rPr>
          <w:tab/>
        </w:r>
        <w:r w:rsidR="00591EE2" w:rsidRPr="00591EE2">
          <w:rPr>
            <w:rStyle w:val="Hyperlink"/>
            <w:noProof/>
            <w:sz w:val="22"/>
            <w:szCs w:val="22"/>
          </w:rPr>
          <w:t>Vitamin-D-binding-protein (VDB)</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254</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3" w:history="1">
        <w:r w:rsidR="00591EE2" w:rsidRPr="00591EE2">
          <w:rPr>
            <w:rStyle w:val="Hyperlink"/>
            <w:noProof/>
            <w:sz w:val="22"/>
            <w:szCs w:val="22"/>
          </w:rPr>
          <w:t>3.6.7.6</w:t>
        </w:r>
        <w:r w:rsidR="00591EE2" w:rsidRPr="00591EE2">
          <w:rPr>
            <w:rFonts w:eastAsiaTheme="minorEastAsia"/>
            <w:noProof/>
            <w:sz w:val="22"/>
            <w:szCs w:val="22"/>
            <w:lang w:eastAsia="en-IE"/>
          </w:rPr>
          <w:tab/>
        </w:r>
        <w:r w:rsidR="00591EE2" w:rsidRPr="00591EE2">
          <w:rPr>
            <w:rStyle w:val="Hyperlink"/>
            <w:noProof/>
            <w:sz w:val="22"/>
            <w:szCs w:val="22"/>
          </w:rPr>
          <w:t>Practical significance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24" w:history="1">
        <w:r w:rsidR="00591EE2" w:rsidRPr="00591EE2">
          <w:rPr>
            <w:rStyle w:val="Hyperlink"/>
            <w:noProof/>
            <w:sz w:val="22"/>
            <w:szCs w:val="22"/>
          </w:rPr>
          <w:t>3.7</w:t>
        </w:r>
        <w:r w:rsidR="00591EE2" w:rsidRPr="00591EE2">
          <w:rPr>
            <w:rFonts w:eastAsiaTheme="minorEastAsia"/>
            <w:smallCaps w:val="0"/>
            <w:noProof/>
            <w:sz w:val="22"/>
            <w:szCs w:val="22"/>
            <w:lang w:eastAsia="en-IE"/>
          </w:rPr>
          <w:tab/>
        </w:r>
        <w:r w:rsidR="00591EE2" w:rsidRPr="00591EE2">
          <w:rPr>
            <w:rStyle w:val="Hyperlink"/>
            <w:noProof/>
            <w:sz w:val="22"/>
            <w:szCs w:val="22"/>
          </w:rPr>
          <w:t>Quantification of discovered protein biomarkers in the serum of original cohort of patients; three months (Day-100) after initiation of thalidomide based therapy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25" w:history="1">
        <w:r w:rsidR="00591EE2" w:rsidRPr="00591EE2">
          <w:rPr>
            <w:rStyle w:val="Hyperlink"/>
            <w:i w:val="0"/>
            <w:noProof/>
            <w:sz w:val="22"/>
            <w:szCs w:val="22"/>
          </w:rPr>
          <w:t>3.7.1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Back ground</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_Toc312257825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258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26" w:history="1">
        <w:r w:rsidR="00591EE2" w:rsidRPr="00591EE2">
          <w:rPr>
            <w:rStyle w:val="Hyperlink"/>
            <w:i w:val="0"/>
            <w:noProof/>
            <w:sz w:val="22"/>
            <w:szCs w:val="22"/>
          </w:rPr>
          <w:t>3.7.2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Objectives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_Toc312257826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258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27" w:history="1">
        <w:r w:rsidR="00591EE2" w:rsidRPr="00591EE2">
          <w:rPr>
            <w:rStyle w:val="Hyperlink"/>
            <w:i w:val="0"/>
            <w:noProof/>
            <w:sz w:val="22"/>
            <w:szCs w:val="22"/>
          </w:rPr>
          <w:t>3.7.3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Patients’ samples data set for the biomarker level at Day-100 restaging</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_Toc312257827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259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8" w:history="1">
        <w:r w:rsidR="00591EE2" w:rsidRPr="00591EE2">
          <w:rPr>
            <w:rStyle w:val="Hyperlink"/>
            <w:noProof/>
            <w:sz w:val="22"/>
            <w:szCs w:val="22"/>
          </w:rPr>
          <w:t>3.7.3.1</w:t>
        </w:r>
        <w:r w:rsidR="00591EE2" w:rsidRPr="00591EE2">
          <w:rPr>
            <w:rFonts w:eastAsiaTheme="minorEastAsia"/>
            <w:noProof/>
            <w:sz w:val="22"/>
            <w:szCs w:val="22"/>
            <w:lang w:eastAsia="en-IE"/>
          </w:rPr>
          <w:tab/>
        </w:r>
        <w:r w:rsidR="00591EE2" w:rsidRPr="00591EE2">
          <w:rPr>
            <w:rStyle w:val="Hyperlink"/>
            <w:noProof/>
            <w:sz w:val="22"/>
            <w:szCs w:val="22"/>
          </w:rPr>
          <w:t>Age and Gender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29" w:history="1">
        <w:r w:rsidR="00591EE2" w:rsidRPr="00591EE2">
          <w:rPr>
            <w:rStyle w:val="Hyperlink"/>
            <w:noProof/>
            <w:sz w:val="22"/>
            <w:szCs w:val="22"/>
          </w:rPr>
          <w:t>3.7.3.2</w:t>
        </w:r>
        <w:r w:rsidR="00591EE2" w:rsidRPr="00591EE2">
          <w:rPr>
            <w:rFonts w:eastAsiaTheme="minorEastAsia"/>
            <w:noProof/>
            <w:sz w:val="22"/>
            <w:szCs w:val="22"/>
            <w:lang w:eastAsia="en-IE"/>
          </w:rPr>
          <w:tab/>
        </w:r>
        <w:r w:rsidR="00591EE2" w:rsidRPr="00591EE2">
          <w:rPr>
            <w:rStyle w:val="Hyperlink"/>
            <w:noProof/>
            <w:sz w:val="22"/>
            <w:szCs w:val="22"/>
          </w:rPr>
          <w:t>Response to anti- myeloma treatment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_Toc312257829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30" w:history="1">
        <w:r w:rsidR="00591EE2" w:rsidRPr="00591EE2">
          <w:rPr>
            <w:rStyle w:val="Hyperlink"/>
            <w:noProof/>
            <w:sz w:val="22"/>
            <w:szCs w:val="22"/>
          </w:rPr>
          <w:t>3.7.3.3</w:t>
        </w:r>
        <w:r w:rsidR="00591EE2" w:rsidRPr="00591EE2">
          <w:rPr>
            <w:rFonts w:eastAsiaTheme="minorEastAsia"/>
            <w:noProof/>
            <w:sz w:val="22"/>
            <w:szCs w:val="22"/>
            <w:lang w:eastAsia="en-IE"/>
          </w:rPr>
          <w:tab/>
        </w:r>
        <w:r w:rsidR="00591EE2" w:rsidRPr="00591EE2">
          <w:rPr>
            <w:rStyle w:val="Hyperlink"/>
            <w:noProof/>
            <w:sz w:val="22"/>
            <w:szCs w:val="22"/>
          </w:rPr>
          <w:t>Disease staging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_Toc312257830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259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31" w:history="1">
        <w:r w:rsidR="00591EE2" w:rsidRPr="00591EE2">
          <w:rPr>
            <w:rStyle w:val="Hyperlink"/>
            <w:noProof/>
            <w:sz w:val="22"/>
            <w:szCs w:val="22"/>
          </w:rPr>
          <w:t>3.7.3.4</w:t>
        </w:r>
        <w:r w:rsidR="00591EE2" w:rsidRPr="00591EE2">
          <w:rPr>
            <w:rFonts w:eastAsiaTheme="minorEastAsia"/>
            <w:noProof/>
            <w:sz w:val="22"/>
            <w:szCs w:val="22"/>
            <w:lang w:eastAsia="en-IE"/>
          </w:rPr>
          <w:tab/>
        </w:r>
        <w:r w:rsidR="00591EE2" w:rsidRPr="00591EE2">
          <w:rPr>
            <w:rStyle w:val="Hyperlink"/>
            <w:noProof/>
            <w:sz w:val="22"/>
            <w:szCs w:val="22"/>
          </w:rPr>
          <w:t>Treatment protocols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_Toc312257831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260</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32" w:history="1">
        <w:r w:rsidR="00591EE2" w:rsidRPr="00591EE2">
          <w:rPr>
            <w:rStyle w:val="Hyperlink"/>
            <w:noProof/>
            <w:sz w:val="22"/>
            <w:szCs w:val="22"/>
          </w:rPr>
          <w:t>3.7.3.5</w:t>
        </w:r>
        <w:r w:rsidR="00591EE2" w:rsidRPr="00591EE2">
          <w:rPr>
            <w:rFonts w:eastAsiaTheme="minorEastAsia"/>
            <w:noProof/>
            <w:sz w:val="22"/>
            <w:szCs w:val="22"/>
            <w:lang w:eastAsia="en-IE"/>
          </w:rPr>
          <w:tab/>
        </w:r>
        <w:r w:rsidR="00591EE2" w:rsidRPr="00591EE2">
          <w:rPr>
            <w:rStyle w:val="Hyperlink"/>
            <w:noProof/>
            <w:sz w:val="22"/>
            <w:szCs w:val="22"/>
          </w:rPr>
          <w:t>Statistical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_Toc312257832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262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33" w:history="1">
        <w:r w:rsidR="00591EE2" w:rsidRPr="00591EE2">
          <w:rPr>
            <w:rStyle w:val="Hyperlink"/>
            <w:noProof/>
            <w:sz w:val="22"/>
            <w:szCs w:val="22"/>
          </w:rPr>
          <w:t>3.7.3.6</w:t>
        </w:r>
        <w:r w:rsidR="00591EE2" w:rsidRPr="00591EE2">
          <w:rPr>
            <w:rFonts w:eastAsiaTheme="minorEastAsia"/>
            <w:noProof/>
            <w:sz w:val="22"/>
            <w:szCs w:val="22"/>
            <w:lang w:eastAsia="en-IE"/>
          </w:rPr>
          <w:tab/>
        </w:r>
        <w:r w:rsidR="00591EE2" w:rsidRPr="00591EE2">
          <w:rPr>
            <w:rStyle w:val="Hyperlink"/>
            <w:noProof/>
            <w:sz w:val="22"/>
            <w:szCs w:val="22"/>
          </w:rPr>
          <w:t>Results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_Toc312257833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262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34" w:history="1">
        <w:r w:rsidR="00591EE2" w:rsidRPr="00591EE2">
          <w:rPr>
            <w:rStyle w:val="Hyperlink"/>
            <w:noProof/>
            <w:sz w:val="22"/>
            <w:szCs w:val="22"/>
          </w:rPr>
          <w:t>3.8</w:t>
        </w:r>
        <w:r w:rsidR="00591EE2" w:rsidRPr="00591EE2">
          <w:rPr>
            <w:rFonts w:eastAsiaTheme="minorEastAsia"/>
            <w:smallCaps w:val="0"/>
            <w:noProof/>
            <w:sz w:val="22"/>
            <w:szCs w:val="22"/>
            <w:lang w:eastAsia="en-IE"/>
          </w:rPr>
          <w:tab/>
        </w:r>
        <w:r w:rsidR="00591EE2" w:rsidRPr="00591EE2">
          <w:rPr>
            <w:rStyle w:val="Hyperlink"/>
            <w:noProof/>
            <w:sz w:val="22"/>
            <w:szCs w:val="22"/>
          </w:rPr>
          <w:t>Study evaluating the relationship between incidence of adverse events and treatment efficacy with thalidomide serum concentrations in multiple myeloma patients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_Toc312257834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268</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35" w:history="1">
        <w:r w:rsidR="00591EE2" w:rsidRPr="00591EE2">
          <w:rPr>
            <w:rStyle w:val="Hyperlink"/>
            <w:i w:val="0"/>
            <w:noProof/>
            <w:sz w:val="22"/>
            <w:szCs w:val="22"/>
          </w:rPr>
          <w:t>3.8.1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Back ground</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_Toc312257835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268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36" w:history="1">
        <w:r w:rsidR="00591EE2" w:rsidRPr="00591EE2">
          <w:rPr>
            <w:rStyle w:val="Hyperlink"/>
            <w:i w:val="0"/>
            <w:noProof/>
            <w:sz w:val="22"/>
            <w:szCs w:val="22"/>
          </w:rPr>
          <w:t>3.8.2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Thalidomide side effects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_Toc312257836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268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37" w:history="1">
        <w:r w:rsidR="00591EE2" w:rsidRPr="00591EE2">
          <w:rPr>
            <w:rStyle w:val="Hyperlink"/>
            <w:i w:val="0"/>
            <w:noProof/>
            <w:sz w:val="22"/>
            <w:szCs w:val="22"/>
          </w:rPr>
          <w:t>3.8.3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Sample set</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_Toc312257837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268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38" w:history="1">
        <w:r w:rsidR="00591EE2" w:rsidRPr="00591EE2">
          <w:rPr>
            <w:rStyle w:val="Hyperlink"/>
            <w:i w:val="0"/>
            <w:noProof/>
            <w:sz w:val="22"/>
            <w:szCs w:val="22"/>
          </w:rPr>
          <w:t>3.8.4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Objective</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_Toc312257838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268</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39" w:history="1">
        <w:r w:rsidR="00591EE2" w:rsidRPr="00591EE2">
          <w:rPr>
            <w:rStyle w:val="Hyperlink"/>
            <w:i w:val="0"/>
            <w:noProof/>
            <w:sz w:val="22"/>
            <w:szCs w:val="22"/>
          </w:rPr>
          <w:t>3.8.5</w:t>
        </w:r>
        <w:r w:rsidR="00591EE2" w:rsidRPr="00591EE2">
          <w:rPr>
            <w:rFonts w:eastAsiaTheme="minorEastAsia"/>
            <w:i w:val="0"/>
            <w:iCs w:val="0"/>
            <w:noProof/>
            <w:sz w:val="22"/>
            <w:szCs w:val="22"/>
            <w:lang w:eastAsia="en-IE"/>
          </w:rPr>
          <w:tab/>
        </w:r>
        <w:r w:rsidR="00591EE2" w:rsidRPr="00591EE2">
          <w:rPr>
            <w:rStyle w:val="Hyperlink"/>
            <w:i w:val="0"/>
            <w:noProof/>
            <w:sz w:val="22"/>
            <w:szCs w:val="22"/>
          </w:rPr>
          <w:t>Results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_Toc312257839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269</w:t>
        </w:r>
        <w:r w:rsidR="00591EE2" w:rsidRPr="00591EE2">
          <w:rPr>
            <w:i w:val="0"/>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40" w:history="1">
        <w:r w:rsidR="00591EE2" w:rsidRPr="00591EE2">
          <w:rPr>
            <w:rStyle w:val="Hyperlink"/>
            <w:noProof/>
            <w:sz w:val="22"/>
            <w:szCs w:val="22"/>
          </w:rPr>
          <w:t>3.8.5.1</w:t>
        </w:r>
        <w:r w:rsidR="00591EE2" w:rsidRPr="00591EE2">
          <w:rPr>
            <w:rFonts w:eastAsiaTheme="minorEastAsia"/>
            <w:noProof/>
            <w:sz w:val="22"/>
            <w:szCs w:val="22"/>
            <w:lang w:eastAsia="en-IE"/>
          </w:rPr>
          <w:tab/>
        </w:r>
        <w:r w:rsidR="00591EE2" w:rsidRPr="00591EE2">
          <w:rPr>
            <w:rStyle w:val="Hyperlink"/>
            <w:noProof/>
            <w:sz w:val="22"/>
            <w:szCs w:val="22"/>
          </w:rPr>
          <w:t>Serum thalidomide level and daily dosage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_Toc312257840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269</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41" w:history="1">
        <w:r w:rsidR="00591EE2" w:rsidRPr="00591EE2">
          <w:rPr>
            <w:rStyle w:val="Hyperlink"/>
            <w:noProof/>
            <w:sz w:val="22"/>
            <w:szCs w:val="22"/>
          </w:rPr>
          <w:t>3.8.5.2</w:t>
        </w:r>
        <w:r w:rsidR="00591EE2" w:rsidRPr="00591EE2">
          <w:rPr>
            <w:rFonts w:eastAsiaTheme="minorEastAsia"/>
            <w:noProof/>
            <w:sz w:val="22"/>
            <w:szCs w:val="22"/>
            <w:lang w:eastAsia="en-IE"/>
          </w:rPr>
          <w:tab/>
        </w:r>
        <w:r w:rsidR="00591EE2" w:rsidRPr="00591EE2">
          <w:rPr>
            <w:rStyle w:val="Hyperlink"/>
            <w:noProof/>
            <w:sz w:val="22"/>
            <w:szCs w:val="22"/>
          </w:rPr>
          <w:t>Serum thalidomide level and neuropathy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_Toc312257841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272</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42" w:history="1">
        <w:r w:rsidR="00591EE2" w:rsidRPr="00591EE2">
          <w:rPr>
            <w:rStyle w:val="Hyperlink"/>
            <w:noProof/>
            <w:sz w:val="22"/>
            <w:szCs w:val="22"/>
          </w:rPr>
          <w:t>3.8.5.3</w:t>
        </w:r>
        <w:r w:rsidR="00591EE2" w:rsidRPr="00591EE2">
          <w:rPr>
            <w:rFonts w:eastAsiaTheme="minorEastAsia"/>
            <w:noProof/>
            <w:sz w:val="22"/>
            <w:szCs w:val="22"/>
            <w:lang w:eastAsia="en-IE"/>
          </w:rPr>
          <w:tab/>
        </w:r>
        <w:r w:rsidR="00591EE2" w:rsidRPr="00591EE2">
          <w:rPr>
            <w:rStyle w:val="Hyperlink"/>
            <w:noProof/>
            <w:sz w:val="22"/>
            <w:szCs w:val="22"/>
          </w:rPr>
          <w:t>Serum thalidomide level and other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_Toc312257842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273</w:t>
        </w:r>
        <w:r w:rsidR="00591EE2" w:rsidRPr="00591EE2">
          <w:rPr>
            <w:noProof/>
            <w:webHidden/>
            <w:sz w:val="22"/>
            <w:szCs w:val="22"/>
          </w:rPr>
          <w:fldChar w:fldCharType="end"/>
        </w:r>
      </w:hyperlink>
    </w:p>
    <w:p w:rsidR="00591EE2" w:rsidRPr="00591EE2" w:rsidRDefault="00AE1D9F" w:rsidP="008126D8">
      <w:pPr>
        <w:pStyle w:val="TOC4"/>
        <w:tabs>
          <w:tab w:val="clear" w:pos="1276"/>
          <w:tab w:val="left" w:pos="993"/>
          <w:tab w:val="right" w:leader="dot" w:pos="8080"/>
        </w:tabs>
        <w:spacing w:line="240" w:lineRule="auto"/>
        <w:ind w:right="225"/>
        <w:rPr>
          <w:rFonts w:eastAsiaTheme="minorEastAsia"/>
          <w:noProof/>
          <w:sz w:val="22"/>
          <w:szCs w:val="22"/>
          <w:lang w:eastAsia="en-IE"/>
        </w:rPr>
      </w:pPr>
      <w:hyperlink w:anchor="_Toc312257843" w:history="1">
        <w:r w:rsidR="00591EE2" w:rsidRPr="00591EE2">
          <w:rPr>
            <w:rStyle w:val="Hyperlink"/>
            <w:noProof/>
            <w:sz w:val="22"/>
            <w:szCs w:val="22"/>
          </w:rPr>
          <w:t>3.8.5.4</w:t>
        </w:r>
        <w:r w:rsidR="00591EE2" w:rsidRPr="00591EE2">
          <w:rPr>
            <w:rFonts w:eastAsiaTheme="minorEastAsia"/>
            <w:noProof/>
            <w:sz w:val="22"/>
            <w:szCs w:val="22"/>
            <w:lang w:eastAsia="en-IE"/>
          </w:rPr>
          <w:tab/>
        </w:r>
        <w:r w:rsidR="00591EE2" w:rsidRPr="00591EE2">
          <w:rPr>
            <w:rStyle w:val="Hyperlink"/>
            <w:noProof/>
            <w:sz w:val="22"/>
            <w:szCs w:val="22"/>
          </w:rPr>
          <w:t>Serum thalidomide level and clinical response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_Toc312257843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274</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44" w:history="1">
        <w:r w:rsidR="00591EE2" w:rsidRPr="00591EE2">
          <w:rPr>
            <w:rStyle w:val="Hyperlink"/>
            <w:i w:val="0"/>
            <w:noProof/>
            <w:sz w:val="22"/>
            <w:szCs w:val="22"/>
          </w:rPr>
          <w:t>3.8.6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Conclusion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_Toc312257844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275</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45" w:history="1">
        <w:r w:rsidR="00591EE2" w:rsidRPr="00591EE2">
          <w:rPr>
            <w:rStyle w:val="Hyperlink"/>
            <w:noProof/>
            <w:sz w:val="22"/>
            <w:szCs w:val="22"/>
          </w:rPr>
          <w:t>3.9</w:t>
        </w:r>
        <w:r w:rsidR="00591EE2" w:rsidRPr="00591EE2">
          <w:rPr>
            <w:rFonts w:eastAsiaTheme="minorEastAsia"/>
            <w:smallCaps w:val="0"/>
            <w:noProof/>
            <w:sz w:val="22"/>
            <w:szCs w:val="22"/>
            <w:lang w:eastAsia="en-IE"/>
          </w:rPr>
          <w:tab/>
        </w:r>
        <w:r w:rsidR="00591EE2" w:rsidRPr="00591EE2">
          <w:rPr>
            <w:rStyle w:val="Hyperlink"/>
            <w:noProof/>
            <w:sz w:val="22"/>
            <w:szCs w:val="22"/>
          </w:rPr>
          <w:t>POEMS syndrome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_Toc312257845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280</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46" w:history="1">
        <w:r w:rsidR="00591EE2" w:rsidRPr="00591EE2">
          <w:rPr>
            <w:rStyle w:val="Hyperlink"/>
            <w:i w:val="0"/>
            <w:noProof/>
            <w:sz w:val="22"/>
            <w:szCs w:val="22"/>
          </w:rPr>
          <w:t>3.9.1</w:t>
        </w:r>
        <w:r w:rsidR="00591EE2" w:rsidRPr="00591EE2">
          <w:rPr>
            <w:rFonts w:eastAsiaTheme="minorEastAsia"/>
            <w:i w:val="0"/>
            <w:iCs w:val="0"/>
            <w:noProof/>
            <w:sz w:val="22"/>
            <w:szCs w:val="22"/>
            <w:lang w:eastAsia="en-IE"/>
          </w:rPr>
          <w:tab/>
        </w:r>
        <w:r w:rsidR="00591EE2" w:rsidRPr="00591EE2">
          <w:rPr>
            <w:rStyle w:val="Hyperlink"/>
            <w:i w:val="0"/>
            <w:noProof/>
            <w:sz w:val="22"/>
            <w:szCs w:val="22"/>
          </w:rPr>
          <w:t>Case study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_Toc312257846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280</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47" w:history="1">
        <w:r w:rsidR="00591EE2" w:rsidRPr="00591EE2">
          <w:rPr>
            <w:rStyle w:val="Hyperlink"/>
            <w:i w:val="0"/>
            <w:noProof/>
            <w:sz w:val="22"/>
            <w:szCs w:val="22"/>
          </w:rPr>
          <w:t>3.9.2</w:t>
        </w:r>
        <w:r w:rsidR="00591EE2" w:rsidRPr="00591EE2">
          <w:rPr>
            <w:rFonts w:eastAsiaTheme="minorEastAsia"/>
            <w:i w:val="0"/>
            <w:iCs w:val="0"/>
            <w:noProof/>
            <w:sz w:val="22"/>
            <w:szCs w:val="22"/>
            <w:lang w:eastAsia="en-IE"/>
          </w:rPr>
          <w:tab/>
        </w:r>
        <w:r w:rsidR="00591EE2" w:rsidRPr="00591EE2">
          <w:rPr>
            <w:rStyle w:val="Hyperlink"/>
            <w:i w:val="0"/>
            <w:noProof/>
            <w:sz w:val="22"/>
            <w:szCs w:val="22"/>
          </w:rPr>
          <w:t>Serum VEGF level</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_Toc312257847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281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48" w:history="1">
        <w:r w:rsidR="00591EE2" w:rsidRPr="00591EE2">
          <w:rPr>
            <w:rStyle w:val="Hyperlink"/>
            <w:i w:val="0"/>
            <w:noProof/>
            <w:sz w:val="22"/>
            <w:szCs w:val="22"/>
          </w:rPr>
          <w:t>3.9.3</w:t>
        </w:r>
        <w:r w:rsidR="00591EE2" w:rsidRPr="00591EE2">
          <w:rPr>
            <w:rFonts w:eastAsiaTheme="minorEastAsia"/>
            <w:i w:val="0"/>
            <w:iCs w:val="0"/>
            <w:noProof/>
            <w:sz w:val="22"/>
            <w:szCs w:val="22"/>
            <w:lang w:eastAsia="en-IE"/>
          </w:rPr>
          <w:tab/>
        </w:r>
        <w:r w:rsidR="00591EE2" w:rsidRPr="00591EE2">
          <w:rPr>
            <w:rStyle w:val="Hyperlink"/>
            <w:i w:val="0"/>
            <w:noProof/>
            <w:sz w:val="22"/>
            <w:szCs w:val="22"/>
          </w:rPr>
          <w:t>Results</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_Toc312257848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281</w:t>
        </w:r>
        <w:r w:rsidR="00591EE2" w:rsidRPr="00591EE2">
          <w:rPr>
            <w:i w:val="0"/>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849" w:history="1">
        <w:r w:rsidR="00591EE2" w:rsidRPr="00591EE2">
          <w:rPr>
            <w:rStyle w:val="Hyperlink"/>
            <w:i w:val="0"/>
            <w:noProof/>
            <w:sz w:val="22"/>
            <w:szCs w:val="22"/>
          </w:rPr>
          <w:t>3.9.4</w:t>
        </w:r>
        <w:r w:rsidR="00591EE2" w:rsidRPr="00591EE2">
          <w:rPr>
            <w:rFonts w:eastAsiaTheme="minorEastAsia"/>
            <w:i w:val="0"/>
            <w:iCs w:val="0"/>
            <w:noProof/>
            <w:sz w:val="22"/>
            <w:szCs w:val="22"/>
            <w:lang w:eastAsia="en-IE"/>
          </w:rPr>
          <w:tab/>
        </w:r>
        <w:r w:rsidR="00591EE2" w:rsidRPr="00591EE2">
          <w:rPr>
            <w:rStyle w:val="Hyperlink"/>
            <w:i w:val="0"/>
            <w:noProof/>
            <w:sz w:val="22"/>
            <w:szCs w:val="22"/>
          </w:rPr>
          <w:t>Discussion</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_Toc312257849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283</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0" w:history="1">
        <w:r w:rsidR="00591EE2" w:rsidRPr="00591EE2">
          <w:rPr>
            <w:rStyle w:val="Hyperlink"/>
            <w:noProof/>
            <w:sz w:val="22"/>
            <w:szCs w:val="22"/>
            <w14:scene3d>
              <w14:camera w14:prst="orthographicFront"/>
              <w14:lightRig w14:rig="threePt" w14:dir="t">
                <w14:rot w14:lat="0" w14:lon="0" w14:rev="0"/>
              </w14:lightRig>
            </w14:scene3d>
          </w:rPr>
          <w:t>4.1</w:t>
        </w:r>
        <w:r w:rsidR="00591EE2" w:rsidRPr="00591EE2">
          <w:rPr>
            <w:rFonts w:eastAsiaTheme="minorEastAsia"/>
            <w:smallCaps w:val="0"/>
            <w:noProof/>
            <w:sz w:val="22"/>
            <w:szCs w:val="22"/>
            <w:lang w:eastAsia="en-IE"/>
          </w:rPr>
          <w:tab/>
        </w:r>
        <w:r w:rsidR="00591EE2" w:rsidRPr="00591EE2">
          <w:rPr>
            <w:rStyle w:val="Hyperlink"/>
            <w:noProof/>
            <w:sz w:val="22"/>
            <w:szCs w:val="22"/>
          </w:rPr>
          <w:t>Discovery of novel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1" w:history="1">
        <w:r w:rsidR="00591EE2" w:rsidRPr="00591EE2">
          <w:rPr>
            <w:rStyle w:val="Hyperlink"/>
            <w:noProof/>
            <w:sz w:val="22"/>
            <w:szCs w:val="22"/>
            <w14:scene3d>
              <w14:camera w14:prst="orthographicFront"/>
              <w14:lightRig w14:rig="threePt" w14:dir="t">
                <w14:rot w14:lat="0" w14:lon="0" w14:rev="0"/>
              </w14:lightRig>
            </w14:scene3d>
          </w:rPr>
          <w:t>4.1.1</w:t>
        </w:r>
        <w:r w:rsidR="00591EE2" w:rsidRPr="00591EE2">
          <w:rPr>
            <w:rFonts w:eastAsiaTheme="minorEastAsia"/>
            <w:smallCaps w:val="0"/>
            <w:noProof/>
            <w:sz w:val="22"/>
            <w:szCs w:val="22"/>
            <w:lang w:eastAsia="en-IE"/>
          </w:rPr>
          <w:tab/>
        </w:r>
        <w:r w:rsidR="00591EE2" w:rsidRPr="00591EE2">
          <w:rPr>
            <w:rStyle w:val="Hyperlink"/>
            <w:noProof/>
            <w:sz w:val="22"/>
            <w:szCs w:val="22"/>
          </w:rPr>
          <w:t>Discussion 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2" w:history="1">
        <w:r w:rsidR="00591EE2" w:rsidRPr="00591EE2">
          <w:rPr>
            <w:rStyle w:val="Hyperlink"/>
            <w:noProof/>
            <w:sz w:val="22"/>
            <w:szCs w:val="22"/>
            <w14:scene3d>
              <w14:camera w14:prst="orthographicFront"/>
              <w14:lightRig w14:rig="threePt" w14:dir="t">
                <w14:rot w14:lat="0" w14:lon="0" w14:rev="0"/>
              </w14:lightRig>
            </w14:scene3d>
          </w:rPr>
          <w:t>4.1.2</w:t>
        </w:r>
        <w:r w:rsidR="00591EE2" w:rsidRPr="00591EE2">
          <w:rPr>
            <w:rFonts w:eastAsiaTheme="minorEastAsia"/>
            <w:smallCaps w:val="0"/>
            <w:noProof/>
            <w:sz w:val="22"/>
            <w:szCs w:val="22"/>
            <w:lang w:eastAsia="en-IE"/>
          </w:rPr>
          <w:tab/>
        </w:r>
        <w:r w:rsidR="00591EE2" w:rsidRPr="00591EE2">
          <w:rPr>
            <w:rStyle w:val="Hyperlink"/>
            <w:noProof/>
            <w:sz w:val="22"/>
            <w:szCs w:val="22"/>
          </w:rPr>
          <w:t>Current MM therapies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3" w:history="1">
        <w:r w:rsidR="00591EE2" w:rsidRPr="00591EE2">
          <w:rPr>
            <w:rStyle w:val="Hyperlink"/>
            <w:noProof/>
            <w:sz w:val="22"/>
            <w:szCs w:val="22"/>
            <w14:scene3d>
              <w14:camera w14:prst="orthographicFront"/>
              <w14:lightRig w14:rig="threePt" w14:dir="t">
                <w14:rot w14:lat="0" w14:lon="0" w14:rev="0"/>
              </w14:lightRig>
            </w14:scene3d>
          </w:rPr>
          <w:t>4.1.3</w:t>
        </w:r>
        <w:r w:rsidR="00591EE2" w:rsidRPr="00591EE2">
          <w:rPr>
            <w:rFonts w:eastAsiaTheme="minorEastAsia"/>
            <w:smallCaps w:val="0"/>
            <w:noProof/>
            <w:sz w:val="22"/>
            <w:szCs w:val="22"/>
            <w:lang w:eastAsia="en-IE"/>
          </w:rPr>
          <w:tab/>
        </w:r>
        <w:r w:rsidR="00591EE2" w:rsidRPr="00591EE2">
          <w:rPr>
            <w:rStyle w:val="Hyperlink"/>
            <w:noProof/>
            <w:sz w:val="22"/>
            <w:szCs w:val="22"/>
          </w:rPr>
          <w:t>Thalidomide in multiple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288</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4" w:history="1">
        <w:r w:rsidR="00591EE2" w:rsidRPr="00591EE2">
          <w:rPr>
            <w:rStyle w:val="Hyperlink"/>
            <w:noProof/>
            <w:sz w:val="22"/>
            <w:szCs w:val="22"/>
          </w:rPr>
          <w:t>4.1.3.1</w:t>
        </w:r>
        <w:r w:rsidR="00591EE2" w:rsidRPr="00591EE2">
          <w:rPr>
            <w:rFonts w:eastAsiaTheme="minorEastAsia"/>
            <w:smallCaps w:val="0"/>
            <w:noProof/>
            <w:sz w:val="22"/>
            <w:szCs w:val="22"/>
            <w:lang w:eastAsia="en-IE"/>
          </w:rPr>
          <w:tab/>
        </w:r>
        <w:r w:rsidR="00591EE2" w:rsidRPr="00591EE2">
          <w:rPr>
            <w:rStyle w:val="Hyperlink"/>
            <w:noProof/>
            <w:sz w:val="22"/>
            <w:szCs w:val="22"/>
          </w:rPr>
          <w:t>Thalidomide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289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5" w:history="1">
        <w:r w:rsidR="00591EE2" w:rsidRPr="00591EE2">
          <w:rPr>
            <w:rStyle w:val="Hyperlink"/>
            <w:noProof/>
            <w:sz w:val="22"/>
            <w:szCs w:val="22"/>
            <w14:scene3d>
              <w14:camera w14:prst="orthographicFront"/>
              <w14:lightRig w14:rig="threePt" w14:dir="t">
                <w14:rot w14:lat="0" w14:lon="0" w14:rev="0"/>
              </w14:lightRig>
            </w14:scene3d>
          </w:rPr>
          <w:t>4.1.4</w:t>
        </w:r>
        <w:r w:rsidR="00591EE2" w:rsidRPr="00591EE2">
          <w:rPr>
            <w:rFonts w:eastAsiaTheme="minorEastAsia"/>
            <w:smallCaps w:val="0"/>
            <w:noProof/>
            <w:sz w:val="22"/>
            <w:szCs w:val="22"/>
            <w:lang w:eastAsia="en-IE"/>
          </w:rPr>
          <w:tab/>
        </w:r>
        <w:r w:rsidR="00591EE2" w:rsidRPr="00591EE2">
          <w:rPr>
            <w:rStyle w:val="Hyperlink"/>
            <w:noProof/>
            <w:sz w:val="22"/>
            <w:szCs w:val="22"/>
          </w:rPr>
          <w:t>Clinical aspect of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6" w:history="1">
        <w:r w:rsidR="00591EE2" w:rsidRPr="00591EE2">
          <w:rPr>
            <w:rStyle w:val="Hyperlink"/>
            <w:noProof/>
            <w:sz w:val="22"/>
            <w:szCs w:val="22"/>
          </w:rPr>
          <w:t>4.1.4.1</w:t>
        </w:r>
        <w:r w:rsidR="00591EE2" w:rsidRPr="00591EE2">
          <w:rPr>
            <w:rFonts w:eastAsiaTheme="minorEastAsia"/>
            <w:smallCaps w:val="0"/>
            <w:noProof/>
            <w:sz w:val="22"/>
            <w:szCs w:val="22"/>
            <w:lang w:eastAsia="en-IE"/>
          </w:rPr>
          <w:tab/>
        </w:r>
        <w:r w:rsidR="00591EE2" w:rsidRPr="00591EE2">
          <w:rPr>
            <w:rStyle w:val="Hyperlink"/>
            <w:noProof/>
            <w:sz w:val="22"/>
            <w:szCs w:val="22"/>
          </w:rPr>
          <w:t>Background and disease management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7" w:history="1">
        <w:r w:rsidR="00591EE2" w:rsidRPr="00591EE2">
          <w:rPr>
            <w:rStyle w:val="Hyperlink"/>
            <w:noProof/>
            <w:sz w:val="22"/>
            <w:szCs w:val="22"/>
          </w:rPr>
          <w:t>4.1.4.2</w:t>
        </w:r>
        <w:r w:rsidR="00591EE2" w:rsidRPr="00591EE2">
          <w:rPr>
            <w:rFonts w:eastAsiaTheme="minorEastAsia"/>
            <w:smallCaps w:val="0"/>
            <w:noProof/>
            <w:sz w:val="22"/>
            <w:szCs w:val="22"/>
            <w:lang w:eastAsia="en-IE"/>
          </w:rPr>
          <w:tab/>
        </w:r>
        <w:r w:rsidR="00591EE2" w:rsidRPr="00591EE2">
          <w:rPr>
            <w:rStyle w:val="Hyperlink"/>
            <w:noProof/>
            <w:sz w:val="22"/>
            <w:szCs w:val="22"/>
          </w:rPr>
          <w:t>Panel of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8" w:history="1">
        <w:r w:rsidR="00591EE2" w:rsidRPr="00591EE2">
          <w:rPr>
            <w:rStyle w:val="Hyperlink"/>
            <w:noProof/>
            <w:sz w:val="22"/>
            <w:szCs w:val="22"/>
          </w:rPr>
          <w:t>4.1.4.3</w:t>
        </w:r>
        <w:r w:rsidR="00591EE2" w:rsidRPr="00591EE2">
          <w:rPr>
            <w:rFonts w:eastAsiaTheme="minorEastAsia"/>
            <w:smallCaps w:val="0"/>
            <w:noProof/>
            <w:sz w:val="22"/>
            <w:szCs w:val="22"/>
            <w:lang w:eastAsia="en-IE"/>
          </w:rPr>
          <w:tab/>
        </w:r>
        <w:r w:rsidR="00591EE2" w:rsidRPr="00591EE2">
          <w:rPr>
            <w:rStyle w:val="Hyperlink"/>
            <w:noProof/>
            <w:sz w:val="22"/>
            <w:szCs w:val="22"/>
          </w:rPr>
          <w:t>Goals of biomarkers discovery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59" w:history="1">
        <w:r w:rsidR="00591EE2" w:rsidRPr="00591EE2">
          <w:rPr>
            <w:rStyle w:val="Hyperlink"/>
            <w:noProof/>
            <w:sz w:val="22"/>
            <w:szCs w:val="22"/>
          </w:rPr>
          <w:t>4.1.4.4</w:t>
        </w:r>
        <w:r w:rsidR="00591EE2" w:rsidRPr="00591EE2">
          <w:rPr>
            <w:rFonts w:eastAsiaTheme="minorEastAsia"/>
            <w:smallCaps w:val="0"/>
            <w:noProof/>
            <w:sz w:val="22"/>
            <w:szCs w:val="22"/>
            <w:lang w:eastAsia="en-IE"/>
          </w:rPr>
          <w:tab/>
        </w:r>
        <w:r w:rsidR="00591EE2" w:rsidRPr="00591EE2">
          <w:rPr>
            <w:rStyle w:val="Hyperlink"/>
            <w:noProof/>
            <w:sz w:val="22"/>
            <w:szCs w:val="22"/>
          </w:rPr>
          <w:t>Biomarkers and cancer, historical discussion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_Toc312257859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294</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0" w:history="1">
        <w:r w:rsidR="00591EE2" w:rsidRPr="00591EE2">
          <w:rPr>
            <w:rStyle w:val="Hyperlink"/>
            <w:noProof/>
            <w:sz w:val="22"/>
            <w:szCs w:val="22"/>
          </w:rPr>
          <w:t>4.1.4.4.1</w:t>
        </w:r>
        <w:r w:rsidR="00591EE2" w:rsidRPr="00591EE2">
          <w:rPr>
            <w:rFonts w:eastAsiaTheme="minorEastAsia"/>
            <w:smallCaps w:val="0"/>
            <w:noProof/>
            <w:sz w:val="22"/>
            <w:szCs w:val="22"/>
            <w:lang w:eastAsia="en-IE"/>
          </w:rPr>
          <w:tab/>
        </w:r>
        <w:r w:rsidR="00591EE2" w:rsidRPr="00591EE2">
          <w:rPr>
            <w:rStyle w:val="Hyperlink"/>
            <w:noProof/>
            <w:sz w:val="22"/>
            <w:szCs w:val="22"/>
          </w:rPr>
          <w:t>Tumour node metastases (TNM) system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1" w:history="1">
        <w:r w:rsidR="00591EE2" w:rsidRPr="00591EE2">
          <w:rPr>
            <w:rStyle w:val="Hyperlink"/>
            <w:noProof/>
            <w:sz w:val="22"/>
            <w:szCs w:val="22"/>
          </w:rPr>
          <w:t>4.1.4.4.2</w:t>
        </w:r>
        <w:r w:rsidR="00591EE2" w:rsidRPr="00591EE2">
          <w:rPr>
            <w:rFonts w:eastAsiaTheme="minorEastAsia"/>
            <w:smallCaps w:val="0"/>
            <w:noProof/>
            <w:sz w:val="22"/>
            <w:szCs w:val="22"/>
            <w:lang w:eastAsia="en-IE"/>
          </w:rPr>
          <w:tab/>
        </w:r>
        <w:r w:rsidR="00591EE2" w:rsidRPr="00591EE2">
          <w:rPr>
            <w:rStyle w:val="Hyperlink"/>
            <w:noProof/>
            <w:sz w:val="22"/>
            <w:szCs w:val="22"/>
          </w:rPr>
          <w:t>Ovarian cancer and cancer antigen 125 (CA-125)</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2" w:history="1">
        <w:r w:rsidR="00591EE2" w:rsidRPr="00591EE2">
          <w:rPr>
            <w:rStyle w:val="Hyperlink"/>
            <w:noProof/>
            <w:sz w:val="22"/>
            <w:szCs w:val="22"/>
          </w:rPr>
          <w:t>4.1.4.4.3</w:t>
        </w:r>
        <w:r w:rsidR="00591EE2" w:rsidRPr="00591EE2">
          <w:rPr>
            <w:rFonts w:eastAsiaTheme="minorEastAsia"/>
            <w:smallCaps w:val="0"/>
            <w:noProof/>
            <w:sz w:val="22"/>
            <w:szCs w:val="22"/>
            <w:lang w:eastAsia="en-IE"/>
          </w:rPr>
          <w:tab/>
        </w:r>
        <w:r w:rsidR="00591EE2" w:rsidRPr="00591EE2">
          <w:rPr>
            <w:rStyle w:val="Hyperlink"/>
            <w:noProof/>
            <w:sz w:val="22"/>
            <w:szCs w:val="22"/>
          </w:rPr>
          <w:t>Prostate cancer and Prostate-specific antigen (PSA)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296</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3" w:history="1">
        <w:r w:rsidR="00591EE2" w:rsidRPr="00591EE2">
          <w:rPr>
            <w:rStyle w:val="Hyperlink"/>
            <w:noProof/>
            <w:sz w:val="22"/>
            <w:szCs w:val="22"/>
          </w:rPr>
          <w:t>4.1.4.4.4</w:t>
        </w:r>
        <w:r w:rsidR="00591EE2" w:rsidRPr="00591EE2">
          <w:rPr>
            <w:rFonts w:eastAsiaTheme="minorEastAsia"/>
            <w:smallCaps w:val="0"/>
            <w:noProof/>
            <w:sz w:val="22"/>
            <w:szCs w:val="22"/>
            <w:lang w:eastAsia="en-IE"/>
          </w:rPr>
          <w:tab/>
        </w:r>
        <w:r w:rsidR="00591EE2" w:rsidRPr="00591EE2">
          <w:rPr>
            <w:rStyle w:val="Hyperlink"/>
            <w:noProof/>
            <w:sz w:val="22"/>
            <w:szCs w:val="22"/>
          </w:rPr>
          <w:t>Tumour markers in gastrointestinal (GI) malignancies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296</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4" w:history="1">
        <w:r w:rsidR="00591EE2" w:rsidRPr="00591EE2">
          <w:rPr>
            <w:rStyle w:val="Hyperlink"/>
            <w:noProof/>
            <w:sz w:val="22"/>
            <w:szCs w:val="22"/>
          </w:rPr>
          <w:t>4.1.4.4.5</w:t>
        </w:r>
        <w:r w:rsidR="00591EE2" w:rsidRPr="00591EE2">
          <w:rPr>
            <w:rFonts w:eastAsiaTheme="minorEastAsia"/>
            <w:smallCaps w:val="0"/>
            <w:noProof/>
            <w:sz w:val="22"/>
            <w:szCs w:val="22"/>
            <w:lang w:eastAsia="en-IE"/>
          </w:rPr>
          <w:tab/>
        </w:r>
        <w:r w:rsidR="00591EE2" w:rsidRPr="00591EE2">
          <w:rPr>
            <w:rStyle w:val="Hyperlink"/>
            <w:noProof/>
            <w:sz w:val="22"/>
            <w:szCs w:val="22"/>
          </w:rPr>
          <w:t>Tumour markers in Breast cancer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5" w:history="1">
        <w:r w:rsidR="00591EE2" w:rsidRPr="00591EE2">
          <w:rPr>
            <w:rStyle w:val="Hyperlink"/>
            <w:noProof/>
            <w:sz w:val="22"/>
            <w:szCs w:val="22"/>
          </w:rPr>
          <w:t>4.1.4.4.6</w:t>
        </w:r>
        <w:r w:rsidR="00591EE2" w:rsidRPr="00591EE2">
          <w:rPr>
            <w:rFonts w:eastAsiaTheme="minorEastAsia"/>
            <w:smallCaps w:val="0"/>
            <w:noProof/>
            <w:sz w:val="22"/>
            <w:szCs w:val="22"/>
            <w:lang w:eastAsia="en-IE"/>
          </w:rPr>
          <w:tab/>
        </w:r>
        <w:r w:rsidR="00591EE2" w:rsidRPr="00591EE2">
          <w:rPr>
            <w:rStyle w:val="Hyperlink"/>
            <w:noProof/>
            <w:sz w:val="22"/>
            <w:szCs w:val="22"/>
          </w:rPr>
          <w:t>Chronic Myeloid Leukaemia (CML)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298</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6" w:history="1">
        <w:r w:rsidR="00591EE2" w:rsidRPr="00591EE2">
          <w:rPr>
            <w:rStyle w:val="Hyperlink"/>
            <w:noProof/>
            <w:sz w:val="22"/>
            <w:szCs w:val="22"/>
          </w:rPr>
          <w:t>4.1.4.4.7</w:t>
        </w:r>
        <w:r w:rsidR="00591EE2" w:rsidRPr="00591EE2">
          <w:rPr>
            <w:rFonts w:eastAsiaTheme="minorEastAsia"/>
            <w:smallCaps w:val="0"/>
            <w:noProof/>
            <w:sz w:val="22"/>
            <w:szCs w:val="22"/>
            <w:lang w:eastAsia="en-IE"/>
          </w:rPr>
          <w:tab/>
        </w:r>
        <w:r w:rsidR="00591EE2" w:rsidRPr="00591EE2">
          <w:rPr>
            <w:rStyle w:val="Hyperlink"/>
            <w:noProof/>
            <w:sz w:val="22"/>
            <w:szCs w:val="22"/>
          </w:rPr>
          <w:t>Chronic Lymphocytic Leukaemia (CLL)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299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7" w:history="1">
        <w:r w:rsidR="00591EE2" w:rsidRPr="00591EE2">
          <w:rPr>
            <w:rStyle w:val="Hyperlink"/>
            <w:noProof/>
            <w:sz w:val="22"/>
            <w:szCs w:val="22"/>
          </w:rPr>
          <w:t>4.1.4.5</w:t>
        </w:r>
        <w:r w:rsidR="00591EE2" w:rsidRPr="00591EE2">
          <w:rPr>
            <w:rFonts w:eastAsiaTheme="minorEastAsia"/>
            <w:smallCaps w:val="0"/>
            <w:noProof/>
            <w:sz w:val="22"/>
            <w:szCs w:val="22"/>
            <w:lang w:eastAsia="en-IE"/>
          </w:rPr>
          <w:tab/>
        </w:r>
        <w:r w:rsidR="00591EE2" w:rsidRPr="00591EE2">
          <w:rPr>
            <w:rStyle w:val="Hyperlink"/>
            <w:noProof/>
            <w:sz w:val="22"/>
            <w:szCs w:val="22"/>
          </w:rPr>
          <w:t>Serum Proteomic and early detection of cancer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300</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8" w:history="1">
        <w:r w:rsidR="00591EE2" w:rsidRPr="00591EE2">
          <w:rPr>
            <w:rStyle w:val="Hyperlink"/>
            <w:noProof/>
            <w:sz w:val="22"/>
            <w:szCs w:val="22"/>
          </w:rPr>
          <w:t>4.1.4.6</w:t>
        </w:r>
        <w:r w:rsidR="00591EE2" w:rsidRPr="00591EE2">
          <w:rPr>
            <w:rFonts w:eastAsiaTheme="minorEastAsia"/>
            <w:smallCaps w:val="0"/>
            <w:noProof/>
            <w:sz w:val="22"/>
            <w:szCs w:val="22"/>
            <w:lang w:eastAsia="en-IE"/>
          </w:rPr>
          <w:tab/>
        </w:r>
        <w:r w:rsidR="00591EE2" w:rsidRPr="00591EE2">
          <w:rPr>
            <w:rStyle w:val="Hyperlink"/>
            <w:noProof/>
            <w:sz w:val="22"/>
            <w:szCs w:val="22"/>
          </w:rPr>
          <w:t>Serum proteomics and MM predictive biomarker discovery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301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69" w:history="1">
        <w:r w:rsidR="00591EE2" w:rsidRPr="00591EE2">
          <w:rPr>
            <w:rStyle w:val="Hyperlink"/>
            <w:noProof/>
            <w:sz w:val="22"/>
            <w:szCs w:val="22"/>
            <w14:scene3d>
              <w14:camera w14:prst="orthographicFront"/>
              <w14:lightRig w14:rig="threePt" w14:dir="t">
                <w14:rot w14:lat="0" w14:lon="0" w14:rev="0"/>
              </w14:lightRig>
            </w14:scene3d>
          </w:rPr>
          <w:t>4.1.5</w:t>
        </w:r>
        <w:r w:rsidR="00591EE2" w:rsidRPr="00591EE2">
          <w:rPr>
            <w:rFonts w:eastAsiaTheme="minorEastAsia"/>
            <w:smallCaps w:val="0"/>
            <w:noProof/>
            <w:sz w:val="22"/>
            <w:szCs w:val="22"/>
            <w:lang w:eastAsia="en-IE"/>
          </w:rPr>
          <w:tab/>
        </w:r>
        <w:r w:rsidR="00591EE2" w:rsidRPr="00591EE2">
          <w:rPr>
            <w:rStyle w:val="Hyperlink"/>
            <w:noProof/>
            <w:sz w:val="22"/>
            <w:szCs w:val="22"/>
          </w:rPr>
          <w:t>Sample preparation and immunodepletion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_Toc312257869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307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0" w:history="1">
        <w:r w:rsidR="00591EE2" w:rsidRPr="00591EE2">
          <w:rPr>
            <w:rStyle w:val="Hyperlink"/>
            <w:noProof/>
            <w:sz w:val="22"/>
            <w:szCs w:val="22"/>
            <w14:scene3d>
              <w14:camera w14:prst="orthographicFront"/>
              <w14:lightRig w14:rig="threePt" w14:dir="t">
                <w14:rot w14:lat="0" w14:lon="0" w14:rev="0"/>
              </w14:lightRig>
            </w14:scene3d>
          </w:rPr>
          <w:t>4.1.6</w:t>
        </w:r>
        <w:r w:rsidR="00591EE2" w:rsidRPr="00591EE2">
          <w:rPr>
            <w:rFonts w:eastAsiaTheme="minorEastAsia"/>
            <w:smallCaps w:val="0"/>
            <w:noProof/>
            <w:sz w:val="22"/>
            <w:szCs w:val="22"/>
            <w:lang w:eastAsia="en-IE"/>
          </w:rPr>
          <w:tab/>
        </w:r>
        <w:r w:rsidR="00591EE2" w:rsidRPr="00591EE2">
          <w:rPr>
            <w:rStyle w:val="Hyperlink"/>
            <w:noProof/>
            <w:sz w:val="22"/>
            <w:szCs w:val="22"/>
          </w:rPr>
          <w:t>Selection of 2D-DIGE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309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1" w:history="1">
        <w:r w:rsidR="00591EE2" w:rsidRPr="00591EE2">
          <w:rPr>
            <w:rStyle w:val="Hyperlink"/>
            <w:noProof/>
            <w:sz w:val="22"/>
            <w:szCs w:val="22"/>
          </w:rPr>
          <w:t>4.1.6.1</w:t>
        </w:r>
        <w:r w:rsidR="00591EE2" w:rsidRPr="00591EE2">
          <w:rPr>
            <w:rFonts w:eastAsiaTheme="minorEastAsia"/>
            <w:smallCaps w:val="0"/>
            <w:noProof/>
            <w:sz w:val="22"/>
            <w:szCs w:val="22"/>
            <w:lang w:eastAsia="en-IE"/>
          </w:rPr>
          <w:tab/>
        </w:r>
        <w:r w:rsidR="00591EE2" w:rsidRPr="00591EE2">
          <w:rPr>
            <w:rStyle w:val="Hyperlink"/>
            <w:noProof/>
            <w:sz w:val="22"/>
            <w:szCs w:val="22"/>
          </w:rPr>
          <w:t>2D-DIGE data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310</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2" w:history="1">
        <w:r w:rsidR="00591EE2" w:rsidRPr="00591EE2">
          <w:rPr>
            <w:rStyle w:val="Hyperlink"/>
            <w:noProof/>
            <w:sz w:val="22"/>
            <w:szCs w:val="22"/>
          </w:rPr>
          <w:t>4.1.6.2</w:t>
        </w:r>
        <w:r w:rsidR="00591EE2" w:rsidRPr="00591EE2">
          <w:rPr>
            <w:rFonts w:eastAsiaTheme="minorEastAsia"/>
            <w:smallCaps w:val="0"/>
            <w:noProof/>
            <w:sz w:val="22"/>
            <w:szCs w:val="22"/>
            <w:lang w:eastAsia="en-IE"/>
          </w:rPr>
          <w:tab/>
        </w:r>
        <w:r w:rsidR="00591EE2" w:rsidRPr="00591EE2">
          <w:rPr>
            <w:rStyle w:val="Hyperlink"/>
            <w:noProof/>
            <w:sz w:val="22"/>
            <w:szCs w:val="22"/>
          </w:rPr>
          <w:t>Shortcomings of the system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3" w:history="1">
        <w:r w:rsidR="00591EE2" w:rsidRPr="00591EE2">
          <w:rPr>
            <w:rStyle w:val="Hyperlink"/>
            <w:noProof/>
            <w:sz w:val="22"/>
            <w:szCs w:val="22"/>
            <w14:scene3d>
              <w14:camera w14:prst="orthographicFront"/>
              <w14:lightRig w14:rig="threePt" w14:dir="t">
                <w14:rot w14:lat="0" w14:lon="0" w14:rev="0"/>
              </w14:lightRig>
            </w14:scene3d>
          </w:rPr>
          <w:t>4.1.7</w:t>
        </w:r>
        <w:r w:rsidR="00591EE2" w:rsidRPr="00591EE2">
          <w:rPr>
            <w:rFonts w:eastAsiaTheme="minorEastAsia"/>
            <w:smallCaps w:val="0"/>
            <w:noProof/>
            <w:sz w:val="22"/>
            <w:szCs w:val="22"/>
            <w:lang w:eastAsia="en-IE"/>
          </w:rPr>
          <w:tab/>
        </w:r>
        <w:r w:rsidR="00591EE2" w:rsidRPr="00591EE2">
          <w:rPr>
            <w:rStyle w:val="Hyperlink"/>
            <w:noProof/>
            <w:sz w:val="22"/>
            <w:szCs w:val="22"/>
          </w:rPr>
          <w:t>Bioinformatics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4" w:history="1">
        <w:r w:rsidR="00591EE2" w:rsidRPr="00591EE2">
          <w:rPr>
            <w:rStyle w:val="Hyperlink"/>
            <w:noProof/>
            <w:sz w:val="22"/>
            <w:szCs w:val="22"/>
          </w:rPr>
          <w:t>4.1.7.1</w:t>
        </w:r>
        <w:r w:rsidR="00591EE2" w:rsidRPr="00591EE2">
          <w:rPr>
            <w:rFonts w:eastAsiaTheme="minorEastAsia"/>
            <w:smallCaps w:val="0"/>
            <w:noProof/>
            <w:sz w:val="22"/>
            <w:szCs w:val="22"/>
            <w:lang w:eastAsia="en-IE"/>
          </w:rPr>
          <w:tab/>
        </w:r>
        <w:r w:rsidR="00591EE2" w:rsidRPr="00591EE2">
          <w:rPr>
            <w:rStyle w:val="Hyperlink"/>
            <w:noProof/>
            <w:sz w:val="22"/>
            <w:szCs w:val="22"/>
          </w:rPr>
          <w:t>DeCyder analysis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5" w:history="1">
        <w:r w:rsidR="00591EE2" w:rsidRPr="00591EE2">
          <w:rPr>
            <w:rStyle w:val="Hyperlink"/>
            <w:noProof/>
            <w:sz w:val="22"/>
            <w:szCs w:val="22"/>
          </w:rPr>
          <w:t>4.1.7.2</w:t>
        </w:r>
        <w:r w:rsidR="00591EE2" w:rsidRPr="00591EE2">
          <w:rPr>
            <w:rFonts w:eastAsiaTheme="minorEastAsia"/>
            <w:smallCaps w:val="0"/>
            <w:noProof/>
            <w:sz w:val="22"/>
            <w:szCs w:val="22"/>
            <w:lang w:eastAsia="en-IE"/>
          </w:rPr>
          <w:tab/>
        </w:r>
        <w:r w:rsidR="00591EE2" w:rsidRPr="00591EE2">
          <w:rPr>
            <w:rStyle w:val="Hyperlink"/>
            <w:noProof/>
            <w:sz w:val="22"/>
            <w:szCs w:val="22"/>
          </w:rPr>
          <w:t>Principal Components Analysis (PCA)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6" w:history="1">
        <w:r w:rsidR="00591EE2" w:rsidRPr="00591EE2">
          <w:rPr>
            <w:rStyle w:val="Hyperlink"/>
            <w:noProof/>
            <w:sz w:val="22"/>
            <w:szCs w:val="22"/>
            <w14:scene3d>
              <w14:camera w14:prst="orthographicFront"/>
              <w14:lightRig w14:rig="threePt" w14:dir="t">
                <w14:rot w14:lat="0" w14:lon="0" w14:rev="0"/>
              </w14:lightRig>
            </w14:scene3d>
          </w:rPr>
          <w:t>4.1.8</w:t>
        </w:r>
        <w:r w:rsidR="00591EE2" w:rsidRPr="00591EE2">
          <w:rPr>
            <w:rFonts w:eastAsiaTheme="minorEastAsia"/>
            <w:smallCaps w:val="0"/>
            <w:noProof/>
            <w:sz w:val="22"/>
            <w:szCs w:val="22"/>
            <w:lang w:eastAsia="en-IE"/>
          </w:rPr>
          <w:tab/>
        </w:r>
        <w:r w:rsidR="00591EE2" w:rsidRPr="00591EE2">
          <w:rPr>
            <w:rStyle w:val="Hyperlink"/>
            <w:noProof/>
            <w:sz w:val="22"/>
            <w:szCs w:val="22"/>
          </w:rPr>
          <w:t>Protein identification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7" w:history="1">
        <w:r w:rsidR="00591EE2" w:rsidRPr="00591EE2">
          <w:rPr>
            <w:rStyle w:val="Hyperlink"/>
            <w:noProof/>
            <w:sz w:val="22"/>
            <w:szCs w:val="22"/>
            <w14:scene3d>
              <w14:camera w14:prst="orthographicFront"/>
              <w14:lightRig w14:rig="threePt" w14:dir="t">
                <w14:rot w14:lat="0" w14:lon="0" w14:rev="0"/>
              </w14:lightRig>
            </w14:scene3d>
          </w:rPr>
          <w:t>4.1.9</w:t>
        </w:r>
        <w:r w:rsidR="00591EE2" w:rsidRPr="00591EE2">
          <w:rPr>
            <w:rFonts w:eastAsiaTheme="minorEastAsia"/>
            <w:smallCaps w:val="0"/>
            <w:noProof/>
            <w:sz w:val="22"/>
            <w:szCs w:val="22"/>
            <w:lang w:eastAsia="en-IE"/>
          </w:rPr>
          <w:tab/>
        </w:r>
        <w:r w:rsidR="00591EE2" w:rsidRPr="00591EE2">
          <w:rPr>
            <w:rStyle w:val="Hyperlink"/>
            <w:noProof/>
            <w:sz w:val="22"/>
            <w:szCs w:val="22"/>
          </w:rPr>
          <w:t>Validation of potential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314</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78" w:history="1">
        <w:r w:rsidR="00591EE2" w:rsidRPr="00591EE2">
          <w:rPr>
            <w:rStyle w:val="Hyperlink"/>
            <w:noProof/>
            <w:sz w:val="22"/>
            <w:szCs w:val="22"/>
            <w14:scene3d>
              <w14:camera w14:prst="orthographicFront"/>
              <w14:lightRig w14:rig="threePt" w14:dir="t">
                <w14:rot w14:lat="0" w14:lon="0" w14:rev="0"/>
              </w14:lightRig>
            </w14:scene3d>
          </w:rPr>
          <w:t>4.1.10</w:t>
        </w:r>
        <w:r w:rsidR="00591EE2" w:rsidRPr="00591EE2">
          <w:rPr>
            <w:rFonts w:eastAsiaTheme="minorEastAsia"/>
            <w:smallCaps w:val="0"/>
            <w:noProof/>
            <w:sz w:val="22"/>
            <w:szCs w:val="22"/>
            <w:lang w:eastAsia="en-IE"/>
          </w:rPr>
          <w:tab/>
        </w:r>
        <w:r w:rsidR="00591EE2" w:rsidRPr="00591EE2">
          <w:rPr>
            <w:rStyle w:val="Hyperlink"/>
            <w:noProof/>
            <w:sz w:val="22"/>
            <w:szCs w:val="22"/>
          </w:rPr>
          <w:t>Immunohistochemistry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_Toc312257878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0" w:history="1">
        <w:r w:rsidR="00591EE2" w:rsidRPr="00591EE2">
          <w:rPr>
            <w:rStyle w:val="Hyperlink"/>
            <w:noProof/>
            <w:sz w:val="22"/>
            <w:szCs w:val="22"/>
          </w:rPr>
          <w:t>4.1.11.1</w:t>
        </w:r>
        <w:r w:rsidR="00591EE2" w:rsidRPr="00591EE2">
          <w:rPr>
            <w:rFonts w:eastAsiaTheme="minorEastAsia"/>
            <w:smallCaps w:val="0"/>
            <w:noProof/>
            <w:sz w:val="22"/>
            <w:szCs w:val="22"/>
            <w:lang w:eastAsia="en-IE"/>
          </w:rPr>
          <w:tab/>
        </w:r>
        <w:r w:rsidR="00591EE2" w:rsidRPr="00591EE2">
          <w:rPr>
            <w:rStyle w:val="Hyperlink"/>
            <w:noProof/>
            <w:sz w:val="22"/>
            <w:szCs w:val="22"/>
          </w:rPr>
          <w:t>ELISA based validation of discovered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1" w:history="1">
        <w:r w:rsidR="00591EE2" w:rsidRPr="00591EE2">
          <w:rPr>
            <w:rStyle w:val="Hyperlink"/>
            <w:noProof/>
            <w:sz w:val="22"/>
            <w:szCs w:val="22"/>
          </w:rPr>
          <w:t>4.1.11.2</w:t>
        </w:r>
        <w:r w:rsidR="00591EE2" w:rsidRPr="00591EE2">
          <w:rPr>
            <w:rFonts w:eastAsiaTheme="minorEastAsia"/>
            <w:smallCaps w:val="0"/>
            <w:noProof/>
            <w:sz w:val="22"/>
            <w:szCs w:val="22"/>
            <w:lang w:eastAsia="en-IE"/>
          </w:rPr>
          <w:tab/>
        </w:r>
        <w:r w:rsidR="00591EE2" w:rsidRPr="00591EE2">
          <w:rPr>
            <w:rStyle w:val="Hyperlink"/>
            <w:noProof/>
            <w:sz w:val="22"/>
            <w:szCs w:val="22"/>
          </w:rPr>
          <w:t>Statistical method used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316</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2" w:history="1">
        <w:r w:rsidR="00591EE2" w:rsidRPr="00591EE2">
          <w:rPr>
            <w:rStyle w:val="Hyperlink"/>
            <w:noProof/>
            <w:sz w:val="22"/>
            <w:szCs w:val="22"/>
          </w:rPr>
          <w:t>4.1.11.2.1</w:t>
        </w:r>
        <w:r w:rsidR="00591EE2" w:rsidRPr="00591EE2">
          <w:rPr>
            <w:rFonts w:eastAsiaTheme="minorEastAsia"/>
            <w:smallCaps w:val="0"/>
            <w:noProof/>
            <w:sz w:val="22"/>
            <w:szCs w:val="22"/>
            <w:lang w:eastAsia="en-IE"/>
          </w:rPr>
          <w:tab/>
        </w:r>
        <w:r w:rsidR="00591EE2" w:rsidRPr="00591EE2">
          <w:rPr>
            <w:rStyle w:val="Hyperlink"/>
            <w:noProof/>
            <w:sz w:val="22"/>
            <w:szCs w:val="22"/>
          </w:rPr>
          <w:t>Receiver operating characteristic (ROC) curve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3" w:history="1">
        <w:r w:rsidR="00591EE2" w:rsidRPr="00591EE2">
          <w:rPr>
            <w:rStyle w:val="Hyperlink"/>
            <w:noProof/>
            <w:sz w:val="22"/>
            <w:szCs w:val="22"/>
          </w:rPr>
          <w:t>4.1.11.2.2</w:t>
        </w:r>
        <w:r w:rsidR="00591EE2" w:rsidRPr="00591EE2">
          <w:rPr>
            <w:rFonts w:eastAsiaTheme="minorEastAsia"/>
            <w:smallCaps w:val="0"/>
            <w:noProof/>
            <w:sz w:val="22"/>
            <w:szCs w:val="22"/>
            <w:lang w:eastAsia="en-IE"/>
          </w:rPr>
          <w:tab/>
        </w:r>
        <w:r w:rsidR="00591EE2" w:rsidRPr="00591EE2">
          <w:rPr>
            <w:rStyle w:val="Hyperlink"/>
            <w:noProof/>
            <w:sz w:val="22"/>
            <w:szCs w:val="22"/>
          </w:rPr>
          <w:t>Leave-one-out cross validation (LOOCV)</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318</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4" w:history="1">
        <w:r w:rsidR="00591EE2" w:rsidRPr="00591EE2">
          <w:rPr>
            <w:rStyle w:val="Hyperlink"/>
            <w:noProof/>
            <w:sz w:val="22"/>
            <w:szCs w:val="22"/>
          </w:rPr>
          <w:t>4.1.11.3</w:t>
        </w:r>
        <w:r w:rsidR="00591EE2" w:rsidRPr="00591EE2">
          <w:rPr>
            <w:rFonts w:eastAsiaTheme="minorEastAsia"/>
            <w:smallCaps w:val="0"/>
            <w:noProof/>
            <w:sz w:val="22"/>
            <w:szCs w:val="22"/>
            <w:lang w:eastAsia="en-IE"/>
          </w:rPr>
          <w:tab/>
        </w:r>
        <w:r w:rsidR="00591EE2" w:rsidRPr="00591EE2">
          <w:rPr>
            <w:rStyle w:val="Hyperlink"/>
            <w:noProof/>
            <w:sz w:val="22"/>
            <w:szCs w:val="22"/>
          </w:rPr>
          <w:t>Predictive accuracy of potential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320</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5" w:history="1">
        <w:r w:rsidR="00591EE2" w:rsidRPr="00591EE2">
          <w:rPr>
            <w:rStyle w:val="Hyperlink"/>
            <w:noProof/>
            <w:sz w:val="22"/>
            <w:szCs w:val="22"/>
            <w14:scene3d>
              <w14:camera w14:prst="orthographicFront"/>
              <w14:lightRig w14:rig="threePt" w14:dir="t">
                <w14:rot w14:lat="0" w14:lon="0" w14:rev="0"/>
              </w14:lightRig>
            </w14:scene3d>
          </w:rPr>
          <w:t>4.1.12</w:t>
        </w:r>
        <w:r w:rsidR="00591EE2" w:rsidRPr="00591EE2">
          <w:rPr>
            <w:rFonts w:eastAsiaTheme="minorEastAsia"/>
            <w:smallCaps w:val="0"/>
            <w:noProof/>
            <w:sz w:val="22"/>
            <w:szCs w:val="22"/>
            <w:lang w:eastAsia="en-IE"/>
          </w:rPr>
          <w:tab/>
        </w:r>
        <w:r w:rsidR="00591EE2" w:rsidRPr="00591EE2">
          <w:rPr>
            <w:rStyle w:val="Hyperlink"/>
            <w:noProof/>
            <w:sz w:val="22"/>
            <w:szCs w:val="22"/>
          </w:rPr>
          <w:t>Multiple myeloma and thalidomide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6" w:history="1">
        <w:r w:rsidR="00591EE2" w:rsidRPr="00591EE2">
          <w:rPr>
            <w:rStyle w:val="Hyperlink"/>
            <w:noProof/>
            <w:sz w:val="22"/>
            <w:szCs w:val="22"/>
          </w:rPr>
          <w:t>4.1.12.1</w:t>
        </w:r>
        <w:r w:rsidR="00591EE2" w:rsidRPr="00591EE2">
          <w:rPr>
            <w:rFonts w:eastAsiaTheme="minorEastAsia"/>
            <w:smallCaps w:val="0"/>
            <w:noProof/>
            <w:sz w:val="22"/>
            <w:szCs w:val="22"/>
            <w:lang w:eastAsia="en-IE"/>
          </w:rPr>
          <w:tab/>
        </w:r>
        <w:r w:rsidR="00591EE2" w:rsidRPr="00591EE2">
          <w:rPr>
            <w:rStyle w:val="Hyperlink"/>
            <w:noProof/>
            <w:sz w:val="22"/>
            <w:szCs w:val="22"/>
          </w:rPr>
          <w:t>Variable response rate in MM patients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7" w:history="1">
        <w:r w:rsidR="00591EE2" w:rsidRPr="00591EE2">
          <w:rPr>
            <w:rStyle w:val="Hyperlink"/>
            <w:noProof/>
            <w:sz w:val="22"/>
            <w:szCs w:val="22"/>
            <w14:scene3d>
              <w14:camera w14:prst="orthographicFront"/>
              <w14:lightRig w14:rig="threePt" w14:dir="t">
                <w14:rot w14:lat="0" w14:lon="0" w14:rev="0"/>
              </w14:lightRig>
            </w14:scene3d>
          </w:rPr>
          <w:t>4.1.13</w:t>
        </w:r>
        <w:r w:rsidR="00591EE2" w:rsidRPr="00591EE2">
          <w:rPr>
            <w:rFonts w:eastAsiaTheme="minorEastAsia"/>
            <w:smallCaps w:val="0"/>
            <w:noProof/>
            <w:sz w:val="22"/>
            <w:szCs w:val="22"/>
            <w:lang w:eastAsia="en-IE"/>
          </w:rPr>
          <w:tab/>
        </w:r>
        <w:r w:rsidR="00591EE2" w:rsidRPr="00591EE2">
          <w:rPr>
            <w:rStyle w:val="Hyperlink"/>
            <w:noProof/>
            <w:sz w:val="22"/>
            <w:szCs w:val="22"/>
          </w:rPr>
          <w:t>A literature search of proteins biomarkers and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8" w:history="1">
        <w:r w:rsidR="00591EE2" w:rsidRPr="00591EE2">
          <w:rPr>
            <w:rStyle w:val="Hyperlink"/>
            <w:noProof/>
            <w:sz w:val="22"/>
            <w:szCs w:val="22"/>
          </w:rPr>
          <w:t>4.1.13.1</w:t>
        </w:r>
        <w:r w:rsidR="00591EE2" w:rsidRPr="00591EE2">
          <w:rPr>
            <w:rFonts w:eastAsiaTheme="minorEastAsia"/>
            <w:smallCaps w:val="0"/>
            <w:noProof/>
            <w:sz w:val="22"/>
            <w:szCs w:val="22"/>
            <w:lang w:eastAsia="en-IE"/>
          </w:rPr>
          <w:tab/>
        </w:r>
        <w:r w:rsidR="00591EE2" w:rsidRPr="00591EE2">
          <w:rPr>
            <w:rStyle w:val="Hyperlink"/>
            <w:noProof/>
            <w:sz w:val="22"/>
            <w:szCs w:val="22"/>
          </w:rPr>
          <w:t>Zinc alpha 2-glycoprotein (ZAG)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89" w:history="1">
        <w:r w:rsidR="00591EE2" w:rsidRPr="00591EE2">
          <w:rPr>
            <w:rStyle w:val="Hyperlink"/>
            <w:noProof/>
            <w:sz w:val="22"/>
            <w:szCs w:val="22"/>
            <w:lang w:val="en-US"/>
          </w:rPr>
          <w:t>4.1.13.2</w:t>
        </w:r>
        <w:r w:rsidR="00591EE2" w:rsidRPr="00591EE2">
          <w:rPr>
            <w:rFonts w:eastAsiaTheme="minorEastAsia"/>
            <w:smallCaps w:val="0"/>
            <w:noProof/>
            <w:sz w:val="22"/>
            <w:szCs w:val="22"/>
            <w:lang w:eastAsia="en-IE"/>
          </w:rPr>
          <w:tab/>
        </w:r>
        <w:r w:rsidR="00591EE2" w:rsidRPr="00591EE2">
          <w:rPr>
            <w:rStyle w:val="Hyperlink"/>
            <w:noProof/>
            <w:sz w:val="22"/>
            <w:szCs w:val="22"/>
            <w:lang w:val="en-US"/>
          </w:rPr>
          <w:t>Serum Amyloid A protein (SAA)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_Toc312257889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0" w:history="1">
        <w:r w:rsidR="00591EE2" w:rsidRPr="00591EE2">
          <w:rPr>
            <w:rStyle w:val="Hyperlink"/>
            <w:noProof/>
            <w:sz w:val="22"/>
            <w:szCs w:val="22"/>
          </w:rPr>
          <w:t>4.1.13.3</w:t>
        </w:r>
        <w:r w:rsidR="00591EE2" w:rsidRPr="00591EE2">
          <w:rPr>
            <w:rFonts w:eastAsiaTheme="minorEastAsia"/>
            <w:smallCaps w:val="0"/>
            <w:noProof/>
            <w:sz w:val="22"/>
            <w:szCs w:val="22"/>
            <w:lang w:eastAsia="en-IE"/>
          </w:rPr>
          <w:tab/>
        </w:r>
        <w:r w:rsidR="00591EE2" w:rsidRPr="00591EE2">
          <w:rPr>
            <w:rStyle w:val="Hyperlink"/>
            <w:noProof/>
            <w:sz w:val="22"/>
            <w:szCs w:val="22"/>
          </w:rPr>
          <w:t>Serum Haptoglobin (Hp)</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329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1" w:history="1">
        <w:r w:rsidR="00591EE2" w:rsidRPr="00591EE2">
          <w:rPr>
            <w:rStyle w:val="Hyperlink"/>
            <w:noProof/>
            <w:sz w:val="22"/>
            <w:szCs w:val="22"/>
          </w:rPr>
          <w:t>4.1.13.4</w:t>
        </w:r>
        <w:r w:rsidR="00591EE2" w:rsidRPr="00591EE2">
          <w:rPr>
            <w:rFonts w:eastAsiaTheme="minorEastAsia"/>
            <w:smallCaps w:val="0"/>
            <w:noProof/>
            <w:sz w:val="22"/>
            <w:szCs w:val="22"/>
            <w:lang w:eastAsia="en-IE"/>
          </w:rPr>
          <w:tab/>
        </w:r>
        <w:r w:rsidR="00591EE2" w:rsidRPr="00591EE2">
          <w:rPr>
            <w:rStyle w:val="Hyperlink"/>
            <w:noProof/>
            <w:sz w:val="22"/>
            <w:szCs w:val="22"/>
          </w:rPr>
          <w:t>Vitamin D binding Precursor (VDB)</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2" w:history="1">
        <w:r w:rsidR="00591EE2" w:rsidRPr="00591EE2">
          <w:rPr>
            <w:rStyle w:val="Hyperlink"/>
            <w:noProof/>
            <w:sz w:val="22"/>
            <w:szCs w:val="22"/>
          </w:rPr>
          <w:t>4.1.13.5</w:t>
        </w:r>
        <w:r w:rsidR="00591EE2" w:rsidRPr="00591EE2">
          <w:rPr>
            <w:rFonts w:eastAsiaTheme="minorEastAsia"/>
            <w:smallCaps w:val="0"/>
            <w:noProof/>
            <w:sz w:val="22"/>
            <w:szCs w:val="22"/>
            <w:lang w:eastAsia="en-IE"/>
          </w:rPr>
          <w:tab/>
        </w:r>
        <w:r w:rsidR="00591EE2" w:rsidRPr="00591EE2">
          <w:rPr>
            <w:rStyle w:val="Hyperlink"/>
            <w:noProof/>
            <w:sz w:val="22"/>
            <w:szCs w:val="22"/>
          </w:rPr>
          <w:t>Beta 2-microglobulin (B2M)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3" w:history="1">
        <w:r w:rsidR="00591EE2" w:rsidRPr="00591EE2">
          <w:rPr>
            <w:rStyle w:val="Hyperlink"/>
            <w:noProof/>
            <w:sz w:val="22"/>
            <w:szCs w:val="22"/>
          </w:rPr>
          <w:t>4.1.13.6</w:t>
        </w:r>
        <w:r w:rsidR="00591EE2" w:rsidRPr="00591EE2">
          <w:rPr>
            <w:rFonts w:eastAsiaTheme="minorEastAsia"/>
            <w:smallCaps w:val="0"/>
            <w:noProof/>
            <w:sz w:val="22"/>
            <w:szCs w:val="22"/>
            <w:lang w:eastAsia="en-IE"/>
          </w:rPr>
          <w:tab/>
        </w:r>
        <w:r w:rsidR="00591EE2" w:rsidRPr="00591EE2">
          <w:rPr>
            <w:rStyle w:val="Hyperlink"/>
            <w:noProof/>
            <w:sz w:val="22"/>
            <w:szCs w:val="22"/>
          </w:rPr>
          <w:t>Transthyretin (TYR)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334</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4" w:history="1">
        <w:r w:rsidR="00591EE2" w:rsidRPr="00591EE2">
          <w:rPr>
            <w:rStyle w:val="Hyperlink"/>
            <w:noProof/>
            <w:sz w:val="22"/>
            <w:szCs w:val="22"/>
            <w14:scene3d>
              <w14:camera w14:prst="orthographicFront"/>
              <w14:lightRig w14:rig="threePt" w14:dir="t">
                <w14:rot w14:lat="0" w14:lon="0" w14:rev="0"/>
              </w14:lightRig>
            </w14:scene3d>
          </w:rPr>
          <w:t>4.1.14</w:t>
        </w:r>
        <w:r w:rsidR="00591EE2" w:rsidRPr="00591EE2">
          <w:rPr>
            <w:rFonts w:eastAsiaTheme="minorEastAsia"/>
            <w:smallCaps w:val="0"/>
            <w:noProof/>
            <w:sz w:val="22"/>
            <w:szCs w:val="22"/>
            <w:lang w:eastAsia="en-IE"/>
          </w:rPr>
          <w:tab/>
        </w:r>
        <w:r w:rsidR="00591EE2" w:rsidRPr="00591EE2">
          <w:rPr>
            <w:rStyle w:val="Hyperlink"/>
            <w:noProof/>
            <w:sz w:val="22"/>
            <w:szCs w:val="22"/>
          </w:rPr>
          <w:t>Mechanism of action of thalidomide and discovered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336</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5" w:history="1">
        <w:r w:rsidR="00591EE2" w:rsidRPr="00591EE2">
          <w:rPr>
            <w:rStyle w:val="Hyperlink"/>
            <w:noProof/>
            <w:sz w:val="22"/>
            <w:szCs w:val="22"/>
          </w:rPr>
          <w:t>4.1.14.1</w:t>
        </w:r>
        <w:r w:rsidR="00591EE2" w:rsidRPr="00591EE2">
          <w:rPr>
            <w:rFonts w:eastAsiaTheme="minorEastAsia"/>
            <w:smallCaps w:val="0"/>
            <w:noProof/>
            <w:sz w:val="22"/>
            <w:szCs w:val="22"/>
            <w:lang w:eastAsia="en-IE"/>
          </w:rPr>
          <w:tab/>
        </w:r>
        <w:r w:rsidR="00591EE2" w:rsidRPr="00591EE2">
          <w:rPr>
            <w:rStyle w:val="Hyperlink"/>
            <w:noProof/>
            <w:sz w:val="22"/>
            <w:szCs w:val="22"/>
          </w:rPr>
          <w:t>Immunomodulatory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6" w:history="1">
        <w:r w:rsidR="00591EE2" w:rsidRPr="00591EE2">
          <w:rPr>
            <w:rStyle w:val="Hyperlink"/>
            <w:noProof/>
            <w:sz w:val="22"/>
            <w:szCs w:val="22"/>
          </w:rPr>
          <w:t>4.1.14.1.1</w:t>
        </w:r>
        <w:r w:rsidR="00591EE2" w:rsidRPr="00591EE2">
          <w:rPr>
            <w:rFonts w:eastAsiaTheme="minorEastAsia"/>
            <w:smallCaps w:val="0"/>
            <w:noProof/>
            <w:sz w:val="22"/>
            <w:szCs w:val="22"/>
            <w:lang w:eastAsia="en-IE"/>
          </w:rPr>
          <w:tab/>
        </w:r>
        <w:r w:rsidR="00591EE2" w:rsidRPr="00591EE2">
          <w:rPr>
            <w:rStyle w:val="Hyperlink"/>
            <w:noProof/>
            <w:sz w:val="22"/>
            <w:szCs w:val="22"/>
          </w:rPr>
          <w:t>Cytokine / TNF alpha inhibition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7" w:history="1">
        <w:r w:rsidR="00591EE2" w:rsidRPr="00591EE2">
          <w:rPr>
            <w:rStyle w:val="Hyperlink"/>
            <w:noProof/>
            <w:sz w:val="22"/>
            <w:szCs w:val="22"/>
          </w:rPr>
          <w:t>4.1.14.1.2</w:t>
        </w:r>
        <w:r w:rsidR="00591EE2" w:rsidRPr="00591EE2">
          <w:rPr>
            <w:rFonts w:eastAsiaTheme="minorEastAsia"/>
            <w:smallCaps w:val="0"/>
            <w:noProof/>
            <w:sz w:val="22"/>
            <w:szCs w:val="22"/>
            <w:lang w:eastAsia="en-IE"/>
          </w:rPr>
          <w:tab/>
        </w:r>
        <w:r w:rsidR="00591EE2" w:rsidRPr="00591EE2">
          <w:rPr>
            <w:rStyle w:val="Hyperlink"/>
            <w:noProof/>
            <w:sz w:val="22"/>
            <w:szCs w:val="22"/>
          </w:rPr>
          <w:t>Induction of T- cell proliferation</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338</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8" w:history="1">
        <w:r w:rsidR="00591EE2" w:rsidRPr="00591EE2">
          <w:rPr>
            <w:rStyle w:val="Hyperlink"/>
            <w:noProof/>
            <w:sz w:val="22"/>
            <w:szCs w:val="22"/>
          </w:rPr>
          <w:t>4.1.14.1.3</w:t>
        </w:r>
        <w:r w:rsidR="00591EE2" w:rsidRPr="00591EE2">
          <w:rPr>
            <w:rFonts w:eastAsiaTheme="minorEastAsia"/>
            <w:smallCaps w:val="0"/>
            <w:noProof/>
            <w:sz w:val="22"/>
            <w:szCs w:val="22"/>
            <w:lang w:eastAsia="en-IE"/>
          </w:rPr>
          <w:tab/>
        </w:r>
        <w:r w:rsidR="00591EE2" w:rsidRPr="00591EE2">
          <w:rPr>
            <w:rStyle w:val="Hyperlink"/>
            <w:noProof/>
            <w:sz w:val="22"/>
            <w:szCs w:val="22"/>
          </w:rPr>
          <w:t>Immunomodulation and discovered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338</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899" w:history="1">
        <w:r w:rsidR="00591EE2" w:rsidRPr="00591EE2">
          <w:rPr>
            <w:rStyle w:val="Hyperlink"/>
            <w:noProof/>
            <w:sz w:val="22"/>
            <w:szCs w:val="22"/>
          </w:rPr>
          <w:t>4.1.14.2</w:t>
        </w:r>
        <w:r w:rsidR="00591EE2" w:rsidRPr="00591EE2">
          <w:rPr>
            <w:rFonts w:eastAsiaTheme="minorEastAsia"/>
            <w:smallCaps w:val="0"/>
            <w:noProof/>
            <w:sz w:val="22"/>
            <w:szCs w:val="22"/>
            <w:lang w:eastAsia="en-IE"/>
          </w:rPr>
          <w:tab/>
        </w:r>
        <w:r w:rsidR="00591EE2" w:rsidRPr="00591EE2">
          <w:rPr>
            <w:rStyle w:val="Hyperlink"/>
            <w:noProof/>
            <w:sz w:val="22"/>
            <w:szCs w:val="22"/>
          </w:rPr>
          <w:t>Thalidomide anti-angiogenic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_Toc312257899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0" w:history="1">
        <w:r w:rsidR="00591EE2" w:rsidRPr="00591EE2">
          <w:rPr>
            <w:rStyle w:val="Hyperlink"/>
            <w:noProof/>
            <w:sz w:val="22"/>
            <w:szCs w:val="22"/>
          </w:rPr>
          <w:t>4.1.14.3</w:t>
        </w:r>
        <w:r w:rsidR="00591EE2" w:rsidRPr="00591EE2">
          <w:rPr>
            <w:rFonts w:eastAsiaTheme="minorEastAsia"/>
            <w:smallCaps w:val="0"/>
            <w:noProof/>
            <w:sz w:val="22"/>
            <w:szCs w:val="22"/>
            <w:lang w:eastAsia="en-IE"/>
          </w:rPr>
          <w:tab/>
        </w:r>
        <w:r w:rsidR="00591EE2" w:rsidRPr="00591EE2">
          <w:rPr>
            <w:rStyle w:val="Hyperlink"/>
            <w:noProof/>
            <w:sz w:val="22"/>
            <w:szCs w:val="22"/>
          </w:rPr>
          <w:t>Effect on bone marrow microenvironment,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1" w:history="1">
        <w:r w:rsidR="00591EE2" w:rsidRPr="00591EE2">
          <w:rPr>
            <w:rStyle w:val="Hyperlink"/>
            <w:noProof/>
            <w:sz w:val="22"/>
            <w:szCs w:val="22"/>
          </w:rPr>
          <w:t>4.1.14.4</w:t>
        </w:r>
        <w:r w:rsidR="00591EE2" w:rsidRPr="00591EE2">
          <w:rPr>
            <w:rFonts w:eastAsiaTheme="minorEastAsia"/>
            <w:smallCaps w:val="0"/>
            <w:noProof/>
            <w:sz w:val="22"/>
            <w:szCs w:val="22"/>
            <w:lang w:eastAsia="en-IE"/>
          </w:rPr>
          <w:tab/>
        </w:r>
        <w:r w:rsidR="00591EE2" w:rsidRPr="00591EE2">
          <w:rPr>
            <w:rStyle w:val="Hyperlink"/>
            <w:noProof/>
            <w:sz w:val="22"/>
            <w:szCs w:val="22"/>
          </w:rPr>
          <w:t>Direct inhibition of myeloma cells growth and survival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2" w:history="1">
        <w:r w:rsidR="00591EE2" w:rsidRPr="00591EE2">
          <w:rPr>
            <w:rStyle w:val="Hyperlink"/>
            <w:noProof/>
            <w:sz w:val="22"/>
            <w:szCs w:val="22"/>
          </w:rPr>
          <w:t>4.1.14.5</w:t>
        </w:r>
        <w:r w:rsidR="00591EE2" w:rsidRPr="00591EE2">
          <w:rPr>
            <w:rFonts w:eastAsiaTheme="minorEastAsia"/>
            <w:smallCaps w:val="0"/>
            <w:noProof/>
            <w:sz w:val="22"/>
            <w:szCs w:val="22"/>
            <w:lang w:eastAsia="en-IE"/>
          </w:rPr>
          <w:tab/>
        </w:r>
        <w:r w:rsidR="00591EE2" w:rsidRPr="00591EE2">
          <w:rPr>
            <w:rStyle w:val="Hyperlink"/>
            <w:noProof/>
            <w:sz w:val="22"/>
            <w:szCs w:val="22"/>
          </w:rPr>
          <w:t>Serum protein level of VDB, SAA, ZAG, B2M and myeloma microenvironment</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3" w:history="1">
        <w:r w:rsidR="00591EE2" w:rsidRPr="00591EE2">
          <w:rPr>
            <w:rStyle w:val="Hyperlink"/>
            <w:noProof/>
            <w:sz w:val="22"/>
            <w:szCs w:val="22"/>
            <w14:scene3d>
              <w14:camera w14:prst="orthographicFront"/>
              <w14:lightRig w14:rig="threePt" w14:dir="t">
                <w14:rot w14:lat="0" w14:lon="0" w14:rev="0"/>
              </w14:lightRig>
            </w14:scene3d>
          </w:rPr>
          <w:t>4.1.15</w:t>
        </w:r>
        <w:r w:rsidR="00591EE2" w:rsidRPr="00591EE2">
          <w:rPr>
            <w:rFonts w:eastAsiaTheme="minorEastAsia"/>
            <w:smallCaps w:val="0"/>
            <w:noProof/>
            <w:sz w:val="22"/>
            <w:szCs w:val="22"/>
            <w:lang w:eastAsia="en-IE"/>
          </w:rPr>
          <w:tab/>
        </w:r>
        <w:r w:rsidR="00591EE2" w:rsidRPr="00591EE2">
          <w:rPr>
            <w:rStyle w:val="Hyperlink"/>
            <w:noProof/>
            <w:sz w:val="22"/>
            <w:szCs w:val="22"/>
          </w:rPr>
          <w:t>Impact and correlation between additional biological parameters and efficacy potential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4" w:history="1">
        <w:r w:rsidR="00591EE2" w:rsidRPr="00591EE2">
          <w:rPr>
            <w:rStyle w:val="Hyperlink"/>
            <w:noProof/>
            <w:sz w:val="22"/>
            <w:szCs w:val="22"/>
          </w:rPr>
          <w:t>4.1.15.1</w:t>
        </w:r>
        <w:r w:rsidR="00591EE2" w:rsidRPr="00591EE2">
          <w:rPr>
            <w:rFonts w:eastAsiaTheme="minorEastAsia"/>
            <w:smallCaps w:val="0"/>
            <w:noProof/>
            <w:sz w:val="22"/>
            <w:szCs w:val="22"/>
            <w:lang w:eastAsia="en-IE"/>
          </w:rPr>
          <w:tab/>
        </w:r>
        <w:r w:rsidR="00591EE2" w:rsidRPr="00591EE2">
          <w:rPr>
            <w:rStyle w:val="Hyperlink"/>
            <w:noProof/>
            <w:sz w:val="22"/>
            <w:szCs w:val="22"/>
          </w:rPr>
          <w:t>CRP and response to thalidomide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5" w:history="1">
        <w:r w:rsidR="00591EE2" w:rsidRPr="00591EE2">
          <w:rPr>
            <w:rStyle w:val="Hyperlink"/>
            <w:noProof/>
            <w:sz w:val="22"/>
            <w:szCs w:val="22"/>
          </w:rPr>
          <w:t>4.1.15.1.1</w:t>
        </w:r>
        <w:r w:rsidR="00591EE2" w:rsidRPr="00591EE2">
          <w:rPr>
            <w:rFonts w:eastAsiaTheme="minorEastAsia"/>
            <w:smallCaps w:val="0"/>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6" w:history="1">
        <w:r w:rsidR="00591EE2" w:rsidRPr="00591EE2">
          <w:rPr>
            <w:rStyle w:val="Hyperlink"/>
            <w:noProof/>
            <w:sz w:val="22"/>
            <w:szCs w:val="22"/>
          </w:rPr>
          <w:t>4.1.15.1.2</w:t>
        </w:r>
        <w:r w:rsidR="00591EE2" w:rsidRPr="00591EE2">
          <w:rPr>
            <w:rFonts w:eastAsiaTheme="minorEastAsia"/>
            <w:smallCaps w:val="0"/>
            <w:noProof/>
            <w:sz w:val="22"/>
            <w:szCs w:val="22"/>
            <w:lang w:eastAsia="en-IE"/>
          </w:rPr>
          <w:tab/>
        </w:r>
        <w:r w:rsidR="00591EE2" w:rsidRPr="00591EE2">
          <w:rPr>
            <w:rStyle w:val="Hyperlink"/>
            <w:noProof/>
            <w:sz w:val="22"/>
            <w:szCs w:val="22"/>
          </w:rPr>
          <w:t>Serum CRP and cancer</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7" w:history="1">
        <w:r w:rsidR="00591EE2" w:rsidRPr="00591EE2">
          <w:rPr>
            <w:rStyle w:val="Hyperlink"/>
            <w:noProof/>
            <w:sz w:val="22"/>
            <w:szCs w:val="22"/>
          </w:rPr>
          <w:t>4.1.15.1.3</w:t>
        </w:r>
        <w:r w:rsidR="00591EE2" w:rsidRPr="00591EE2">
          <w:rPr>
            <w:rFonts w:eastAsiaTheme="minorEastAsia"/>
            <w:smallCaps w:val="0"/>
            <w:noProof/>
            <w:sz w:val="22"/>
            <w:szCs w:val="22"/>
            <w:lang w:eastAsia="en-IE"/>
          </w:rPr>
          <w:tab/>
        </w:r>
        <w:r w:rsidR="00591EE2" w:rsidRPr="00591EE2">
          <w:rPr>
            <w:rStyle w:val="Hyperlink"/>
            <w:noProof/>
            <w:sz w:val="22"/>
            <w:szCs w:val="22"/>
          </w:rPr>
          <w:t>CRP and MM</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8" w:history="1">
        <w:r w:rsidR="00591EE2" w:rsidRPr="00591EE2">
          <w:rPr>
            <w:rStyle w:val="Hyperlink"/>
            <w:noProof/>
            <w:sz w:val="22"/>
            <w:szCs w:val="22"/>
          </w:rPr>
          <w:t>4.1.15.2</w:t>
        </w:r>
        <w:r w:rsidR="00591EE2" w:rsidRPr="00591EE2">
          <w:rPr>
            <w:rFonts w:eastAsiaTheme="minorEastAsia"/>
            <w:smallCaps w:val="0"/>
            <w:noProof/>
            <w:sz w:val="22"/>
            <w:szCs w:val="22"/>
            <w:lang w:eastAsia="en-IE"/>
          </w:rPr>
          <w:tab/>
        </w:r>
        <w:r w:rsidR="00591EE2" w:rsidRPr="00591EE2">
          <w:rPr>
            <w:rStyle w:val="Hyperlink"/>
            <w:noProof/>
            <w:sz w:val="22"/>
            <w:szCs w:val="22"/>
          </w:rPr>
          <w:t>Patients age at diagnosis and response to thalidomide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09" w:history="1">
        <w:r w:rsidR="00591EE2" w:rsidRPr="00591EE2">
          <w:rPr>
            <w:rStyle w:val="Hyperlink"/>
            <w:noProof/>
            <w:sz w:val="22"/>
            <w:szCs w:val="22"/>
          </w:rPr>
          <w:t>4.1.15.2.1</w:t>
        </w:r>
        <w:r w:rsidR="00591EE2" w:rsidRPr="00591EE2">
          <w:rPr>
            <w:rFonts w:eastAsiaTheme="minorEastAsia"/>
            <w:smallCaps w:val="0"/>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_Toc312257909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0" w:history="1">
        <w:r w:rsidR="00591EE2" w:rsidRPr="00591EE2">
          <w:rPr>
            <w:rStyle w:val="Hyperlink"/>
            <w:noProof/>
            <w:sz w:val="22"/>
            <w:szCs w:val="22"/>
          </w:rPr>
          <w:t>4.1.15.2.2</w:t>
        </w:r>
        <w:r w:rsidR="00591EE2" w:rsidRPr="00591EE2">
          <w:rPr>
            <w:rFonts w:eastAsiaTheme="minorEastAsia"/>
            <w:smallCaps w:val="0"/>
            <w:noProof/>
            <w:sz w:val="22"/>
            <w:szCs w:val="22"/>
            <w:lang w:eastAsia="en-IE"/>
          </w:rPr>
          <w:tab/>
        </w:r>
        <w:r w:rsidR="00591EE2" w:rsidRPr="00591EE2">
          <w:rPr>
            <w:rStyle w:val="Hyperlink"/>
            <w:noProof/>
            <w:sz w:val="22"/>
            <w:szCs w:val="22"/>
          </w:rPr>
          <w:t>Patient age and predictive model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347</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1" w:history="1">
        <w:r w:rsidR="00591EE2" w:rsidRPr="00591EE2">
          <w:rPr>
            <w:rStyle w:val="Hyperlink"/>
            <w:noProof/>
            <w:sz w:val="22"/>
            <w:szCs w:val="22"/>
          </w:rPr>
          <w:t>4.1.15.3</w:t>
        </w:r>
        <w:r w:rsidR="00591EE2" w:rsidRPr="00591EE2">
          <w:rPr>
            <w:rFonts w:eastAsiaTheme="minorEastAsia"/>
            <w:smallCaps w:val="0"/>
            <w:noProof/>
            <w:sz w:val="22"/>
            <w:szCs w:val="22"/>
            <w:lang w:eastAsia="en-IE"/>
          </w:rPr>
          <w:tab/>
        </w:r>
        <w:r w:rsidR="00591EE2" w:rsidRPr="00591EE2">
          <w:rPr>
            <w:rStyle w:val="Hyperlink"/>
            <w:noProof/>
            <w:sz w:val="22"/>
            <w:szCs w:val="22"/>
          </w:rPr>
          <w:t>Patients haemoglobin (Hb) levels at diagnosis and response to thalidomide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2" w:history="1">
        <w:r w:rsidR="00591EE2" w:rsidRPr="00591EE2">
          <w:rPr>
            <w:rStyle w:val="Hyperlink"/>
            <w:noProof/>
            <w:sz w:val="22"/>
            <w:szCs w:val="22"/>
          </w:rPr>
          <w:t>4.1.15.3.1</w:t>
        </w:r>
        <w:r w:rsidR="00591EE2" w:rsidRPr="00591EE2">
          <w:rPr>
            <w:rFonts w:eastAsiaTheme="minorEastAsia"/>
            <w:smallCaps w:val="0"/>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3" w:history="1">
        <w:r w:rsidR="00591EE2" w:rsidRPr="00591EE2">
          <w:rPr>
            <w:rStyle w:val="Hyperlink"/>
            <w:noProof/>
            <w:sz w:val="22"/>
            <w:szCs w:val="22"/>
          </w:rPr>
          <w:t>4.1.15.3.2</w:t>
        </w:r>
        <w:r w:rsidR="00591EE2" w:rsidRPr="00591EE2">
          <w:rPr>
            <w:rFonts w:eastAsiaTheme="minorEastAsia"/>
            <w:smallCaps w:val="0"/>
            <w:noProof/>
            <w:sz w:val="22"/>
            <w:szCs w:val="22"/>
            <w:lang w:eastAsia="en-IE"/>
          </w:rPr>
          <w:tab/>
        </w:r>
        <w:r w:rsidR="00591EE2" w:rsidRPr="00591EE2">
          <w:rPr>
            <w:rStyle w:val="Hyperlink"/>
            <w:noProof/>
            <w:sz w:val="22"/>
            <w:szCs w:val="22"/>
          </w:rPr>
          <w:t>Patients Hb Level and predictive model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349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4" w:history="1">
        <w:r w:rsidR="00591EE2" w:rsidRPr="00591EE2">
          <w:rPr>
            <w:rStyle w:val="Hyperlink"/>
            <w:noProof/>
            <w:sz w:val="22"/>
            <w:szCs w:val="22"/>
          </w:rPr>
          <w:t>4.1.15.4</w:t>
        </w:r>
        <w:r w:rsidR="00591EE2" w:rsidRPr="00591EE2">
          <w:rPr>
            <w:rFonts w:eastAsiaTheme="minorEastAsia"/>
            <w:smallCaps w:val="0"/>
            <w:noProof/>
            <w:sz w:val="22"/>
            <w:szCs w:val="22"/>
            <w:lang w:eastAsia="en-IE"/>
          </w:rPr>
          <w:tab/>
        </w:r>
        <w:r w:rsidR="00591EE2" w:rsidRPr="00591EE2">
          <w:rPr>
            <w:rStyle w:val="Hyperlink"/>
            <w:noProof/>
            <w:sz w:val="22"/>
            <w:szCs w:val="22"/>
          </w:rPr>
          <w:t>Further validation of predictive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5" w:history="1">
        <w:r w:rsidR="00591EE2" w:rsidRPr="00591EE2">
          <w:rPr>
            <w:rStyle w:val="Hyperlink"/>
            <w:noProof/>
            <w:sz w:val="22"/>
            <w:szCs w:val="22"/>
          </w:rPr>
          <w:t>4.1.15.5</w:t>
        </w:r>
        <w:r w:rsidR="00591EE2" w:rsidRPr="00591EE2">
          <w:rPr>
            <w:rFonts w:eastAsiaTheme="minorEastAsia"/>
            <w:smallCaps w:val="0"/>
            <w:noProof/>
            <w:sz w:val="22"/>
            <w:szCs w:val="22"/>
            <w:lang w:eastAsia="en-IE"/>
          </w:rPr>
          <w:tab/>
        </w:r>
        <w:r w:rsidR="00591EE2" w:rsidRPr="00591EE2">
          <w:rPr>
            <w:rStyle w:val="Hyperlink"/>
            <w:noProof/>
            <w:sz w:val="22"/>
            <w:szCs w:val="22"/>
          </w:rPr>
          <w:t>ISS and predictive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352</w:t>
        </w:r>
        <w:r w:rsidR="00591EE2" w:rsidRPr="00591EE2">
          <w:rPr>
            <w:noProof/>
            <w:webHidden/>
            <w:sz w:val="22"/>
            <w:szCs w:val="22"/>
          </w:rPr>
          <w:fldChar w:fldCharType="end"/>
        </w:r>
      </w:hyperlink>
    </w:p>
    <w:p w:rsidR="00591EE2" w:rsidRPr="00591EE2" w:rsidRDefault="00AE1D9F" w:rsidP="008126D8">
      <w:pPr>
        <w:pStyle w:val="TOC3"/>
        <w:tabs>
          <w:tab w:val="left" w:pos="993"/>
          <w:tab w:val="right" w:leader="dot" w:pos="8080"/>
        </w:tabs>
        <w:ind w:right="225"/>
        <w:rPr>
          <w:rFonts w:eastAsiaTheme="minorEastAsia"/>
          <w:i w:val="0"/>
          <w:iCs w:val="0"/>
          <w:noProof/>
          <w:sz w:val="22"/>
          <w:szCs w:val="22"/>
          <w:lang w:eastAsia="en-IE"/>
        </w:rPr>
      </w:pPr>
      <w:hyperlink w:anchor="_Toc312257916" w:history="1">
        <w:r w:rsidR="00591EE2" w:rsidRPr="00591EE2">
          <w:rPr>
            <w:rStyle w:val="Hyperlink"/>
            <w:i w:val="0"/>
            <w:noProof/>
            <w:sz w:val="22"/>
            <w:szCs w:val="22"/>
            <w14:scene3d>
              <w14:camera w14:prst="orthographicFront"/>
              <w14:lightRig w14:rig="threePt" w14:dir="t">
                <w14:rot w14:lat="0" w14:lon="0" w14:rev="0"/>
              </w14:lightRig>
            </w14:scene3d>
          </w:rPr>
          <w:t>4.1.16</w:t>
        </w:r>
        <w:r w:rsidR="00591EE2" w:rsidRPr="00591EE2">
          <w:rPr>
            <w:rFonts w:eastAsiaTheme="minorEastAsia"/>
            <w:i w:val="0"/>
            <w:iCs w:val="0"/>
            <w:noProof/>
            <w:sz w:val="22"/>
            <w:szCs w:val="22"/>
            <w:lang w:eastAsia="en-IE"/>
          </w:rPr>
          <w:tab/>
        </w:r>
        <w:r w:rsidR="00591EE2" w:rsidRPr="00591EE2">
          <w:rPr>
            <w:rStyle w:val="Hyperlink"/>
            <w:i w:val="0"/>
            <w:noProof/>
            <w:sz w:val="22"/>
            <w:szCs w:val="22"/>
          </w:rPr>
          <w:t>Environmental variables effecting samples quality</w:t>
        </w:r>
        <w:r w:rsidR="00591EE2" w:rsidRPr="00591EE2">
          <w:rPr>
            <w:i w:val="0"/>
            <w:noProof/>
            <w:webHidden/>
            <w:sz w:val="22"/>
            <w:szCs w:val="22"/>
          </w:rPr>
          <w:tab/>
        </w:r>
        <w:r w:rsidR="00591EE2" w:rsidRPr="00591EE2">
          <w:rPr>
            <w:i w:val="0"/>
            <w:noProof/>
            <w:webHidden/>
            <w:sz w:val="22"/>
            <w:szCs w:val="22"/>
          </w:rPr>
          <w:fldChar w:fldCharType="begin"/>
        </w:r>
        <w:r w:rsidR="00591EE2" w:rsidRPr="00591EE2">
          <w:rPr>
            <w:i w:val="0"/>
            <w:noProof/>
            <w:webHidden/>
            <w:sz w:val="22"/>
            <w:szCs w:val="22"/>
          </w:rPr>
          <w:instrText xml:space="preserve"> PAGEREF _Toc312257916 \h </w:instrText>
        </w:r>
        <w:r w:rsidR="00591EE2" w:rsidRPr="00591EE2">
          <w:rPr>
            <w:i w:val="0"/>
            <w:noProof/>
            <w:webHidden/>
            <w:sz w:val="22"/>
            <w:szCs w:val="22"/>
          </w:rPr>
        </w:r>
        <w:r w:rsidR="00591EE2" w:rsidRPr="00591EE2">
          <w:rPr>
            <w:i w:val="0"/>
            <w:noProof/>
            <w:webHidden/>
            <w:sz w:val="22"/>
            <w:szCs w:val="22"/>
          </w:rPr>
          <w:fldChar w:fldCharType="separate"/>
        </w:r>
        <w:r w:rsidR="0081644B">
          <w:rPr>
            <w:i w:val="0"/>
            <w:noProof/>
            <w:webHidden/>
            <w:sz w:val="22"/>
            <w:szCs w:val="22"/>
          </w:rPr>
          <w:t>354</w:t>
        </w:r>
        <w:r w:rsidR="00591EE2" w:rsidRPr="00591EE2">
          <w:rPr>
            <w:i w:val="0"/>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7" w:history="1">
        <w:r w:rsidR="00591EE2" w:rsidRPr="00591EE2">
          <w:rPr>
            <w:rStyle w:val="Hyperlink"/>
            <w:noProof/>
            <w:sz w:val="22"/>
            <w:szCs w:val="22"/>
          </w:rPr>
          <w:t>4.1.16.1</w:t>
        </w:r>
        <w:r w:rsidR="00591EE2" w:rsidRPr="00591EE2">
          <w:rPr>
            <w:rFonts w:eastAsiaTheme="minorEastAsia"/>
            <w:smallCaps w:val="0"/>
            <w:noProof/>
            <w:sz w:val="22"/>
            <w:szCs w:val="22"/>
            <w:lang w:eastAsia="en-IE"/>
          </w:rPr>
          <w:tab/>
        </w:r>
        <w:r w:rsidR="00591EE2" w:rsidRPr="00591EE2">
          <w:rPr>
            <w:rStyle w:val="Hyperlink"/>
            <w:noProof/>
            <w:sz w:val="22"/>
            <w:szCs w:val="22"/>
          </w:rPr>
          <w:t>Sample processing</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354</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8" w:history="1">
        <w:r w:rsidR="00591EE2" w:rsidRPr="00591EE2">
          <w:rPr>
            <w:rStyle w:val="Hyperlink"/>
            <w:noProof/>
            <w:sz w:val="22"/>
            <w:szCs w:val="22"/>
            <w14:scene3d>
              <w14:camera w14:prst="orthographicFront"/>
              <w14:lightRig w14:rig="threePt" w14:dir="t">
                <w14:rot w14:lat="0" w14:lon="0" w14:rev="0"/>
              </w14:lightRig>
            </w14:scene3d>
          </w:rPr>
          <w:t>4.2</w:t>
        </w:r>
        <w:r w:rsidR="00591EE2" w:rsidRPr="00591EE2">
          <w:rPr>
            <w:rFonts w:eastAsiaTheme="minorEastAsia"/>
            <w:smallCaps w:val="0"/>
            <w:noProof/>
            <w:sz w:val="22"/>
            <w:szCs w:val="22"/>
            <w:lang w:eastAsia="en-IE"/>
          </w:rPr>
          <w:tab/>
        </w:r>
        <w:r w:rsidR="00591EE2" w:rsidRPr="00591EE2">
          <w:rPr>
            <w:rStyle w:val="Hyperlink"/>
            <w:noProof/>
            <w:sz w:val="22"/>
            <w:szCs w:val="22"/>
          </w:rPr>
          <w:t>Examination of the effect of various storage times and temperatures on  the serum level of discovered protein biomarkers (VDB, Hp, SAA) in multiple myeloma patients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19" w:history="1">
        <w:r w:rsidR="00591EE2" w:rsidRPr="00591EE2">
          <w:rPr>
            <w:rStyle w:val="Hyperlink"/>
            <w:noProof/>
            <w:sz w:val="22"/>
            <w:szCs w:val="22"/>
            <w14:scene3d>
              <w14:camera w14:prst="orthographicFront"/>
              <w14:lightRig w14:rig="threePt" w14:dir="t">
                <w14:rot w14:lat="0" w14:lon="0" w14:rev="0"/>
              </w14:lightRig>
            </w14:scene3d>
          </w:rPr>
          <w:t>4.2.1</w:t>
        </w:r>
        <w:r w:rsidR="00591EE2" w:rsidRPr="00591EE2">
          <w:rPr>
            <w:rFonts w:eastAsiaTheme="minorEastAsia"/>
            <w:smallCaps w:val="0"/>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_Toc312257919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355</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0" w:history="1">
        <w:r w:rsidR="00591EE2" w:rsidRPr="00591EE2">
          <w:rPr>
            <w:rStyle w:val="Hyperlink"/>
            <w:noProof/>
            <w:sz w:val="22"/>
            <w:szCs w:val="22"/>
            <w14:scene3d>
              <w14:camera w14:prst="orthographicFront"/>
              <w14:lightRig w14:rig="threePt" w14:dir="t">
                <w14:rot w14:lat="0" w14:lon="0" w14:rev="0"/>
              </w14:lightRig>
            </w14:scene3d>
          </w:rPr>
          <w:t>4.2.2</w:t>
        </w:r>
        <w:r w:rsidR="00591EE2" w:rsidRPr="00591EE2">
          <w:rPr>
            <w:rFonts w:eastAsiaTheme="minorEastAsia"/>
            <w:smallCaps w:val="0"/>
            <w:noProof/>
            <w:sz w:val="22"/>
            <w:szCs w:val="22"/>
            <w:lang w:eastAsia="en-IE"/>
          </w:rPr>
          <w:tab/>
        </w:r>
        <w:r w:rsidR="00591EE2" w:rsidRPr="00591EE2">
          <w:rPr>
            <w:rStyle w:val="Hyperlink"/>
            <w:noProof/>
            <w:sz w:val="22"/>
            <w:szCs w:val="22"/>
          </w:rPr>
          <w:t>Pre analytical factors and proteins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356</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1" w:history="1">
        <w:r w:rsidR="00591EE2" w:rsidRPr="00591EE2">
          <w:rPr>
            <w:rStyle w:val="Hyperlink"/>
            <w:noProof/>
            <w:sz w:val="22"/>
            <w:szCs w:val="22"/>
            <w14:scene3d>
              <w14:camera w14:prst="orthographicFront"/>
              <w14:lightRig w14:rig="threePt" w14:dir="t">
                <w14:rot w14:lat="0" w14:lon="0" w14:rev="0"/>
              </w14:lightRig>
            </w14:scene3d>
          </w:rPr>
          <w:t>4.3</w:t>
        </w:r>
        <w:r w:rsidR="00591EE2" w:rsidRPr="00591EE2">
          <w:rPr>
            <w:rFonts w:eastAsiaTheme="minorEastAsia"/>
            <w:smallCaps w:val="0"/>
            <w:noProof/>
            <w:sz w:val="22"/>
            <w:szCs w:val="22"/>
            <w:lang w:eastAsia="en-IE"/>
          </w:rPr>
          <w:tab/>
        </w:r>
        <w:r w:rsidR="00591EE2" w:rsidRPr="00591EE2">
          <w:rPr>
            <w:rStyle w:val="Hyperlink"/>
            <w:noProof/>
            <w:sz w:val="22"/>
            <w:szCs w:val="22"/>
          </w:rPr>
          <w:t>Quantification of discovered protein biomarkers in the serum of original  cohort of patients; three months (Day-100) after initiation of thalidomide  based therapy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2" w:history="1">
        <w:r w:rsidR="00591EE2" w:rsidRPr="00591EE2">
          <w:rPr>
            <w:rStyle w:val="Hyperlink"/>
            <w:noProof/>
            <w:sz w:val="22"/>
            <w:szCs w:val="22"/>
            <w14:scene3d>
              <w14:camera w14:prst="orthographicFront"/>
              <w14:lightRig w14:rig="threePt" w14:dir="t">
                <w14:rot w14:lat="0" w14:lon="0" w14:rev="0"/>
              </w14:lightRig>
            </w14:scene3d>
          </w:rPr>
          <w:t>4.3.1</w:t>
        </w:r>
        <w:r w:rsidR="00591EE2" w:rsidRPr="00591EE2">
          <w:rPr>
            <w:rFonts w:eastAsiaTheme="minorEastAsia"/>
            <w:smallCaps w:val="0"/>
            <w:noProof/>
            <w:sz w:val="22"/>
            <w:szCs w:val="22"/>
            <w:lang w:eastAsia="en-IE"/>
          </w:rPr>
          <w:tab/>
        </w:r>
        <w:r w:rsidR="00591EE2" w:rsidRPr="00591EE2">
          <w:rPr>
            <w:rStyle w:val="Hyperlink"/>
            <w:noProof/>
            <w:sz w:val="22"/>
            <w:szCs w:val="22"/>
          </w:rPr>
          <w:t>Background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_Toc312257922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3" w:history="1">
        <w:r w:rsidR="00591EE2" w:rsidRPr="00591EE2">
          <w:rPr>
            <w:rStyle w:val="Hyperlink"/>
            <w:noProof/>
            <w:sz w:val="22"/>
            <w:szCs w:val="22"/>
            <w14:scene3d>
              <w14:camera w14:prst="orthographicFront"/>
              <w14:lightRig w14:rig="threePt" w14:dir="t">
                <w14:rot w14:lat="0" w14:lon="0" w14:rev="0"/>
              </w14:lightRig>
            </w14:scene3d>
          </w:rPr>
          <w:t>4.3.2</w:t>
        </w:r>
        <w:r w:rsidR="00591EE2" w:rsidRPr="00591EE2">
          <w:rPr>
            <w:rFonts w:eastAsiaTheme="minorEastAsia"/>
            <w:smallCaps w:val="0"/>
            <w:noProof/>
            <w:sz w:val="22"/>
            <w:szCs w:val="22"/>
            <w:lang w:eastAsia="en-IE"/>
          </w:rPr>
          <w:tab/>
        </w:r>
        <w:r w:rsidR="00591EE2" w:rsidRPr="00591EE2">
          <w:rPr>
            <w:rStyle w:val="Hyperlink"/>
            <w:noProof/>
            <w:sz w:val="22"/>
            <w:szCs w:val="22"/>
          </w:rPr>
          <w:t>Hp, VDB and SAA level</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_Toc312257923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359</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4" w:history="1">
        <w:r w:rsidR="00591EE2" w:rsidRPr="00591EE2">
          <w:rPr>
            <w:rStyle w:val="Hyperlink"/>
            <w:noProof/>
            <w:sz w:val="22"/>
            <w:szCs w:val="22"/>
            <w14:scene3d>
              <w14:camera w14:prst="orthographicFront"/>
              <w14:lightRig w14:rig="threePt" w14:dir="t">
                <w14:rot w14:lat="0" w14:lon="0" w14:rev="0"/>
              </w14:lightRig>
            </w14:scene3d>
          </w:rPr>
          <w:t>4.4</w:t>
        </w:r>
        <w:r w:rsidR="00591EE2" w:rsidRPr="00591EE2">
          <w:rPr>
            <w:rFonts w:eastAsiaTheme="minorEastAsia"/>
            <w:smallCaps w:val="0"/>
            <w:noProof/>
            <w:sz w:val="22"/>
            <w:szCs w:val="22"/>
            <w:lang w:eastAsia="en-IE"/>
          </w:rPr>
          <w:tab/>
        </w:r>
        <w:r w:rsidR="00591EE2" w:rsidRPr="00591EE2">
          <w:rPr>
            <w:rStyle w:val="Hyperlink"/>
            <w:noProof/>
            <w:sz w:val="22"/>
            <w:szCs w:val="22"/>
          </w:rPr>
          <w:t>Study evaluating the relationship between incidence of adverse events and treatment efficacy with thalidomide serum concentrations in multiple myeloma patients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5" w:history="1">
        <w:r w:rsidR="00591EE2" w:rsidRPr="00591EE2">
          <w:rPr>
            <w:rStyle w:val="Hyperlink"/>
            <w:noProof/>
            <w:sz w:val="22"/>
            <w:szCs w:val="22"/>
            <w14:scene3d>
              <w14:camera w14:prst="orthographicFront"/>
              <w14:lightRig w14:rig="threePt" w14:dir="t">
                <w14:rot w14:lat="0" w14:lon="0" w14:rev="0"/>
              </w14:lightRig>
            </w14:scene3d>
          </w:rPr>
          <w:t>4.4.1</w:t>
        </w:r>
        <w:r w:rsidR="00591EE2" w:rsidRPr="00591EE2">
          <w:rPr>
            <w:rFonts w:eastAsiaTheme="minorEastAsia"/>
            <w:smallCaps w:val="0"/>
            <w:noProof/>
            <w:sz w:val="22"/>
            <w:szCs w:val="22"/>
            <w:lang w:eastAsia="en-IE"/>
          </w:rPr>
          <w:tab/>
        </w:r>
        <w:r w:rsidR="00591EE2" w:rsidRPr="00591EE2">
          <w:rPr>
            <w:rStyle w:val="Hyperlink"/>
            <w:noProof/>
            <w:sz w:val="22"/>
            <w:szCs w:val="22"/>
          </w:rPr>
          <w:t>Back ground</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6" w:history="1">
        <w:r w:rsidR="00591EE2" w:rsidRPr="00591EE2">
          <w:rPr>
            <w:rStyle w:val="Hyperlink"/>
            <w:noProof/>
            <w:sz w:val="22"/>
            <w:szCs w:val="22"/>
          </w:rPr>
          <w:t>4.4.1.1</w:t>
        </w:r>
        <w:r w:rsidR="00591EE2" w:rsidRPr="00591EE2">
          <w:rPr>
            <w:rFonts w:eastAsiaTheme="minorEastAsia"/>
            <w:smallCaps w:val="0"/>
            <w:noProof/>
            <w:sz w:val="22"/>
            <w:szCs w:val="22"/>
            <w:lang w:eastAsia="en-IE"/>
          </w:rPr>
          <w:tab/>
        </w:r>
        <w:r w:rsidR="00591EE2" w:rsidRPr="00591EE2">
          <w:rPr>
            <w:rStyle w:val="Hyperlink"/>
            <w:noProof/>
            <w:sz w:val="22"/>
            <w:szCs w:val="22"/>
          </w:rPr>
          <w:t>Thalidomide Dosage in multiple myeloma</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361</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7" w:history="1">
        <w:r w:rsidR="00591EE2" w:rsidRPr="00591EE2">
          <w:rPr>
            <w:rStyle w:val="Hyperlink"/>
            <w:noProof/>
            <w:sz w:val="22"/>
            <w:szCs w:val="22"/>
          </w:rPr>
          <w:t>4.4.1.2</w:t>
        </w:r>
        <w:r w:rsidR="00591EE2" w:rsidRPr="00591EE2">
          <w:rPr>
            <w:rFonts w:eastAsiaTheme="minorEastAsia"/>
            <w:smallCaps w:val="0"/>
            <w:noProof/>
            <w:sz w:val="22"/>
            <w:szCs w:val="22"/>
            <w:lang w:eastAsia="en-IE"/>
          </w:rPr>
          <w:tab/>
        </w:r>
        <w:r w:rsidR="00591EE2" w:rsidRPr="00591EE2">
          <w:rPr>
            <w:rStyle w:val="Hyperlink"/>
            <w:noProof/>
            <w:sz w:val="22"/>
            <w:szCs w:val="22"/>
          </w:rPr>
          <w:t>Thalidomide side effects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8" w:history="1">
        <w:r w:rsidR="00591EE2" w:rsidRPr="00591EE2">
          <w:rPr>
            <w:rStyle w:val="Hyperlink"/>
            <w:noProof/>
            <w:sz w:val="22"/>
            <w:szCs w:val="22"/>
            <w14:scene3d>
              <w14:camera w14:prst="orthographicFront"/>
              <w14:lightRig w14:rig="threePt" w14:dir="t">
                <w14:rot w14:lat="0" w14:lon="0" w14:rev="0"/>
              </w14:lightRig>
            </w14:scene3d>
          </w:rPr>
          <w:t>4.4.2</w:t>
        </w:r>
        <w:r w:rsidR="00591EE2" w:rsidRPr="00591EE2">
          <w:rPr>
            <w:rFonts w:eastAsiaTheme="minorEastAsia"/>
            <w:smallCaps w:val="0"/>
            <w:noProof/>
            <w:sz w:val="22"/>
            <w:szCs w:val="22"/>
            <w:lang w:eastAsia="en-IE"/>
          </w:rPr>
          <w:tab/>
        </w:r>
        <w:r w:rsidR="00591EE2" w:rsidRPr="00591EE2">
          <w:rPr>
            <w:rStyle w:val="Hyperlink"/>
            <w:noProof/>
            <w:sz w:val="22"/>
            <w:szCs w:val="22"/>
          </w:rPr>
          <w:t>Thalidomide serum level - objective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362</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29" w:history="1">
        <w:r w:rsidR="00591EE2" w:rsidRPr="00591EE2">
          <w:rPr>
            <w:rStyle w:val="Hyperlink"/>
            <w:noProof/>
            <w:sz w:val="22"/>
            <w:szCs w:val="22"/>
            <w14:scene3d>
              <w14:camera w14:prst="orthographicFront"/>
              <w14:lightRig w14:rig="threePt" w14:dir="t">
                <w14:rot w14:lat="0" w14:lon="0" w14:rev="0"/>
              </w14:lightRig>
            </w14:scene3d>
          </w:rPr>
          <w:t>4.4.3</w:t>
        </w:r>
        <w:r w:rsidR="00591EE2" w:rsidRPr="00591EE2">
          <w:rPr>
            <w:rFonts w:eastAsiaTheme="minorEastAsia"/>
            <w:smallCaps w:val="0"/>
            <w:noProof/>
            <w:sz w:val="22"/>
            <w:szCs w:val="22"/>
            <w:lang w:eastAsia="en-IE"/>
          </w:rPr>
          <w:tab/>
        </w:r>
        <w:r w:rsidR="00591EE2" w:rsidRPr="00591EE2">
          <w:rPr>
            <w:rStyle w:val="Hyperlink"/>
            <w:noProof/>
            <w:sz w:val="22"/>
            <w:szCs w:val="22"/>
          </w:rPr>
          <w:t>Serum thalidomide level and neuropathy</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_Toc312257929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0" w:history="1">
        <w:r w:rsidR="00591EE2" w:rsidRPr="00591EE2">
          <w:rPr>
            <w:rStyle w:val="Hyperlink"/>
            <w:noProof/>
            <w:sz w:val="22"/>
            <w:szCs w:val="22"/>
            <w14:scene3d>
              <w14:camera w14:prst="orthographicFront"/>
              <w14:lightRig w14:rig="threePt" w14:dir="t">
                <w14:rot w14:lat="0" w14:lon="0" w14:rev="0"/>
              </w14:lightRig>
            </w14:scene3d>
          </w:rPr>
          <w:t>4.4.4</w:t>
        </w:r>
        <w:r w:rsidR="00591EE2" w:rsidRPr="00591EE2">
          <w:rPr>
            <w:rFonts w:eastAsiaTheme="minorEastAsia"/>
            <w:smallCaps w:val="0"/>
            <w:noProof/>
            <w:sz w:val="22"/>
            <w:szCs w:val="22"/>
            <w:lang w:eastAsia="en-IE"/>
          </w:rPr>
          <w:tab/>
        </w:r>
        <w:r w:rsidR="00591EE2" w:rsidRPr="00591EE2">
          <w:rPr>
            <w:rStyle w:val="Hyperlink"/>
            <w:noProof/>
            <w:sz w:val="22"/>
            <w:szCs w:val="22"/>
          </w:rPr>
          <w:t>Serum thalidomide level and clinical response</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_Toc312257930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363</w:t>
        </w:r>
        <w:r w:rsidR="00591EE2" w:rsidRPr="00591EE2">
          <w:rPr>
            <w:noProof/>
            <w:webHidden/>
            <w:sz w:val="22"/>
            <w:szCs w:val="22"/>
          </w:rPr>
          <w:fldChar w:fldCharType="end"/>
        </w:r>
      </w:hyperlink>
    </w:p>
    <w:p w:rsidR="00591EE2" w:rsidRPr="00591EE2" w:rsidRDefault="00AE1D9F" w:rsidP="008126D8">
      <w:pPr>
        <w:pStyle w:val="TOC1"/>
        <w:tabs>
          <w:tab w:val="left" w:pos="993"/>
          <w:tab w:val="right" w:leader="dot" w:pos="8080"/>
        </w:tabs>
        <w:ind w:right="225"/>
        <w:rPr>
          <w:rFonts w:eastAsiaTheme="minorEastAsia"/>
          <w:bCs w:val="0"/>
          <w:caps w:val="0"/>
          <w:szCs w:val="22"/>
          <w:lang w:eastAsia="en-IE"/>
        </w:rPr>
      </w:pPr>
      <w:hyperlink w:anchor="_Toc312257932" w:history="1">
        <w:r w:rsidR="00591EE2" w:rsidRPr="00591EE2">
          <w:rPr>
            <w:rStyle w:val="Hyperlink"/>
            <w:szCs w:val="22"/>
          </w:rPr>
          <w:t>5.0</w:t>
        </w:r>
        <w:r w:rsidR="00591EE2" w:rsidRPr="00591EE2">
          <w:rPr>
            <w:rFonts w:eastAsiaTheme="minorEastAsia"/>
            <w:bCs w:val="0"/>
            <w:caps w:val="0"/>
            <w:szCs w:val="22"/>
            <w:lang w:eastAsia="en-IE"/>
          </w:rPr>
          <w:tab/>
        </w:r>
        <w:r w:rsidR="00591EE2" w:rsidRPr="00591EE2">
          <w:rPr>
            <w:rStyle w:val="Hyperlink"/>
            <w:szCs w:val="22"/>
          </w:rPr>
          <w:t>Summary and Conclusions</w:t>
        </w:r>
        <w:r w:rsidR="00591EE2" w:rsidRPr="00591EE2">
          <w:rPr>
            <w:webHidden/>
            <w:szCs w:val="22"/>
          </w:rPr>
          <w:tab/>
        </w:r>
        <w:r w:rsidR="00591EE2" w:rsidRPr="00591EE2">
          <w:rPr>
            <w:webHidden/>
            <w:szCs w:val="22"/>
          </w:rPr>
          <w:fldChar w:fldCharType="begin"/>
        </w:r>
        <w:r w:rsidR="00591EE2" w:rsidRPr="00591EE2">
          <w:rPr>
            <w:webHidden/>
            <w:szCs w:val="22"/>
          </w:rPr>
          <w:instrText xml:space="preserve"> PAGEREF _Toc312257932 \h </w:instrText>
        </w:r>
        <w:r w:rsidR="00591EE2" w:rsidRPr="00591EE2">
          <w:rPr>
            <w:webHidden/>
            <w:szCs w:val="22"/>
          </w:rPr>
        </w:r>
        <w:r w:rsidR="00591EE2" w:rsidRPr="00591EE2">
          <w:rPr>
            <w:webHidden/>
            <w:szCs w:val="22"/>
          </w:rPr>
          <w:fldChar w:fldCharType="separate"/>
        </w:r>
        <w:r w:rsidR="0081644B">
          <w:rPr>
            <w:webHidden/>
            <w:szCs w:val="22"/>
          </w:rPr>
          <w:t>366</w:t>
        </w:r>
        <w:r w:rsidR="00591EE2" w:rsidRPr="00591EE2">
          <w:rPr>
            <w:webHidden/>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4" w:history="1">
        <w:r w:rsidR="00591EE2" w:rsidRPr="00591EE2">
          <w:rPr>
            <w:rStyle w:val="Hyperlink"/>
            <w:noProof/>
            <w:sz w:val="22"/>
            <w:szCs w:val="22"/>
          </w:rPr>
          <w:t>6.1</w:t>
        </w:r>
        <w:r w:rsidR="00591EE2" w:rsidRPr="00591EE2">
          <w:rPr>
            <w:rFonts w:eastAsiaTheme="minorEastAsia"/>
            <w:smallCaps w:val="0"/>
            <w:noProof/>
            <w:sz w:val="22"/>
            <w:szCs w:val="22"/>
            <w:lang w:eastAsia="en-IE"/>
          </w:rPr>
          <w:tab/>
        </w:r>
        <w:r w:rsidR="00591EE2" w:rsidRPr="00591EE2">
          <w:rPr>
            <w:rStyle w:val="Hyperlink"/>
            <w:noProof/>
            <w:sz w:val="22"/>
            <w:szCs w:val="22"/>
          </w:rPr>
          <w:t>Clinical trial designs for prospective validation of biomarkers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_Toc312257934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373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5" w:history="1">
        <w:r w:rsidR="00591EE2" w:rsidRPr="00591EE2">
          <w:rPr>
            <w:rStyle w:val="Hyperlink"/>
            <w:noProof/>
            <w:sz w:val="22"/>
            <w:szCs w:val="22"/>
          </w:rPr>
          <w:t>6.2</w:t>
        </w:r>
        <w:r w:rsidR="00591EE2" w:rsidRPr="00591EE2">
          <w:rPr>
            <w:rFonts w:eastAsiaTheme="minorEastAsia"/>
            <w:smallCaps w:val="0"/>
            <w:noProof/>
            <w:sz w:val="22"/>
            <w:szCs w:val="22"/>
            <w:lang w:eastAsia="en-IE"/>
          </w:rPr>
          <w:tab/>
        </w:r>
        <w:r w:rsidR="00591EE2" w:rsidRPr="00591EE2">
          <w:rPr>
            <w:rStyle w:val="Hyperlink"/>
            <w:noProof/>
            <w:sz w:val="22"/>
            <w:szCs w:val="22"/>
          </w:rPr>
          <w:t>Other Pilot studies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_Toc312257935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373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6" w:history="1">
        <w:r w:rsidR="00591EE2" w:rsidRPr="00591EE2">
          <w:rPr>
            <w:rStyle w:val="Hyperlink"/>
            <w:noProof/>
            <w:sz w:val="22"/>
            <w:szCs w:val="22"/>
          </w:rPr>
          <w:t>6.3</w:t>
        </w:r>
        <w:r w:rsidR="00591EE2" w:rsidRPr="00591EE2">
          <w:rPr>
            <w:rFonts w:eastAsiaTheme="minorEastAsia"/>
            <w:smallCaps w:val="0"/>
            <w:noProof/>
            <w:sz w:val="22"/>
            <w:szCs w:val="22"/>
            <w:lang w:eastAsia="en-IE"/>
          </w:rPr>
          <w:tab/>
        </w:r>
        <w:r w:rsidR="00591EE2" w:rsidRPr="00591EE2">
          <w:rPr>
            <w:rStyle w:val="Hyperlink"/>
            <w:noProof/>
            <w:sz w:val="22"/>
            <w:szCs w:val="22"/>
          </w:rPr>
          <w:t>Other proteomic techniques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_Toc312257936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373</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7" w:history="1">
        <w:r w:rsidR="00591EE2" w:rsidRPr="00591EE2">
          <w:rPr>
            <w:rStyle w:val="Hyperlink"/>
            <w:noProof/>
            <w:sz w:val="22"/>
            <w:szCs w:val="22"/>
          </w:rPr>
          <w:t>6.4</w:t>
        </w:r>
        <w:r w:rsidR="00591EE2" w:rsidRPr="00591EE2">
          <w:rPr>
            <w:rFonts w:eastAsiaTheme="minorEastAsia"/>
            <w:smallCaps w:val="0"/>
            <w:noProof/>
            <w:sz w:val="22"/>
            <w:szCs w:val="22"/>
            <w:lang w:eastAsia="en-IE"/>
          </w:rPr>
          <w:tab/>
        </w:r>
        <w:r w:rsidR="00591EE2" w:rsidRPr="00591EE2">
          <w:rPr>
            <w:rStyle w:val="Hyperlink"/>
            <w:noProof/>
            <w:sz w:val="22"/>
            <w:szCs w:val="22"/>
          </w:rPr>
          <w:t>Predictive biomarkers for other novel agents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_Toc312257937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374</w:t>
        </w:r>
        <w:r w:rsidR="00591EE2" w:rsidRPr="00591EE2">
          <w:rPr>
            <w:noProof/>
            <w:webHidden/>
            <w:sz w:val="22"/>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38" w:history="1">
        <w:r w:rsidR="00591EE2" w:rsidRPr="00591EE2">
          <w:rPr>
            <w:rStyle w:val="Hyperlink"/>
            <w:noProof/>
            <w:sz w:val="22"/>
            <w:szCs w:val="22"/>
          </w:rPr>
          <w:t>6.5</w:t>
        </w:r>
        <w:r w:rsidR="00591EE2" w:rsidRPr="00591EE2">
          <w:rPr>
            <w:rFonts w:eastAsiaTheme="minorEastAsia"/>
            <w:smallCaps w:val="0"/>
            <w:noProof/>
            <w:sz w:val="22"/>
            <w:szCs w:val="22"/>
            <w:lang w:eastAsia="en-IE"/>
          </w:rPr>
          <w:tab/>
        </w:r>
        <w:r w:rsidR="00591EE2" w:rsidRPr="00591EE2">
          <w:rPr>
            <w:rStyle w:val="Hyperlink"/>
            <w:noProof/>
            <w:sz w:val="22"/>
            <w:szCs w:val="22"/>
          </w:rPr>
          <w:t>Integration of other factors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_Toc312257938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374</w:t>
        </w:r>
        <w:r w:rsidR="00591EE2" w:rsidRPr="00591EE2">
          <w:rPr>
            <w:noProof/>
            <w:webHidden/>
            <w:sz w:val="22"/>
            <w:szCs w:val="22"/>
          </w:rPr>
          <w:fldChar w:fldCharType="end"/>
        </w:r>
      </w:hyperlink>
    </w:p>
    <w:p w:rsidR="00591EE2" w:rsidRPr="00591EE2" w:rsidRDefault="00AE1D9F" w:rsidP="008126D8">
      <w:pPr>
        <w:pStyle w:val="TOC1"/>
        <w:tabs>
          <w:tab w:val="left" w:pos="993"/>
          <w:tab w:val="right" w:leader="dot" w:pos="8080"/>
        </w:tabs>
        <w:ind w:right="225"/>
        <w:rPr>
          <w:rFonts w:eastAsiaTheme="minorEastAsia"/>
          <w:bCs w:val="0"/>
          <w:caps w:val="0"/>
          <w:szCs w:val="22"/>
          <w:lang w:eastAsia="en-IE"/>
        </w:rPr>
      </w:pPr>
      <w:hyperlink w:anchor="_Toc312257940" w:history="1">
        <w:r w:rsidR="00591EE2" w:rsidRPr="00591EE2">
          <w:rPr>
            <w:rStyle w:val="Hyperlink"/>
            <w:szCs w:val="22"/>
          </w:rPr>
          <w:t>Appendix</w:t>
        </w:r>
        <w:r w:rsidR="008126D8">
          <w:rPr>
            <w:rStyle w:val="Hyperlink"/>
            <w:szCs w:val="22"/>
          </w:rPr>
          <w:t xml:space="preserve"> </w:t>
        </w:r>
        <w:r w:rsidR="006D5447">
          <w:rPr>
            <w:webHidden/>
            <w:sz w:val="20"/>
            <w:szCs w:val="22"/>
          </w:rPr>
          <w:t>……………………………………………………………………………………</w:t>
        </w:r>
        <w:r w:rsidR="00591EE2" w:rsidRPr="00591EE2">
          <w:rPr>
            <w:webHidden/>
            <w:szCs w:val="22"/>
          </w:rPr>
          <w:fldChar w:fldCharType="begin"/>
        </w:r>
        <w:r w:rsidR="00591EE2" w:rsidRPr="00591EE2">
          <w:rPr>
            <w:webHidden/>
            <w:szCs w:val="22"/>
          </w:rPr>
          <w:instrText xml:space="preserve"> PAGEREF _Toc312257940 \h </w:instrText>
        </w:r>
        <w:r w:rsidR="00591EE2" w:rsidRPr="00591EE2">
          <w:rPr>
            <w:webHidden/>
            <w:szCs w:val="22"/>
          </w:rPr>
        </w:r>
        <w:r w:rsidR="00591EE2" w:rsidRPr="00591EE2">
          <w:rPr>
            <w:webHidden/>
            <w:szCs w:val="22"/>
          </w:rPr>
          <w:fldChar w:fldCharType="separate"/>
        </w:r>
        <w:r w:rsidR="0081644B">
          <w:rPr>
            <w:webHidden/>
            <w:szCs w:val="22"/>
          </w:rPr>
          <w:t>375</w:t>
        </w:r>
        <w:r w:rsidR="00591EE2" w:rsidRPr="00591EE2">
          <w:rPr>
            <w:webHidden/>
            <w:szCs w:val="22"/>
          </w:rPr>
          <w:fldChar w:fldCharType="end"/>
        </w:r>
      </w:hyperlink>
    </w:p>
    <w:p w:rsidR="00591EE2" w:rsidRPr="00591EE2" w:rsidRDefault="00AE1D9F" w:rsidP="008126D8">
      <w:pPr>
        <w:pStyle w:val="TOC2"/>
        <w:tabs>
          <w:tab w:val="clear" w:pos="1276"/>
          <w:tab w:val="left" w:pos="993"/>
          <w:tab w:val="right" w:leader="dot" w:pos="8080"/>
        </w:tabs>
        <w:ind w:right="225"/>
        <w:rPr>
          <w:rFonts w:eastAsiaTheme="minorEastAsia"/>
          <w:smallCaps w:val="0"/>
          <w:noProof/>
          <w:sz w:val="22"/>
          <w:szCs w:val="22"/>
          <w:lang w:eastAsia="en-IE"/>
        </w:rPr>
      </w:pPr>
      <w:hyperlink w:anchor="_Toc312257941" w:history="1">
        <w:r w:rsidR="00591EE2" w:rsidRPr="00591EE2">
          <w:rPr>
            <w:rStyle w:val="Hyperlink"/>
            <w:noProof/>
            <w:sz w:val="22"/>
            <w:szCs w:val="22"/>
          </w:rPr>
          <w:t>7.1</w:t>
        </w:r>
        <w:r w:rsidR="00591EE2" w:rsidRPr="00591EE2">
          <w:rPr>
            <w:rFonts w:eastAsiaTheme="minorEastAsia"/>
            <w:smallCaps w:val="0"/>
            <w:noProof/>
            <w:sz w:val="22"/>
            <w:szCs w:val="22"/>
            <w:lang w:eastAsia="en-IE"/>
          </w:rPr>
          <w:tab/>
        </w:r>
        <w:r w:rsidR="00591EE2" w:rsidRPr="00591EE2">
          <w:rPr>
            <w:rStyle w:val="Hyperlink"/>
            <w:noProof/>
            <w:sz w:val="22"/>
            <w:szCs w:val="22"/>
          </w:rPr>
          <w:t>Publication and Presentations</w:t>
        </w:r>
        <w:r w:rsidR="00591EE2" w:rsidRPr="00591EE2">
          <w:rPr>
            <w:noProof/>
            <w:webHidden/>
            <w:sz w:val="22"/>
            <w:szCs w:val="22"/>
          </w:rPr>
          <w:tab/>
        </w:r>
        <w:r w:rsidR="00591EE2" w:rsidRPr="00591EE2">
          <w:rPr>
            <w:noProof/>
            <w:webHidden/>
            <w:sz w:val="22"/>
            <w:szCs w:val="22"/>
          </w:rPr>
          <w:fldChar w:fldCharType="begin"/>
        </w:r>
        <w:r w:rsidR="00591EE2" w:rsidRPr="00591EE2">
          <w:rPr>
            <w:noProof/>
            <w:webHidden/>
            <w:sz w:val="22"/>
            <w:szCs w:val="22"/>
          </w:rPr>
          <w:instrText xml:space="preserve"> PAGEREF _Toc312257941 \h </w:instrText>
        </w:r>
        <w:r w:rsidR="00591EE2" w:rsidRPr="00591EE2">
          <w:rPr>
            <w:noProof/>
            <w:webHidden/>
            <w:sz w:val="22"/>
            <w:szCs w:val="22"/>
          </w:rPr>
        </w:r>
        <w:r w:rsidR="00591EE2" w:rsidRPr="00591EE2">
          <w:rPr>
            <w:noProof/>
            <w:webHidden/>
            <w:sz w:val="22"/>
            <w:szCs w:val="22"/>
          </w:rPr>
          <w:fldChar w:fldCharType="separate"/>
        </w:r>
        <w:r w:rsidR="0081644B">
          <w:rPr>
            <w:noProof/>
            <w:webHidden/>
            <w:sz w:val="22"/>
            <w:szCs w:val="22"/>
          </w:rPr>
          <w:t>384</w:t>
        </w:r>
        <w:r w:rsidR="00591EE2" w:rsidRPr="00591EE2">
          <w:rPr>
            <w:noProof/>
            <w:webHidden/>
            <w:sz w:val="22"/>
            <w:szCs w:val="22"/>
          </w:rPr>
          <w:fldChar w:fldCharType="end"/>
        </w:r>
      </w:hyperlink>
    </w:p>
    <w:p w:rsidR="00591EE2" w:rsidRPr="00591EE2" w:rsidRDefault="00AE1D9F" w:rsidP="008126D8">
      <w:pPr>
        <w:pStyle w:val="TOC1"/>
        <w:tabs>
          <w:tab w:val="left" w:pos="993"/>
          <w:tab w:val="right" w:leader="dot" w:pos="8080"/>
        </w:tabs>
        <w:ind w:right="225"/>
        <w:rPr>
          <w:rFonts w:eastAsiaTheme="minorEastAsia"/>
          <w:bCs w:val="0"/>
          <w:caps w:val="0"/>
          <w:szCs w:val="22"/>
          <w:lang w:eastAsia="en-IE"/>
        </w:rPr>
      </w:pPr>
      <w:hyperlink w:anchor="_Toc312257943" w:history="1">
        <w:r w:rsidR="00591EE2" w:rsidRPr="00591EE2">
          <w:rPr>
            <w:rStyle w:val="Hyperlink"/>
            <w:szCs w:val="22"/>
            <w14:scene3d>
              <w14:camera w14:prst="orthographicFront"/>
              <w14:lightRig w14:rig="threePt" w14:dir="t">
                <w14:rot w14:lat="0" w14:lon="0" w14:rev="0"/>
              </w14:lightRig>
            </w14:scene3d>
          </w:rPr>
          <w:t>8</w:t>
        </w:r>
        <w:r w:rsidR="00591EE2" w:rsidRPr="00591EE2">
          <w:rPr>
            <w:rFonts w:eastAsiaTheme="minorEastAsia"/>
            <w:bCs w:val="0"/>
            <w:caps w:val="0"/>
            <w:szCs w:val="22"/>
            <w:lang w:eastAsia="en-IE"/>
          </w:rPr>
          <w:tab/>
        </w:r>
        <w:r w:rsidR="00591EE2" w:rsidRPr="00591EE2">
          <w:rPr>
            <w:rStyle w:val="Hyperlink"/>
            <w:szCs w:val="22"/>
          </w:rPr>
          <w:t>References</w:t>
        </w:r>
        <w:r w:rsidR="00591EE2" w:rsidRPr="00591EE2">
          <w:rPr>
            <w:webHidden/>
            <w:szCs w:val="22"/>
          </w:rPr>
          <w:tab/>
        </w:r>
        <w:r w:rsidR="00591EE2" w:rsidRPr="00591EE2">
          <w:rPr>
            <w:webHidden/>
            <w:szCs w:val="22"/>
          </w:rPr>
          <w:fldChar w:fldCharType="begin"/>
        </w:r>
        <w:r w:rsidR="00591EE2" w:rsidRPr="00591EE2">
          <w:rPr>
            <w:webHidden/>
            <w:szCs w:val="22"/>
          </w:rPr>
          <w:instrText xml:space="preserve"> PAGEREF _Toc312257943 \h </w:instrText>
        </w:r>
        <w:r w:rsidR="00591EE2" w:rsidRPr="00591EE2">
          <w:rPr>
            <w:webHidden/>
            <w:szCs w:val="22"/>
          </w:rPr>
        </w:r>
        <w:r w:rsidR="00591EE2" w:rsidRPr="00591EE2">
          <w:rPr>
            <w:webHidden/>
            <w:szCs w:val="22"/>
          </w:rPr>
          <w:fldChar w:fldCharType="separate"/>
        </w:r>
        <w:r w:rsidR="0081644B">
          <w:rPr>
            <w:webHidden/>
            <w:szCs w:val="22"/>
          </w:rPr>
          <w:t>387</w:t>
        </w:r>
        <w:r w:rsidR="00591EE2" w:rsidRPr="00591EE2">
          <w:rPr>
            <w:webHidden/>
            <w:szCs w:val="22"/>
          </w:rPr>
          <w:fldChar w:fldCharType="end"/>
        </w:r>
      </w:hyperlink>
    </w:p>
    <w:p w:rsidR="00822327" w:rsidRDefault="00591EE2" w:rsidP="008126D8">
      <w:pPr>
        <w:tabs>
          <w:tab w:val="left" w:pos="993"/>
          <w:tab w:val="right" w:leader="dot" w:pos="8080"/>
        </w:tabs>
        <w:spacing w:after="240"/>
        <w:ind w:right="225"/>
        <w:rPr>
          <w:b/>
          <w:sz w:val="72"/>
          <w:lang w:eastAsia="en-US"/>
        </w:rPr>
      </w:pPr>
      <w:r w:rsidRPr="00591EE2">
        <w:rPr>
          <w:b/>
          <w:sz w:val="22"/>
          <w:szCs w:val="22"/>
          <w:lang w:eastAsia="en-US"/>
        </w:rPr>
        <w:lastRenderedPageBreak/>
        <w:fldChar w:fldCharType="end"/>
      </w:r>
    </w:p>
    <w:p w:rsidR="00B832D8" w:rsidRDefault="00B832D8" w:rsidP="00B832D8">
      <w:pPr>
        <w:spacing w:after="240" w:line="360" w:lineRule="auto"/>
        <w:jc w:val="center"/>
        <w:rPr>
          <w:b/>
          <w:sz w:val="72"/>
          <w:lang w:eastAsia="en-US"/>
        </w:rPr>
      </w:pPr>
    </w:p>
    <w:p w:rsidR="00B71DAD" w:rsidRPr="00720963" w:rsidRDefault="00B71DAD" w:rsidP="00057B42">
      <w:pPr>
        <w:spacing w:after="240" w:line="360" w:lineRule="auto"/>
        <w:jc w:val="center"/>
        <w:rPr>
          <w:b/>
          <w:sz w:val="72"/>
          <w:lang w:eastAsia="en-US"/>
        </w:rPr>
      </w:pPr>
      <w:r w:rsidRPr="00720963">
        <w:rPr>
          <w:b/>
          <w:sz w:val="72"/>
          <w:lang w:eastAsia="en-US"/>
        </w:rPr>
        <w:t>Abstract</w:t>
      </w:r>
    </w:p>
    <w:p w:rsidR="00B71DAD" w:rsidRDefault="00B71DAD" w:rsidP="00B832D8">
      <w:pPr>
        <w:spacing w:line="276" w:lineRule="auto"/>
        <w:rPr>
          <w:b/>
          <w:sz w:val="26"/>
          <w:szCs w:val="26"/>
          <w:lang w:eastAsia="en-US"/>
        </w:rPr>
      </w:pPr>
      <w:r>
        <w:rPr>
          <w:lang w:eastAsia="en-US"/>
        </w:rPr>
        <w:br w:type="page"/>
      </w:r>
      <w:bookmarkStart w:id="5" w:name="_Toc306570522"/>
      <w:r w:rsidRPr="009E1B2D">
        <w:rPr>
          <w:b/>
          <w:sz w:val="26"/>
          <w:szCs w:val="26"/>
          <w:lang w:eastAsia="en-US"/>
        </w:rPr>
        <w:lastRenderedPageBreak/>
        <w:t>Abstract</w:t>
      </w:r>
      <w:bookmarkEnd w:id="5"/>
    </w:p>
    <w:p w:rsidR="004B395A" w:rsidRPr="009E1B2D" w:rsidRDefault="004B395A" w:rsidP="00B832D8">
      <w:pPr>
        <w:spacing w:line="276" w:lineRule="auto"/>
        <w:rPr>
          <w:b/>
          <w:sz w:val="26"/>
          <w:szCs w:val="26"/>
          <w:lang w:eastAsia="en-US"/>
        </w:rPr>
      </w:pPr>
    </w:p>
    <w:p w:rsidR="00B71DAD" w:rsidRDefault="00B71DAD" w:rsidP="00B832D8">
      <w:pPr>
        <w:spacing w:after="240" w:line="276" w:lineRule="auto"/>
        <w:jc w:val="both"/>
        <w:rPr>
          <w:rFonts w:eastAsia="Times New Roman"/>
          <w:color w:val="000000"/>
          <w:lang w:eastAsia="en-US"/>
        </w:rPr>
      </w:pPr>
      <w:r w:rsidRPr="00873C4C">
        <w:rPr>
          <w:rFonts w:eastAsia="Times New Roman"/>
          <w:color w:val="000000"/>
          <w:lang w:eastAsia="en-US"/>
        </w:rPr>
        <w:t>Multiple Myeloma is a heterogeneous group of disorders of plasma cell proliferation both genotypically and phenotypically. Thalidomide is an effective trea</w:t>
      </w:r>
      <w:r w:rsidR="00FB28CF">
        <w:rPr>
          <w:rFonts w:eastAsia="Times New Roman"/>
          <w:color w:val="000000"/>
          <w:lang w:eastAsia="en-US"/>
        </w:rPr>
        <w:t xml:space="preserve">tment for multiple myeloma. </w:t>
      </w:r>
      <w:r w:rsidR="004B14E7">
        <w:rPr>
          <w:rFonts w:eastAsia="Times New Roman"/>
          <w:color w:val="000000"/>
          <w:lang w:eastAsia="en-US"/>
        </w:rPr>
        <w:t>However,</w:t>
      </w:r>
      <w:r w:rsidRPr="00873C4C">
        <w:rPr>
          <w:rFonts w:eastAsia="Times New Roman"/>
          <w:color w:val="000000"/>
          <w:lang w:eastAsia="en-US"/>
        </w:rPr>
        <w:t xml:space="preserve"> some patients fail to respond </w:t>
      </w:r>
      <w:r w:rsidR="007F28EC">
        <w:rPr>
          <w:rFonts w:eastAsia="Times New Roman"/>
          <w:color w:val="000000"/>
          <w:lang w:eastAsia="en-US"/>
        </w:rPr>
        <w:t xml:space="preserve">to thalidomide treatment </w:t>
      </w:r>
      <w:r w:rsidRPr="00873C4C">
        <w:rPr>
          <w:rFonts w:eastAsia="Times New Roman"/>
          <w:color w:val="000000"/>
          <w:lang w:eastAsia="en-US"/>
        </w:rPr>
        <w:t xml:space="preserve">and identifying this cohort </w:t>
      </w:r>
      <w:r w:rsidR="007F28EC">
        <w:rPr>
          <w:rFonts w:eastAsia="Times New Roman"/>
          <w:color w:val="000000"/>
          <w:lang w:eastAsia="en-US"/>
        </w:rPr>
        <w:t>may</w:t>
      </w:r>
      <w:r w:rsidRPr="00873C4C">
        <w:rPr>
          <w:rFonts w:eastAsia="Times New Roman"/>
          <w:color w:val="000000"/>
          <w:lang w:eastAsia="en-US"/>
        </w:rPr>
        <w:t xml:space="preserve"> provide better individualized treatment. Proteomic analysis was performed on serum samples collected prior to treatment from 39 newly-diagnosed multiple myeloma patients receiving thalidomide-based regimens (22 responders; 17 non-responders). Serum samples were initially immunodepleted to enrich for low-abundance proteins, followed by 2D-DIGE separation and subsequent mass spectrometry to identify differentially </w:t>
      </w:r>
      <w:r w:rsidR="00734A45">
        <w:rPr>
          <w:rFonts w:eastAsia="Times New Roman"/>
          <w:color w:val="000000"/>
          <w:lang w:eastAsia="en-US"/>
        </w:rPr>
        <w:t>expressed</w:t>
      </w:r>
      <w:r w:rsidRPr="00873C4C">
        <w:rPr>
          <w:rFonts w:eastAsia="Times New Roman"/>
          <w:color w:val="000000"/>
          <w:lang w:eastAsia="en-US"/>
        </w:rPr>
        <w:t xml:space="preserve"> protein spots. ELISA-based assays were used to validate the candidate protein biomarkers using unfractionated serum samples from 51 consecutive newly-diagnosed multiple myeloma patients (29 responders; 22 non-responders). Six serum proteins exhibited a statistically significant difference in abundance level between the thalidomide responders and non-responders. Vitamin D binding Precursor (VDB), Transthyretin (TYR), Zinc alpha 2-glycoprotein (ZAG), Serum Amyloid A protein (SAA), Beta-2-microglobulin (B2M), had hi</w:t>
      </w:r>
      <w:r w:rsidR="00E076C6">
        <w:rPr>
          <w:rFonts w:eastAsia="Times New Roman"/>
          <w:color w:val="000000"/>
          <w:lang w:eastAsia="en-US"/>
        </w:rPr>
        <w:t xml:space="preserve">gher abundance level with </w:t>
      </w:r>
      <w:r w:rsidRPr="00873C4C">
        <w:rPr>
          <w:rFonts w:eastAsia="Times New Roman"/>
          <w:color w:val="000000"/>
          <w:lang w:eastAsia="en-US"/>
        </w:rPr>
        <w:t>fold changes of 1.31 (</w:t>
      </w:r>
      <w:r w:rsidRPr="0010315E">
        <w:rPr>
          <w:rFonts w:eastAsia="Times New Roman"/>
          <w:i/>
          <w:color w:val="000000"/>
          <w:lang w:eastAsia="en-US"/>
        </w:rPr>
        <w:t>p</w:t>
      </w:r>
      <w:r w:rsidRPr="0010315E">
        <w:rPr>
          <w:rFonts w:eastAsia="Times New Roman"/>
          <w:color w:val="000000"/>
          <w:lang w:eastAsia="en-US"/>
        </w:rPr>
        <w:t>=</w:t>
      </w:r>
      <w:r w:rsidRPr="00873C4C">
        <w:rPr>
          <w:rFonts w:eastAsia="Times New Roman"/>
          <w:color w:val="000000"/>
          <w:lang w:eastAsia="en-US"/>
        </w:rPr>
        <w:t>0.00044), 1.32 (</w:t>
      </w:r>
      <w:r w:rsidR="0010315E" w:rsidRPr="0010315E">
        <w:rPr>
          <w:rFonts w:eastAsia="Times New Roman"/>
          <w:i/>
          <w:color w:val="000000"/>
          <w:lang w:eastAsia="en-US"/>
        </w:rPr>
        <w:t>p</w:t>
      </w:r>
      <w:r w:rsidRPr="00873C4C">
        <w:rPr>
          <w:rFonts w:eastAsia="Times New Roman"/>
          <w:color w:val="000000"/>
          <w:lang w:eastAsia="en-US"/>
        </w:rPr>
        <w:t>=0.0077), 1.48 (</w:t>
      </w:r>
      <w:r w:rsidR="0010315E" w:rsidRPr="0010315E">
        <w:rPr>
          <w:rFonts w:eastAsia="Times New Roman"/>
          <w:i/>
          <w:color w:val="000000"/>
          <w:lang w:eastAsia="en-US"/>
        </w:rPr>
        <w:t>p</w:t>
      </w:r>
      <w:r w:rsidRPr="00873C4C">
        <w:rPr>
          <w:rFonts w:eastAsia="Times New Roman"/>
          <w:color w:val="000000"/>
          <w:lang w:eastAsia="en-US"/>
        </w:rPr>
        <w:t>= 0.0000022),  3.01 (</w:t>
      </w:r>
      <w:r w:rsidR="0010315E" w:rsidRPr="0010315E">
        <w:rPr>
          <w:rFonts w:eastAsia="Times New Roman"/>
          <w:i/>
          <w:color w:val="000000"/>
          <w:lang w:eastAsia="en-US"/>
        </w:rPr>
        <w:t>p=</w:t>
      </w:r>
      <w:r w:rsidRPr="00873C4C">
        <w:rPr>
          <w:rFonts w:eastAsia="Times New Roman"/>
          <w:color w:val="000000"/>
          <w:lang w:eastAsia="en-US"/>
        </w:rPr>
        <w:t>0.006) and 1.96 (</w:t>
      </w:r>
      <w:r w:rsidR="0010315E" w:rsidRPr="0010315E">
        <w:rPr>
          <w:rFonts w:eastAsia="Times New Roman"/>
          <w:i/>
          <w:color w:val="000000"/>
          <w:lang w:eastAsia="en-US"/>
        </w:rPr>
        <w:t>p=</w:t>
      </w:r>
      <w:r w:rsidRPr="00873C4C">
        <w:rPr>
          <w:rFonts w:eastAsia="Times New Roman"/>
          <w:color w:val="000000"/>
          <w:lang w:eastAsia="en-US"/>
        </w:rPr>
        <w:t>0.0015) fold increase in non-responders compared to responders, respectively. In contrast Haptoglobin (Hp) had a lower abundance level in non-responders compared to responder</w:t>
      </w:r>
      <w:r w:rsidR="00FB28CF">
        <w:rPr>
          <w:rFonts w:eastAsia="Times New Roman"/>
          <w:color w:val="000000"/>
          <w:lang w:eastAsia="en-US"/>
        </w:rPr>
        <w:t>s</w:t>
      </w:r>
      <w:r w:rsidRPr="00873C4C">
        <w:rPr>
          <w:rFonts w:eastAsia="Times New Roman"/>
          <w:color w:val="000000"/>
          <w:lang w:eastAsia="en-US"/>
        </w:rPr>
        <w:t xml:space="preserve"> with a fold change of 3.01 (</w:t>
      </w:r>
      <w:r w:rsidR="0010315E" w:rsidRPr="0010315E">
        <w:rPr>
          <w:rFonts w:eastAsia="Times New Roman"/>
          <w:i/>
          <w:color w:val="000000"/>
          <w:lang w:eastAsia="en-US"/>
        </w:rPr>
        <w:t>p=</w:t>
      </w:r>
      <w:r w:rsidRPr="00873C4C">
        <w:rPr>
          <w:rFonts w:eastAsia="Times New Roman"/>
          <w:color w:val="000000"/>
          <w:lang w:eastAsia="en-US"/>
        </w:rPr>
        <w:t xml:space="preserve">0.0015).  Logistic Regression (LR) models were constructed and receiver operating characteristic (ROC) curve analyses carried out on all possible combinations of the differentially expressed proteins. Using logistic regression models, the best possible area under the curve (AUC) was 0.96 using ZAG, VDB and SAA in combination. A more stringent Leave-one-out-cross-validation (LOOCV) indicated an overall predictive accuracy of 84% with associated sensitivity and specificity values of 81.8% and 86.2% respectively. Subsequently 16 of 22 thalidomide-refractory patients successfully achieved complete response or very good partial response using second-line treatment suggesting that the biomarker profile is specific to thalidomide response rather than identifying multiple myeloma patients refractory to all therapies. Using this novel panel of predictive biomarkers, the feasibility of predicting response to thalidomide-based therapy in previously untreated MM has been demonstrated. This approach has the potential for individualizing therapy for patients presenting with newly diagnosed MM.  </w:t>
      </w:r>
    </w:p>
    <w:p w:rsidR="00B71DAD" w:rsidRDefault="00B71DAD" w:rsidP="00B832D8">
      <w:pPr>
        <w:spacing w:line="276" w:lineRule="auto"/>
        <w:rPr>
          <w:rFonts w:eastAsia="Times New Roman"/>
          <w:color w:val="000000"/>
          <w:lang w:eastAsia="en-US"/>
        </w:rPr>
      </w:pPr>
      <w:r>
        <w:rPr>
          <w:rFonts w:eastAsia="Times New Roman"/>
          <w:color w:val="000000"/>
          <w:lang w:eastAsia="en-US"/>
        </w:rPr>
        <w:br w:type="page"/>
      </w:r>
    </w:p>
    <w:p w:rsidR="00720963" w:rsidRPr="00705CDF" w:rsidRDefault="007023EB" w:rsidP="00057B42">
      <w:pPr>
        <w:pStyle w:val="Heading1"/>
        <w:rPr>
          <w:sz w:val="10"/>
        </w:rPr>
      </w:pPr>
      <w:bookmarkStart w:id="6" w:name="_Toc312169149"/>
      <w:bookmarkStart w:id="7" w:name="_Toc312172076"/>
      <w:bookmarkStart w:id="8" w:name="_Toc312257625"/>
      <w:r w:rsidRPr="00705CDF">
        <w:rPr>
          <w:sz w:val="10"/>
        </w:rPr>
        <w:lastRenderedPageBreak/>
        <w:t>.</w:t>
      </w:r>
      <w:bookmarkEnd w:id="6"/>
      <w:bookmarkEnd w:id="7"/>
      <w:bookmarkEnd w:id="8"/>
    </w:p>
    <w:p w:rsidR="002C6DD9" w:rsidRPr="002C6DD9" w:rsidRDefault="002C6DD9" w:rsidP="00057B42">
      <w:pPr>
        <w:keepNext/>
        <w:keepLines/>
        <w:widowControl w:val="0"/>
        <w:tabs>
          <w:tab w:val="center" w:pos="4680"/>
        </w:tabs>
        <w:spacing w:line="360" w:lineRule="auto"/>
        <w:jc w:val="center"/>
        <w:rPr>
          <w:b/>
          <w:color w:val="000000"/>
          <w:sz w:val="96"/>
          <w:szCs w:val="96"/>
        </w:rPr>
      </w:pPr>
    </w:p>
    <w:p w:rsidR="00E076C6" w:rsidRDefault="00E076C6" w:rsidP="00057B42">
      <w:pPr>
        <w:keepNext/>
        <w:keepLines/>
        <w:widowControl w:val="0"/>
        <w:tabs>
          <w:tab w:val="center" w:pos="4680"/>
        </w:tabs>
        <w:spacing w:line="360" w:lineRule="auto"/>
        <w:jc w:val="center"/>
        <w:rPr>
          <w:b/>
          <w:color w:val="000000"/>
          <w:sz w:val="72"/>
          <w:szCs w:val="96"/>
        </w:rPr>
      </w:pPr>
    </w:p>
    <w:p w:rsidR="00DF2A22" w:rsidRPr="00720963" w:rsidRDefault="00DF2A22" w:rsidP="00057B42">
      <w:pPr>
        <w:keepNext/>
        <w:keepLines/>
        <w:widowControl w:val="0"/>
        <w:tabs>
          <w:tab w:val="center" w:pos="4680"/>
        </w:tabs>
        <w:spacing w:line="360" w:lineRule="auto"/>
        <w:jc w:val="center"/>
        <w:rPr>
          <w:b/>
          <w:color w:val="000000"/>
          <w:sz w:val="72"/>
          <w:szCs w:val="96"/>
        </w:rPr>
      </w:pPr>
      <w:r w:rsidRPr="00720963">
        <w:rPr>
          <w:b/>
          <w:color w:val="000000"/>
          <w:sz w:val="72"/>
          <w:szCs w:val="96"/>
        </w:rPr>
        <w:t>Chapter</w:t>
      </w:r>
    </w:p>
    <w:p w:rsidR="00044740" w:rsidRPr="00720963" w:rsidRDefault="00044740" w:rsidP="00057B42">
      <w:pPr>
        <w:keepNext/>
        <w:keepLines/>
        <w:widowControl w:val="0"/>
        <w:tabs>
          <w:tab w:val="center" w:pos="4680"/>
        </w:tabs>
        <w:spacing w:line="360" w:lineRule="auto"/>
        <w:jc w:val="center"/>
        <w:rPr>
          <w:b/>
          <w:color w:val="000000"/>
          <w:sz w:val="72"/>
          <w:szCs w:val="96"/>
        </w:rPr>
      </w:pPr>
      <w:r w:rsidRPr="00720963">
        <w:rPr>
          <w:b/>
          <w:color w:val="000000"/>
          <w:sz w:val="72"/>
          <w:szCs w:val="96"/>
        </w:rPr>
        <w:t>1</w:t>
      </w:r>
      <w:r w:rsidR="00481030">
        <w:rPr>
          <w:b/>
          <w:color w:val="000000"/>
          <w:sz w:val="72"/>
          <w:szCs w:val="96"/>
        </w:rPr>
        <w:t>.0</w:t>
      </w:r>
    </w:p>
    <w:p w:rsidR="00044740" w:rsidRPr="00720963" w:rsidRDefault="00044740" w:rsidP="00057B42">
      <w:pPr>
        <w:keepNext/>
        <w:keepLines/>
        <w:widowControl w:val="0"/>
        <w:tabs>
          <w:tab w:val="center" w:pos="4680"/>
        </w:tabs>
        <w:spacing w:line="360" w:lineRule="auto"/>
        <w:jc w:val="center"/>
        <w:rPr>
          <w:b/>
          <w:color w:val="000000"/>
          <w:sz w:val="72"/>
          <w:szCs w:val="96"/>
        </w:rPr>
      </w:pPr>
      <w:r w:rsidRPr="00720963">
        <w:rPr>
          <w:b/>
          <w:color w:val="000000"/>
          <w:sz w:val="72"/>
          <w:szCs w:val="96"/>
        </w:rPr>
        <w:t>Introduction</w:t>
      </w:r>
    </w:p>
    <w:p w:rsidR="00044740" w:rsidRPr="00B933E7" w:rsidRDefault="00044740" w:rsidP="00057B42">
      <w:pPr>
        <w:spacing w:line="360" w:lineRule="auto"/>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044740" w:rsidRPr="00873C4C" w:rsidRDefault="00044740" w:rsidP="00057B42">
      <w:pPr>
        <w:spacing w:line="360" w:lineRule="auto"/>
        <w:rPr>
          <w:color w:val="000000"/>
        </w:rPr>
      </w:pPr>
    </w:p>
    <w:p w:rsidR="00932109" w:rsidRPr="007023EB" w:rsidRDefault="002C6DD9" w:rsidP="00057B42">
      <w:pPr>
        <w:spacing w:line="360" w:lineRule="auto"/>
        <w:rPr>
          <w:rFonts w:cs="Arial"/>
          <w:b/>
          <w:bCs/>
          <w:iCs/>
          <w:sz w:val="26"/>
          <w:szCs w:val="26"/>
          <w:lang w:eastAsia="en-US"/>
        </w:rPr>
      </w:pPr>
      <w:bookmarkStart w:id="9" w:name="_Toc260495773"/>
      <w:bookmarkStart w:id="10" w:name="_Toc260496024"/>
      <w:bookmarkStart w:id="11" w:name="_Toc260500417"/>
      <w:bookmarkStart w:id="12" w:name="_Toc261098443"/>
      <w:bookmarkStart w:id="13" w:name="_Toc305759088"/>
      <w:bookmarkStart w:id="14" w:name="_Toc306570526"/>
      <w:r>
        <w:br w:type="page"/>
      </w:r>
      <w:bookmarkEnd w:id="9"/>
      <w:bookmarkEnd w:id="10"/>
      <w:bookmarkEnd w:id="11"/>
      <w:bookmarkEnd w:id="12"/>
      <w:bookmarkEnd w:id="13"/>
      <w:bookmarkEnd w:id="14"/>
    </w:p>
    <w:p w:rsidR="007023EB" w:rsidRDefault="0092498C" w:rsidP="00645687">
      <w:pPr>
        <w:pStyle w:val="Heading2"/>
      </w:pPr>
      <w:bookmarkStart w:id="15" w:name="_Toc260495774"/>
      <w:bookmarkStart w:id="16" w:name="_Toc260496025"/>
      <w:bookmarkStart w:id="17" w:name="_Toc260500418"/>
      <w:bookmarkStart w:id="18" w:name="_Toc261098444"/>
      <w:bookmarkStart w:id="19" w:name="_Toc305759089"/>
      <w:r w:rsidRPr="00873C4C">
        <w:lastRenderedPageBreak/>
        <w:tab/>
      </w:r>
      <w:bookmarkStart w:id="20" w:name="_Toc312169150"/>
      <w:bookmarkStart w:id="21" w:name="_Toc312172077"/>
      <w:bookmarkStart w:id="22" w:name="_Toc312257626"/>
      <w:bookmarkStart w:id="23" w:name="_Toc306570527"/>
      <w:bookmarkStart w:id="24" w:name="_Toc307067592"/>
      <w:r w:rsidR="00053E8D" w:rsidRPr="00873C4C">
        <w:t>Multiple Myeloma</w:t>
      </w:r>
      <w:bookmarkEnd w:id="20"/>
      <w:bookmarkEnd w:id="21"/>
      <w:bookmarkEnd w:id="22"/>
      <w:r w:rsidR="007023EB">
        <w:t xml:space="preserve"> </w:t>
      </w:r>
    </w:p>
    <w:p w:rsidR="004B395A" w:rsidRPr="004B395A" w:rsidRDefault="004B395A" w:rsidP="004B395A">
      <w:pPr>
        <w:rPr>
          <w:lang w:eastAsia="en-US"/>
        </w:rPr>
      </w:pPr>
    </w:p>
    <w:p w:rsidR="00053E8D" w:rsidRPr="00873C4C" w:rsidRDefault="003C5213" w:rsidP="00645687">
      <w:pPr>
        <w:pStyle w:val="Heading3"/>
      </w:pPr>
      <w:r>
        <w:tab/>
      </w:r>
      <w:bookmarkStart w:id="25" w:name="_Toc312169151"/>
      <w:bookmarkStart w:id="26" w:name="_Toc312172078"/>
      <w:bookmarkStart w:id="27" w:name="_Toc312257627"/>
      <w:r w:rsidR="00C66337" w:rsidRPr="00873C4C">
        <w:t>Brief History</w:t>
      </w:r>
      <w:bookmarkEnd w:id="15"/>
      <w:bookmarkEnd w:id="16"/>
      <w:bookmarkEnd w:id="17"/>
      <w:bookmarkEnd w:id="18"/>
      <w:bookmarkEnd w:id="19"/>
      <w:bookmarkEnd w:id="23"/>
      <w:bookmarkEnd w:id="24"/>
      <w:bookmarkEnd w:id="25"/>
      <w:bookmarkEnd w:id="26"/>
      <w:bookmarkEnd w:id="27"/>
      <w:r w:rsidR="00E228DD" w:rsidRPr="00873C4C">
        <w:t xml:space="preserve"> </w:t>
      </w:r>
    </w:p>
    <w:p w:rsidR="00053E8D" w:rsidRPr="00873C4C" w:rsidRDefault="00053E8D" w:rsidP="00057B42">
      <w:pPr>
        <w:spacing w:line="360" w:lineRule="auto"/>
        <w:rPr>
          <w:rFonts w:ascii="Blackadder ITC" w:hAnsi="Blackadder ITC"/>
          <w:color w:val="000000"/>
          <w:sz w:val="36"/>
          <w:szCs w:val="36"/>
        </w:rPr>
      </w:pPr>
      <w:r w:rsidRPr="00873C4C">
        <w:rPr>
          <w:rFonts w:ascii="Blackadder ITC" w:hAnsi="Blackadder ITC"/>
          <w:color w:val="000000"/>
          <w:sz w:val="36"/>
          <w:szCs w:val="36"/>
        </w:rPr>
        <w:t>Saturday, November 1, 1845:</w:t>
      </w:r>
    </w:p>
    <w:p w:rsidR="00053E8D" w:rsidRPr="00873C4C" w:rsidRDefault="00053E8D" w:rsidP="00057B42">
      <w:pPr>
        <w:spacing w:line="360" w:lineRule="auto"/>
        <w:rPr>
          <w:rFonts w:ascii="Blackadder ITC" w:hAnsi="Blackadder ITC"/>
          <w:color w:val="000000"/>
          <w:sz w:val="36"/>
          <w:szCs w:val="36"/>
        </w:rPr>
      </w:pPr>
      <w:r w:rsidRPr="00873C4C">
        <w:rPr>
          <w:rFonts w:ascii="Blackadder ITC" w:hAnsi="Blackadder ITC"/>
          <w:color w:val="000000"/>
          <w:sz w:val="36"/>
          <w:szCs w:val="36"/>
        </w:rPr>
        <w:t>Dear Dr Jones,</w:t>
      </w:r>
    </w:p>
    <w:p w:rsidR="00053E8D" w:rsidRPr="00873C4C" w:rsidRDefault="00053E8D" w:rsidP="00057B42">
      <w:pPr>
        <w:spacing w:line="360" w:lineRule="auto"/>
        <w:jc w:val="both"/>
        <w:rPr>
          <w:rFonts w:ascii="Blackadder ITC" w:hAnsi="Blackadder ITC"/>
          <w:color w:val="000000"/>
          <w:sz w:val="36"/>
          <w:szCs w:val="36"/>
        </w:rPr>
      </w:pPr>
      <w:r w:rsidRPr="00873C4C">
        <w:rPr>
          <w:rFonts w:ascii="Blackadder ITC" w:hAnsi="Blackadder ITC"/>
          <w:color w:val="000000"/>
          <w:sz w:val="36"/>
          <w:szCs w:val="36"/>
        </w:rPr>
        <w:t>The tube contains urine of very high specific gravity. When boiled it becomes slightly opaque. On the addition of nitric acid, it effervesces, assumes a reddish hue, and becomes quite clear; but as it cools, assumes the consistence and appearance which you see. Heat liquefies it. What is it?</w:t>
      </w:r>
    </w:p>
    <w:p w:rsidR="00B71DAD" w:rsidRDefault="00EE7CBF" w:rsidP="00057B42">
      <w:pPr>
        <w:spacing w:line="360" w:lineRule="auto"/>
        <w:jc w:val="both"/>
        <w:rPr>
          <w:color w:val="000000"/>
        </w:rPr>
      </w:pPr>
      <w:r w:rsidRPr="00873C4C">
        <w:rPr>
          <w:color w:val="000000"/>
        </w:rPr>
        <w:t xml:space="preserve">The above </w:t>
      </w:r>
      <w:r w:rsidR="00E076C6">
        <w:rPr>
          <w:color w:val="000000"/>
        </w:rPr>
        <w:t>note</w:t>
      </w:r>
      <w:r w:rsidR="00D91DB2" w:rsidRPr="00873C4C">
        <w:rPr>
          <w:color w:val="000000"/>
        </w:rPr>
        <w:t xml:space="preserve"> mark</w:t>
      </w:r>
      <w:r w:rsidR="00E076C6">
        <w:rPr>
          <w:color w:val="000000"/>
        </w:rPr>
        <w:t>s</w:t>
      </w:r>
      <w:r w:rsidRPr="00873C4C">
        <w:rPr>
          <w:color w:val="000000"/>
        </w:rPr>
        <w:t xml:space="preserve"> </w:t>
      </w:r>
      <w:r w:rsidR="00386E4C" w:rsidRPr="00873C4C">
        <w:rPr>
          <w:color w:val="000000"/>
        </w:rPr>
        <w:t xml:space="preserve">one of the </w:t>
      </w:r>
      <w:r w:rsidRPr="00873C4C">
        <w:rPr>
          <w:color w:val="000000"/>
        </w:rPr>
        <w:t>first described case</w:t>
      </w:r>
      <w:r w:rsidR="00386E4C" w:rsidRPr="00873C4C">
        <w:rPr>
          <w:color w:val="000000"/>
        </w:rPr>
        <w:t>s</w:t>
      </w:r>
      <w:r w:rsidR="003F65E6" w:rsidRPr="00873C4C">
        <w:rPr>
          <w:color w:val="000000"/>
        </w:rPr>
        <w:t xml:space="preserve"> of multiple myeloma</w:t>
      </w:r>
      <w:r w:rsidRPr="00873C4C">
        <w:rPr>
          <w:color w:val="000000"/>
        </w:rPr>
        <w:t xml:space="preserve"> and was sent, along with a urine sample, by the consultant physician base</w:t>
      </w:r>
      <w:r w:rsidR="00771D99" w:rsidRPr="00873C4C">
        <w:rPr>
          <w:color w:val="000000"/>
        </w:rPr>
        <w:t>d</w:t>
      </w:r>
      <w:r w:rsidRPr="00873C4C">
        <w:rPr>
          <w:color w:val="000000"/>
        </w:rPr>
        <w:t xml:space="preserve"> in St Georges Hospital London</w:t>
      </w:r>
      <w:r w:rsidR="00731777" w:rsidRPr="00873C4C">
        <w:rPr>
          <w:color w:val="000000"/>
        </w:rPr>
        <w:t>,</w:t>
      </w:r>
      <w:r w:rsidRPr="00873C4C">
        <w:rPr>
          <w:color w:val="000000"/>
        </w:rPr>
        <w:t xml:space="preserve"> Dr William Macintyre to the </w:t>
      </w:r>
      <w:r w:rsidR="00030F2B" w:rsidRPr="00873C4C">
        <w:rPr>
          <w:color w:val="000000"/>
        </w:rPr>
        <w:t>well-known</w:t>
      </w:r>
      <w:r w:rsidR="006649A7" w:rsidRPr="00873C4C">
        <w:rPr>
          <w:color w:val="000000"/>
        </w:rPr>
        <w:t xml:space="preserve"> </w:t>
      </w:r>
      <w:r w:rsidRPr="00873C4C">
        <w:rPr>
          <w:color w:val="000000"/>
        </w:rPr>
        <w:t>chemical</w:t>
      </w:r>
      <w:r w:rsidR="006649A7" w:rsidRPr="00873C4C">
        <w:rPr>
          <w:color w:val="000000"/>
        </w:rPr>
        <w:t xml:space="preserve"> pathologist, Dr</w:t>
      </w:r>
      <w:r w:rsidRPr="00873C4C">
        <w:rPr>
          <w:color w:val="000000"/>
        </w:rPr>
        <w:t xml:space="preserve"> Henry Bence Jones</w:t>
      </w:r>
      <w:r w:rsidR="00B71DAD">
        <w:rPr>
          <w:color w:val="000000"/>
        </w:rPr>
        <w:t xml:space="preserve"> </w:t>
      </w:r>
      <w:r w:rsidR="00B71DAD">
        <w:rPr>
          <w:color w:val="000000"/>
        </w:rPr>
        <w:fldChar w:fldCharType="begin"/>
      </w:r>
      <w:r w:rsidR="00B71DAD">
        <w:rPr>
          <w:color w:val="000000"/>
        </w:rPr>
        <w:instrText xml:space="preserve"> ADDIN EN.CITE &lt;EndNote&gt;&lt;Cite&gt;&lt;Author&gt;Kyle&lt;/Author&gt;&lt;Year&gt;2008&lt;/Year&gt;&lt;RecNum&gt;4971&lt;/RecNum&gt;&lt;DisplayText&gt;(Kyle and Rajkumar, 2008)&lt;/DisplayText&gt;&lt;record&gt;&lt;rec-number&gt;4971&lt;/rec-number&gt;&lt;foreign-keys&gt;&lt;key app="EN" db-id="zf0awxsaczrdd3eft5qvw9wrtxxawdfrvw2a"&gt;4971&lt;/key&gt;&lt;/foreign-keys&gt;&lt;ref-type name="Journal Article"&gt;17&lt;/ref-type&gt;&lt;contributors&gt;&lt;authors&gt;&lt;author&gt;Kyle, R. A.&lt;/author&gt;&lt;author&gt;Rajkumar, S. V.&lt;/author&gt;&lt;/authors&gt;&lt;/contributors&gt;&lt;auth-address&gt;Division of Hematology, Mayo Clinic, Rochester, MN 55905, USA. kyle.robert@mayo.edu&lt;/auth-address&gt;&lt;titles&gt;&lt;title&gt;Multiple myeloma&lt;/title&gt;&lt;secondary-title&gt;Blood&lt;/secondary-title&gt;&lt;/titles&gt;&lt;periodical&gt;&lt;full-title&gt;Blood&lt;/full-title&gt;&lt;/periodical&gt;&lt;pages&gt;2962-72&lt;/pages&gt;&lt;volume&gt;111&lt;/volume&gt;&lt;number&gt;6&lt;/number&gt;&lt;edition&gt;2008/03/12&lt;/edition&gt;&lt;keywords&gt;&lt;keyword&gt;Animals&lt;/keyword&gt;&lt;keyword&gt;History, 19th Century&lt;/keyword&gt;&lt;keyword&gt;History, 20th Century&lt;/keyword&gt;&lt;keyword&gt;History, 21st Century&lt;/keyword&gt;&lt;keyword&gt;Humans&lt;/keyword&gt;&lt;keyword&gt;Multiple Myeloma/diagnosis/*history/surgery/*therapy&lt;/keyword&gt;&lt;keyword&gt;Randomized Controlled Trials as Topic&lt;/keyword&gt;&lt;keyword&gt;Risk Factors&lt;/keyword&gt;&lt;keyword&gt;Stem Cell Transplantation&lt;/keyword&gt;&lt;keyword&gt;Tumor Markers, Biological/blood&lt;/keyword&gt;&lt;/keywords&gt;&lt;dates&gt;&lt;year&gt;2008&lt;/year&gt;&lt;pub-dates&gt;&lt;date&gt;Mar 15&lt;/date&gt;&lt;/pub-dates&gt;&lt;/dates&gt;&lt;isbn&gt;0006-4971 (Print)&amp;#xD;0006-4971 (Linking)&lt;/isbn&gt;&lt;accession-num&gt;18332230&lt;/accession-num&gt;&lt;urls&gt;&lt;related-urls&gt;&lt;url&gt;http://www.ncbi.nlm.nih.gov/pubmed/18332230&lt;/url&gt;&lt;/related-urls&gt;&lt;/urls&gt;&lt;custom2&gt;2265446&lt;/custom2&gt;&lt;electronic-resource-num&gt;111/6/2962 [pii]&amp;#xD;10.1182/blood-2007-10-078022&lt;/electronic-resource-num&gt;&lt;language&gt;eng&lt;/language&gt;&lt;/record&gt;&lt;/Cite&gt;&lt;/EndNote&gt;</w:instrText>
      </w:r>
      <w:r w:rsidR="00B71DAD">
        <w:rPr>
          <w:color w:val="000000"/>
        </w:rPr>
        <w:fldChar w:fldCharType="separate"/>
      </w:r>
      <w:r w:rsidR="00B71DAD">
        <w:rPr>
          <w:noProof/>
          <w:color w:val="000000"/>
        </w:rPr>
        <w:t>(</w:t>
      </w:r>
      <w:hyperlink w:anchor="_ENREF_231" w:tooltip="Kyle, 2008 #4971" w:history="1">
        <w:r w:rsidR="004A784D">
          <w:rPr>
            <w:noProof/>
            <w:color w:val="000000"/>
          </w:rPr>
          <w:t>Kyle and Rajkumar, 2008</w:t>
        </w:r>
      </w:hyperlink>
      <w:r w:rsidR="00B71DAD">
        <w:rPr>
          <w:noProof/>
          <w:color w:val="000000"/>
        </w:rPr>
        <w:t>)</w:t>
      </w:r>
      <w:r w:rsidR="00B71DAD">
        <w:rPr>
          <w:color w:val="000000"/>
        </w:rPr>
        <w:fldChar w:fldCharType="end"/>
      </w:r>
    </w:p>
    <w:p w:rsidR="00B71DAD" w:rsidRDefault="00B71DAD" w:rsidP="00057B42">
      <w:pPr>
        <w:spacing w:line="360" w:lineRule="auto"/>
        <w:jc w:val="both"/>
        <w:rPr>
          <w:color w:val="000000"/>
        </w:rPr>
      </w:pPr>
    </w:p>
    <w:p w:rsidR="002C6DD9" w:rsidRDefault="0000618A" w:rsidP="00057B42">
      <w:pPr>
        <w:spacing w:line="360" w:lineRule="auto"/>
        <w:jc w:val="both"/>
        <w:rPr>
          <w:color w:val="000000"/>
        </w:rPr>
      </w:pPr>
      <w:r w:rsidRPr="00873C4C">
        <w:rPr>
          <w:color w:val="000000"/>
        </w:rPr>
        <w:t xml:space="preserve">Mr </w:t>
      </w:r>
      <w:r w:rsidR="006649A7" w:rsidRPr="00873C4C">
        <w:rPr>
          <w:color w:val="000000"/>
        </w:rPr>
        <w:t>Thomas Alexander Mc</w:t>
      </w:r>
      <w:r w:rsidR="00F84134" w:rsidRPr="00873C4C">
        <w:rPr>
          <w:color w:val="000000"/>
        </w:rPr>
        <w:t xml:space="preserve"> </w:t>
      </w:r>
      <w:r w:rsidR="006649A7" w:rsidRPr="00873C4C">
        <w:rPr>
          <w:color w:val="000000"/>
        </w:rPr>
        <w:t xml:space="preserve">Bean, aged 45, </w:t>
      </w:r>
      <w:r w:rsidRPr="00873C4C">
        <w:rPr>
          <w:color w:val="000000"/>
        </w:rPr>
        <w:t>a highly-respectable tradesman</w:t>
      </w:r>
      <w:r w:rsidR="006649A7" w:rsidRPr="00873C4C">
        <w:rPr>
          <w:color w:val="000000"/>
        </w:rPr>
        <w:t xml:space="preserve"> and a wealthy grocer in London, was on a </w:t>
      </w:r>
      <w:r w:rsidR="00AF4D6E" w:rsidRPr="00873C4C">
        <w:rPr>
          <w:color w:val="000000"/>
        </w:rPr>
        <w:t>holiday</w:t>
      </w:r>
      <w:r w:rsidR="006649A7" w:rsidRPr="00873C4C">
        <w:rPr>
          <w:color w:val="000000"/>
        </w:rPr>
        <w:t xml:space="preserve"> </w:t>
      </w:r>
      <w:r w:rsidR="00C66337" w:rsidRPr="00873C4C">
        <w:rPr>
          <w:color w:val="000000"/>
        </w:rPr>
        <w:t>in September 1844,</w:t>
      </w:r>
      <w:r w:rsidRPr="00873C4C">
        <w:rPr>
          <w:color w:val="000000"/>
        </w:rPr>
        <w:t xml:space="preserve"> </w:t>
      </w:r>
      <w:r w:rsidR="006649A7" w:rsidRPr="00873C4C">
        <w:rPr>
          <w:color w:val="000000"/>
        </w:rPr>
        <w:t>in the countryside. While vaulting out of an underground cavern, he had instantly felt as if something had snapped or given way within the chest, and for some minutes he lay in intense agony</w:t>
      </w:r>
      <w:r w:rsidRPr="00873C4C">
        <w:rPr>
          <w:color w:val="000000"/>
        </w:rPr>
        <w:t xml:space="preserve"> with severe pain and was</w:t>
      </w:r>
      <w:r w:rsidR="006649A7" w:rsidRPr="00873C4C">
        <w:rPr>
          <w:color w:val="000000"/>
        </w:rPr>
        <w:t xml:space="preserve"> unable to move.</w:t>
      </w:r>
      <w:r w:rsidR="00771D99" w:rsidRPr="00873C4C">
        <w:rPr>
          <w:color w:val="000000"/>
        </w:rPr>
        <w:t xml:space="preserve"> </w:t>
      </w:r>
      <w:r w:rsidR="006649A7" w:rsidRPr="00873C4C">
        <w:rPr>
          <w:color w:val="000000"/>
        </w:rPr>
        <w:t>Mr. Mc</w:t>
      </w:r>
      <w:r w:rsidR="00F84134" w:rsidRPr="00873C4C">
        <w:rPr>
          <w:color w:val="000000"/>
        </w:rPr>
        <w:t xml:space="preserve"> </w:t>
      </w:r>
      <w:r w:rsidR="00771D99" w:rsidRPr="00873C4C">
        <w:rPr>
          <w:color w:val="000000"/>
        </w:rPr>
        <w:t>Bean was treated by Dr. Thomas Watson. However</w:t>
      </w:r>
      <w:r w:rsidR="006649A7" w:rsidRPr="00873C4C">
        <w:rPr>
          <w:color w:val="000000"/>
        </w:rPr>
        <w:t xml:space="preserve"> he was </w:t>
      </w:r>
      <w:r w:rsidR="00771D99" w:rsidRPr="00873C4C">
        <w:rPr>
          <w:color w:val="000000"/>
        </w:rPr>
        <w:t xml:space="preserve">mostly </w:t>
      </w:r>
      <w:r w:rsidR="006649A7" w:rsidRPr="00873C4C">
        <w:rPr>
          <w:color w:val="000000"/>
        </w:rPr>
        <w:t xml:space="preserve">confined to his house </w:t>
      </w:r>
      <w:r w:rsidR="00771D99" w:rsidRPr="00873C4C">
        <w:rPr>
          <w:color w:val="000000"/>
        </w:rPr>
        <w:t>by excruciating pain</w:t>
      </w:r>
      <w:r w:rsidR="006649A7" w:rsidRPr="00873C4C">
        <w:rPr>
          <w:color w:val="000000"/>
        </w:rPr>
        <w:t xml:space="preserve"> </w:t>
      </w:r>
      <w:r w:rsidR="00771D99" w:rsidRPr="00873C4C">
        <w:rPr>
          <w:color w:val="000000"/>
        </w:rPr>
        <w:t>in his</w:t>
      </w:r>
      <w:r w:rsidR="006649A7" w:rsidRPr="00873C4C">
        <w:rPr>
          <w:color w:val="000000"/>
        </w:rPr>
        <w:t xml:space="preserve"> chest, back and loins.</w:t>
      </w:r>
      <w:r w:rsidR="00771D99" w:rsidRPr="00873C4C">
        <w:rPr>
          <w:color w:val="000000"/>
        </w:rPr>
        <w:t xml:space="preserve"> </w:t>
      </w:r>
      <w:r w:rsidR="006649A7" w:rsidRPr="00873C4C">
        <w:rPr>
          <w:color w:val="000000"/>
        </w:rPr>
        <w:t>He was treated by the removal of a pint of blood and, subsequent</w:t>
      </w:r>
      <w:r w:rsidR="00771D99" w:rsidRPr="00873C4C">
        <w:rPr>
          <w:color w:val="000000"/>
        </w:rPr>
        <w:t xml:space="preserve">ly, the application of leeches </w:t>
      </w:r>
      <w:r w:rsidR="006649A7" w:rsidRPr="00873C4C">
        <w:rPr>
          <w:color w:val="000000"/>
        </w:rPr>
        <w:t xml:space="preserve">as </w:t>
      </w:r>
      <w:r w:rsidR="00771D99" w:rsidRPr="00873C4C">
        <w:rPr>
          <w:color w:val="000000"/>
        </w:rPr>
        <w:t xml:space="preserve">a </w:t>
      </w:r>
      <w:r w:rsidR="006649A7" w:rsidRPr="00873C4C">
        <w:rPr>
          <w:color w:val="000000"/>
        </w:rPr>
        <w:t xml:space="preserve">"maintenance therapy". This resulted in considerable weakness but alleviation of his pain. The pain </w:t>
      </w:r>
      <w:r w:rsidR="00E076C6">
        <w:rPr>
          <w:color w:val="000000"/>
        </w:rPr>
        <w:t>then</w:t>
      </w:r>
      <w:r w:rsidR="00771D99" w:rsidRPr="00873C4C">
        <w:rPr>
          <w:color w:val="000000"/>
        </w:rPr>
        <w:t xml:space="preserve"> subsided</w:t>
      </w:r>
      <w:r w:rsidR="006649A7" w:rsidRPr="00873C4C">
        <w:rPr>
          <w:color w:val="000000"/>
        </w:rPr>
        <w:t xml:space="preserve"> for 6 months. </w:t>
      </w:r>
      <w:r w:rsidR="00771D99" w:rsidRPr="00873C4C">
        <w:rPr>
          <w:color w:val="000000"/>
        </w:rPr>
        <w:t xml:space="preserve">Dr Thomas Watson also </w:t>
      </w:r>
      <w:r w:rsidRPr="00873C4C">
        <w:rPr>
          <w:color w:val="000000"/>
        </w:rPr>
        <w:t xml:space="preserve">prescribed </w:t>
      </w:r>
      <w:r w:rsidR="00771D99" w:rsidRPr="00873C4C">
        <w:rPr>
          <w:color w:val="000000"/>
        </w:rPr>
        <w:t xml:space="preserve">him </w:t>
      </w:r>
      <w:r w:rsidRPr="00873C4C">
        <w:rPr>
          <w:color w:val="000000"/>
        </w:rPr>
        <w:t>steel and quinine, which resulted in rapid improvement</w:t>
      </w:r>
      <w:r w:rsidR="00771D99" w:rsidRPr="00873C4C">
        <w:rPr>
          <w:color w:val="000000"/>
        </w:rPr>
        <w:t xml:space="preserve"> of his symptoms</w:t>
      </w:r>
      <w:r w:rsidRPr="00873C4C">
        <w:rPr>
          <w:color w:val="000000"/>
        </w:rPr>
        <w:t xml:space="preserve">. </w:t>
      </w:r>
      <w:r w:rsidR="006649A7" w:rsidRPr="00873C4C">
        <w:rPr>
          <w:color w:val="000000"/>
        </w:rPr>
        <w:t>In September 1845, the pain recurred and subsequently worsened.</w:t>
      </w:r>
      <w:r w:rsidRPr="00873C4C">
        <w:rPr>
          <w:color w:val="000000"/>
        </w:rPr>
        <w:t xml:space="preserve"> </w:t>
      </w:r>
    </w:p>
    <w:p w:rsidR="002C6DD9" w:rsidRDefault="002C6DD9" w:rsidP="00057B42">
      <w:pPr>
        <w:spacing w:line="360" w:lineRule="auto"/>
        <w:jc w:val="both"/>
        <w:rPr>
          <w:color w:val="000000"/>
        </w:rPr>
      </w:pPr>
    </w:p>
    <w:p w:rsidR="006649A7" w:rsidRPr="00873C4C" w:rsidRDefault="0000618A" w:rsidP="00057B42">
      <w:pPr>
        <w:spacing w:line="360" w:lineRule="auto"/>
        <w:jc w:val="both"/>
        <w:rPr>
          <w:color w:val="000000"/>
        </w:rPr>
      </w:pPr>
      <w:r w:rsidRPr="00873C4C">
        <w:rPr>
          <w:color w:val="000000"/>
        </w:rPr>
        <w:lastRenderedPageBreak/>
        <w:t>In</w:t>
      </w:r>
      <w:r w:rsidR="006649A7" w:rsidRPr="00873C4C">
        <w:rPr>
          <w:color w:val="000000"/>
        </w:rPr>
        <w:t xml:space="preserve"> October 1845, Dr. Watson, sought </w:t>
      </w:r>
      <w:r w:rsidR="00E076C6">
        <w:rPr>
          <w:color w:val="000000"/>
        </w:rPr>
        <w:t xml:space="preserve">a </w:t>
      </w:r>
      <w:r w:rsidR="006649A7" w:rsidRPr="00873C4C">
        <w:rPr>
          <w:color w:val="000000"/>
        </w:rPr>
        <w:t xml:space="preserve">second opinion from one of his friends, Dr. William Macintyre, a 53-year-old, </w:t>
      </w:r>
      <w:r w:rsidR="00771D99" w:rsidRPr="00873C4C">
        <w:rPr>
          <w:color w:val="000000"/>
        </w:rPr>
        <w:t xml:space="preserve">a </w:t>
      </w:r>
      <w:r w:rsidR="006649A7" w:rsidRPr="00873C4C">
        <w:rPr>
          <w:color w:val="000000"/>
        </w:rPr>
        <w:t>consultant physician to</w:t>
      </w:r>
      <w:r w:rsidR="00403E5B" w:rsidRPr="00873C4C">
        <w:rPr>
          <w:color w:val="000000"/>
        </w:rPr>
        <w:t xml:space="preserve"> the Western General Dispensary</w:t>
      </w:r>
      <w:r w:rsidRPr="00873C4C">
        <w:rPr>
          <w:color w:val="000000"/>
        </w:rPr>
        <w:t xml:space="preserve">. </w:t>
      </w:r>
      <w:r w:rsidR="00280B9F" w:rsidRPr="00873C4C">
        <w:rPr>
          <w:color w:val="000000"/>
        </w:rPr>
        <w:t>Dr</w:t>
      </w:r>
      <w:r w:rsidR="006649A7" w:rsidRPr="00873C4C">
        <w:rPr>
          <w:color w:val="000000"/>
        </w:rPr>
        <w:t xml:space="preserve"> </w:t>
      </w:r>
      <w:r w:rsidR="009D0518" w:rsidRPr="00873C4C">
        <w:rPr>
          <w:color w:val="000000"/>
        </w:rPr>
        <w:t>Macintyre</w:t>
      </w:r>
      <w:r w:rsidR="006649A7" w:rsidRPr="00873C4C">
        <w:rPr>
          <w:color w:val="000000"/>
        </w:rPr>
        <w:t xml:space="preserve"> personally examined a urine specimen from Mr. Mc</w:t>
      </w:r>
      <w:r w:rsidR="00280B9F" w:rsidRPr="00873C4C">
        <w:rPr>
          <w:color w:val="000000"/>
        </w:rPr>
        <w:t xml:space="preserve"> </w:t>
      </w:r>
      <w:r w:rsidR="006649A7" w:rsidRPr="00873C4C">
        <w:rPr>
          <w:color w:val="000000"/>
        </w:rPr>
        <w:t xml:space="preserve">Bean but found no evidence of sugar. </w:t>
      </w:r>
      <w:r w:rsidRPr="00873C4C">
        <w:rPr>
          <w:color w:val="000000"/>
        </w:rPr>
        <w:t>He</w:t>
      </w:r>
      <w:r w:rsidR="006649A7" w:rsidRPr="00873C4C">
        <w:rPr>
          <w:color w:val="000000"/>
        </w:rPr>
        <w:t xml:space="preserve"> sent the </w:t>
      </w:r>
      <w:r w:rsidRPr="00873C4C">
        <w:rPr>
          <w:color w:val="000000"/>
        </w:rPr>
        <w:t xml:space="preserve">above </w:t>
      </w:r>
      <w:r w:rsidR="006649A7" w:rsidRPr="00873C4C">
        <w:rPr>
          <w:color w:val="000000"/>
        </w:rPr>
        <w:t>note</w:t>
      </w:r>
      <w:r w:rsidRPr="00873C4C">
        <w:rPr>
          <w:color w:val="000000"/>
        </w:rPr>
        <w:t>s</w:t>
      </w:r>
      <w:r w:rsidR="006649A7" w:rsidRPr="00873C4C">
        <w:rPr>
          <w:color w:val="000000"/>
        </w:rPr>
        <w:t xml:space="preserve"> and urine samples to Dr. Henry Bence Jones, a 31-year-old physician, at St. George's Hospital, who already had </w:t>
      </w:r>
      <w:r w:rsidR="00E076C6">
        <w:rPr>
          <w:color w:val="000000"/>
        </w:rPr>
        <w:t xml:space="preserve">an </w:t>
      </w:r>
      <w:r w:rsidR="006649A7" w:rsidRPr="00873C4C">
        <w:rPr>
          <w:color w:val="000000"/>
        </w:rPr>
        <w:t>established reputation as a Chemical Pathologist.</w:t>
      </w:r>
    </w:p>
    <w:p w:rsidR="002C6DD9" w:rsidRDefault="002C6DD9" w:rsidP="00057B42">
      <w:pPr>
        <w:spacing w:line="360" w:lineRule="auto"/>
        <w:jc w:val="both"/>
        <w:rPr>
          <w:color w:val="000000"/>
        </w:rPr>
      </w:pPr>
    </w:p>
    <w:p w:rsidR="003F65E6" w:rsidRDefault="00280B9F" w:rsidP="00057B42">
      <w:pPr>
        <w:spacing w:line="360" w:lineRule="auto"/>
        <w:jc w:val="both"/>
        <w:rPr>
          <w:color w:val="000000"/>
        </w:rPr>
      </w:pPr>
      <w:r w:rsidRPr="00873C4C">
        <w:rPr>
          <w:color w:val="000000"/>
        </w:rPr>
        <w:t xml:space="preserve">Dr. Bence Jones calculated that the patient had a daily excretion equivalent to 67 gram of </w:t>
      </w:r>
      <w:r w:rsidR="008F5889" w:rsidRPr="00873C4C">
        <w:rPr>
          <w:color w:val="000000"/>
        </w:rPr>
        <w:t>a</w:t>
      </w:r>
      <w:r w:rsidRPr="00873C4C">
        <w:rPr>
          <w:color w:val="000000"/>
        </w:rPr>
        <w:t xml:space="preserve"> protein. He also concluded that this protein is, specifically ‘hydrated deutoxide of albumin. Dr Jones emphasized its</w:t>
      </w:r>
      <w:r w:rsidR="00307B86" w:rsidRPr="00873C4C">
        <w:rPr>
          <w:color w:val="000000"/>
        </w:rPr>
        <w:t xml:space="preserve"> </w:t>
      </w:r>
      <w:r w:rsidRPr="00873C4C">
        <w:rPr>
          <w:color w:val="000000"/>
        </w:rPr>
        <w:t>role</w:t>
      </w:r>
      <w:r w:rsidR="00307B86" w:rsidRPr="00873C4C">
        <w:rPr>
          <w:color w:val="000000"/>
        </w:rPr>
        <w:t xml:space="preserve"> in the diagnosis of myeloma. He</w:t>
      </w:r>
      <w:r w:rsidRPr="00873C4C">
        <w:rPr>
          <w:color w:val="000000"/>
        </w:rPr>
        <w:t xml:space="preserve"> said, “I need hardly remark</w:t>
      </w:r>
      <w:r w:rsidR="00307B86" w:rsidRPr="00873C4C">
        <w:rPr>
          <w:color w:val="000000"/>
        </w:rPr>
        <w:t xml:space="preserve"> </w:t>
      </w:r>
      <w:r w:rsidRPr="00873C4C">
        <w:rPr>
          <w:color w:val="000000"/>
        </w:rPr>
        <w:t>on the importance of seeking for this oxide of albumen in other</w:t>
      </w:r>
      <w:r w:rsidR="00307B86" w:rsidRPr="00873C4C">
        <w:rPr>
          <w:color w:val="000000"/>
        </w:rPr>
        <w:t xml:space="preserve"> </w:t>
      </w:r>
      <w:r w:rsidRPr="00873C4C">
        <w:rPr>
          <w:color w:val="000000"/>
        </w:rPr>
        <w:t>cases of mollities osse</w:t>
      </w:r>
      <w:r w:rsidR="00307B86" w:rsidRPr="00873C4C">
        <w:rPr>
          <w:color w:val="000000"/>
        </w:rPr>
        <w:t>um” (softening of the bone).</w:t>
      </w:r>
      <w:r w:rsidR="002C6DD9">
        <w:rPr>
          <w:color w:val="000000"/>
        </w:rPr>
        <w:t xml:space="preserve"> </w:t>
      </w:r>
      <w:r w:rsidR="003F65E6" w:rsidRPr="00873C4C">
        <w:rPr>
          <w:color w:val="000000"/>
        </w:rPr>
        <w:t xml:space="preserve">Meanwhile, Mr Mc Bean’s pain </w:t>
      </w:r>
      <w:r w:rsidR="008F5889" w:rsidRPr="00873C4C">
        <w:rPr>
          <w:color w:val="000000"/>
        </w:rPr>
        <w:t>worsened</w:t>
      </w:r>
      <w:r w:rsidR="003F65E6" w:rsidRPr="00873C4C">
        <w:rPr>
          <w:color w:val="000000"/>
        </w:rPr>
        <w:t xml:space="preserve"> and despite a variety of therapies, he died on January 1, 1846. At autopsy</w:t>
      </w:r>
      <w:r w:rsidR="008F5889" w:rsidRPr="00873C4C">
        <w:rPr>
          <w:color w:val="000000"/>
        </w:rPr>
        <w:t>,</w:t>
      </w:r>
      <w:r w:rsidR="003F65E6" w:rsidRPr="00873C4C">
        <w:rPr>
          <w:color w:val="000000"/>
        </w:rPr>
        <w:t xml:space="preserve"> the sternum, cervical, thoracic and lumbar vertebrae were soft, fragile and easily breakable and could be cut with a knife. This abnormal softness of the bones was named ‘mollities ossium’. Histological examination of the affected bones was made by John Dalrymple, surgeon </w:t>
      </w:r>
      <w:r w:rsidR="008F5889" w:rsidRPr="00873C4C">
        <w:rPr>
          <w:color w:val="000000"/>
        </w:rPr>
        <w:t>in</w:t>
      </w:r>
      <w:r w:rsidR="003F65E6" w:rsidRPr="00873C4C">
        <w:rPr>
          <w:color w:val="000000"/>
        </w:rPr>
        <w:t xml:space="preserve"> the Royal Ophthalmic Hospital and a member of the Microscopical Society. He described great numbers of nucleated cells, of variable size and shape, and often larger than an erythrocyte.</w:t>
      </w:r>
    </w:p>
    <w:p w:rsidR="002C6DD9" w:rsidRPr="00873C4C" w:rsidRDefault="002C6DD9" w:rsidP="00057B42">
      <w:pPr>
        <w:spacing w:line="360" w:lineRule="auto"/>
        <w:jc w:val="both"/>
        <w:rPr>
          <w:color w:val="000000"/>
        </w:rPr>
      </w:pPr>
    </w:p>
    <w:p w:rsidR="004B602A" w:rsidRPr="00873C4C" w:rsidRDefault="003F65E6" w:rsidP="00057B42">
      <w:pPr>
        <w:spacing w:line="360" w:lineRule="auto"/>
        <w:jc w:val="both"/>
        <w:rPr>
          <w:color w:val="000000"/>
        </w:rPr>
      </w:pPr>
      <w:r w:rsidRPr="00873C4C">
        <w:rPr>
          <w:color w:val="000000"/>
        </w:rPr>
        <w:t>These description</w:t>
      </w:r>
      <w:r w:rsidR="008F5889" w:rsidRPr="00873C4C">
        <w:rPr>
          <w:color w:val="000000"/>
        </w:rPr>
        <w:t xml:space="preserve">s, though incomplete, are </w:t>
      </w:r>
      <w:r w:rsidRPr="00873C4C">
        <w:rPr>
          <w:color w:val="000000"/>
        </w:rPr>
        <w:t>consist</w:t>
      </w:r>
      <w:r w:rsidR="002A7FED" w:rsidRPr="00873C4C">
        <w:rPr>
          <w:color w:val="000000"/>
        </w:rPr>
        <w:t>ent with malignant plasma cells</w:t>
      </w:r>
      <w:r w:rsidRPr="00873C4C">
        <w:rPr>
          <w:color w:val="000000"/>
        </w:rPr>
        <w:t xml:space="preserve">. He also noticed the high degree of vascularity in the diseased bone. All three physicians Dalrymple, Bence Jones and Macintyre believed this disorder to be a malignant bone disease. With the following statement Dr Bence Jones emphasized the role of ‘albumenosuria’ in the diagnosis of multiple myeloma: ‘This substance must again be looked for in acute cases of mollities ossium’. Hereby the first monoclonal protein, and the first tumour </w:t>
      </w:r>
      <w:r w:rsidR="008F5889" w:rsidRPr="00873C4C">
        <w:rPr>
          <w:color w:val="000000"/>
        </w:rPr>
        <w:t xml:space="preserve">bio </w:t>
      </w:r>
      <w:r w:rsidRPr="00873C4C">
        <w:rPr>
          <w:color w:val="000000"/>
        </w:rPr>
        <w:t xml:space="preserve">marker, the ‘Bence Jones protein’ had been described. </w:t>
      </w:r>
    </w:p>
    <w:p w:rsidR="00EE7FBE" w:rsidRPr="00873C4C" w:rsidRDefault="00EE7FBE" w:rsidP="00057B42">
      <w:pPr>
        <w:spacing w:line="360" w:lineRule="auto"/>
        <w:jc w:val="both"/>
        <w:rPr>
          <w:color w:val="000000"/>
        </w:rPr>
      </w:pPr>
    </w:p>
    <w:p w:rsidR="003F65E6" w:rsidRDefault="003F65E6" w:rsidP="00057B42">
      <w:pPr>
        <w:spacing w:line="360" w:lineRule="auto"/>
        <w:jc w:val="both"/>
        <w:rPr>
          <w:color w:val="000000"/>
        </w:rPr>
      </w:pPr>
      <w:r w:rsidRPr="00873C4C">
        <w:rPr>
          <w:color w:val="000000"/>
        </w:rPr>
        <w:t>From ‘mollities ossium’ to multiple myeloma</w:t>
      </w:r>
      <w:r w:rsidR="004B602A" w:rsidRPr="00873C4C">
        <w:rPr>
          <w:color w:val="000000"/>
        </w:rPr>
        <w:t xml:space="preserve">: </w:t>
      </w:r>
      <w:r w:rsidRPr="00873C4C">
        <w:rPr>
          <w:color w:val="000000"/>
        </w:rPr>
        <w:t xml:space="preserve"> Two years before the death of </w:t>
      </w:r>
      <w:r w:rsidR="004B602A" w:rsidRPr="00873C4C">
        <w:rPr>
          <w:color w:val="000000"/>
        </w:rPr>
        <w:t xml:space="preserve">Mc Bean, another possible </w:t>
      </w:r>
      <w:r w:rsidRPr="00873C4C">
        <w:rPr>
          <w:color w:val="000000"/>
        </w:rPr>
        <w:t>description of multiple myeloma was given in 1884</w:t>
      </w:r>
      <w:r w:rsidR="004B602A" w:rsidRPr="00873C4C">
        <w:rPr>
          <w:color w:val="000000"/>
        </w:rPr>
        <w:t xml:space="preserve"> by Solly as ‘mollities ossium’</w:t>
      </w:r>
      <w:r w:rsidRPr="00873C4C">
        <w:rPr>
          <w:color w:val="000000"/>
        </w:rPr>
        <w:t xml:space="preserve">. The patient he described was a 39-year-old woman who died four years after an illness that caused progressive bone pains, kyphoscoliosis and eventually spontaneous fractures of </w:t>
      </w:r>
      <w:r w:rsidR="00676041" w:rsidRPr="00873C4C">
        <w:rPr>
          <w:color w:val="000000"/>
        </w:rPr>
        <w:t>clavicles</w:t>
      </w:r>
      <w:r w:rsidRPr="00873C4C">
        <w:rPr>
          <w:color w:val="000000"/>
        </w:rPr>
        <w:t xml:space="preserve">, the right arm and both thighs. Her </w:t>
      </w:r>
      <w:r w:rsidRPr="00873C4C">
        <w:rPr>
          <w:color w:val="000000"/>
        </w:rPr>
        <w:lastRenderedPageBreak/>
        <w:t>appetite was failing despite an allowance of wine, arrow-root, a mutton chop, a pint of porter and an infusion of orange pe</w:t>
      </w:r>
      <w:r w:rsidR="004B602A" w:rsidRPr="00873C4C">
        <w:rPr>
          <w:color w:val="000000"/>
        </w:rPr>
        <w:t xml:space="preserve">el, a rhubarb pill and </w:t>
      </w:r>
      <w:r w:rsidRPr="00873C4C">
        <w:rPr>
          <w:color w:val="000000"/>
        </w:rPr>
        <w:t>an opiate at night. On autopsy multiple fractures were present with fragile bones with ‘an unnatural degree of vascularity’. Microscopic examination revealed numerous oval cells with one, ra</w:t>
      </w:r>
      <w:r w:rsidR="008F5889" w:rsidRPr="00873C4C">
        <w:rPr>
          <w:color w:val="000000"/>
        </w:rPr>
        <w:t>rely two, bright central nuclei</w:t>
      </w:r>
      <w:r w:rsidRPr="00873C4C">
        <w:rPr>
          <w:color w:val="000000"/>
        </w:rPr>
        <w:t xml:space="preserve">. </w:t>
      </w:r>
    </w:p>
    <w:p w:rsidR="002C6DD9" w:rsidRPr="00873C4C" w:rsidRDefault="002C6DD9" w:rsidP="00057B42">
      <w:pPr>
        <w:spacing w:line="360" w:lineRule="auto"/>
        <w:jc w:val="both"/>
        <w:rPr>
          <w:color w:val="000000"/>
        </w:rPr>
      </w:pPr>
    </w:p>
    <w:p w:rsidR="00077A8E" w:rsidRPr="00873C4C" w:rsidRDefault="003F65E6" w:rsidP="00057B42">
      <w:pPr>
        <w:spacing w:line="360" w:lineRule="auto"/>
        <w:jc w:val="both"/>
        <w:rPr>
          <w:color w:val="000000"/>
        </w:rPr>
      </w:pPr>
      <w:r w:rsidRPr="00873C4C">
        <w:rPr>
          <w:color w:val="000000"/>
        </w:rPr>
        <w:t>Another famou</w:t>
      </w:r>
      <w:r w:rsidR="004B602A" w:rsidRPr="00873C4C">
        <w:rPr>
          <w:color w:val="000000"/>
        </w:rPr>
        <w:t xml:space="preserve">s case of multiple myeloma </w:t>
      </w:r>
      <w:r w:rsidRPr="00873C4C">
        <w:rPr>
          <w:color w:val="000000"/>
        </w:rPr>
        <w:t>was described in 1889 by Dr Otto Kahler. A 46-year-old physician named Dr Loos suffered from severe pains in the ribs, spine, left shoulder and right clavicle. Albuminuria was first noted after two years, after which anaemia, severe kyphosis</w:t>
      </w:r>
      <w:r w:rsidR="002D778B" w:rsidRPr="00873C4C">
        <w:rPr>
          <w:color w:val="000000"/>
        </w:rPr>
        <w:t xml:space="preserve"> (backward curvature of the thoracic spine or humpback),  </w:t>
      </w:r>
      <w:r w:rsidRPr="00873C4C">
        <w:rPr>
          <w:color w:val="000000"/>
        </w:rPr>
        <w:t xml:space="preserve"> recurrent bronchial infections and loss of height occurred. On autopsy masses containing large round cells in ribs and thoracic vertebrae were seen. Kahler recognized that the urinary protein had the same characteristics as</w:t>
      </w:r>
      <w:r w:rsidR="004B602A" w:rsidRPr="00873C4C">
        <w:rPr>
          <w:color w:val="000000"/>
        </w:rPr>
        <w:t xml:space="preserve"> those described by Bence Jones</w:t>
      </w:r>
      <w:r w:rsidRPr="00873C4C">
        <w:rPr>
          <w:color w:val="000000"/>
        </w:rPr>
        <w:t xml:space="preserve"> and the urine was</w:t>
      </w:r>
      <w:r w:rsidR="004B602A" w:rsidRPr="00873C4C">
        <w:rPr>
          <w:color w:val="000000"/>
        </w:rPr>
        <w:t xml:space="preserve"> described in detail by Huppert</w:t>
      </w:r>
      <w:r w:rsidRPr="00873C4C">
        <w:rPr>
          <w:color w:val="000000"/>
        </w:rPr>
        <w:t>. In 1900 Wright was the first to identify the</w:t>
      </w:r>
      <w:r w:rsidR="00077A8E" w:rsidRPr="00873C4C">
        <w:rPr>
          <w:color w:val="000000"/>
        </w:rPr>
        <w:t xml:space="preserve"> plasma cells as tumour cells</w:t>
      </w:r>
      <w:r w:rsidRPr="00873C4C">
        <w:rPr>
          <w:color w:val="000000"/>
        </w:rPr>
        <w:t xml:space="preserve">. </w:t>
      </w:r>
    </w:p>
    <w:p w:rsidR="008F5889" w:rsidRPr="00873C4C" w:rsidRDefault="008F5889" w:rsidP="00057B42">
      <w:pPr>
        <w:spacing w:line="360" w:lineRule="auto"/>
        <w:jc w:val="both"/>
        <w:rPr>
          <w:color w:val="000000"/>
        </w:rPr>
      </w:pPr>
    </w:p>
    <w:p w:rsidR="00BF3451" w:rsidRPr="00873C4C" w:rsidRDefault="00077A8E" w:rsidP="00057B42">
      <w:pPr>
        <w:spacing w:line="360" w:lineRule="auto"/>
        <w:jc w:val="both"/>
        <w:rPr>
          <w:color w:val="000000"/>
        </w:rPr>
      </w:pPr>
      <w:r w:rsidRPr="00873C4C">
        <w:rPr>
          <w:color w:val="000000"/>
        </w:rPr>
        <w:t>The term ‘Multiple Myeloma’ was introduced by a Russian doctor, Von Rustizky in 1873</w:t>
      </w:r>
      <w:r w:rsidR="008F5889" w:rsidRPr="00873C4C">
        <w:rPr>
          <w:color w:val="000000"/>
        </w:rPr>
        <w:t xml:space="preserve">. </w:t>
      </w:r>
      <w:r w:rsidRPr="00873C4C">
        <w:rPr>
          <w:color w:val="000000"/>
        </w:rPr>
        <w:t xml:space="preserve">During an autopsy, he found eight separate tumours of the bone marrow, which he designated as ‘Multiple Myelomas’. </w:t>
      </w:r>
      <w:r w:rsidR="003F65E6" w:rsidRPr="00873C4C">
        <w:rPr>
          <w:color w:val="000000"/>
        </w:rPr>
        <w:t xml:space="preserve">The name multiple myeloma </w:t>
      </w:r>
      <w:r w:rsidR="008F5889" w:rsidRPr="00873C4C">
        <w:rPr>
          <w:color w:val="000000"/>
        </w:rPr>
        <w:t>(</w:t>
      </w:r>
      <w:r w:rsidR="008F5889" w:rsidRPr="00873C4C">
        <w:rPr>
          <w:color w:val="000000"/>
          <w:lang w:val="en-GB"/>
        </w:rPr>
        <w:t>MM</w:t>
      </w:r>
      <w:r w:rsidR="008F5889" w:rsidRPr="00873C4C">
        <w:rPr>
          <w:color w:val="000000"/>
        </w:rPr>
        <w:t xml:space="preserve">) </w:t>
      </w:r>
      <w:r w:rsidR="003F65E6" w:rsidRPr="00873C4C">
        <w:rPr>
          <w:color w:val="000000"/>
        </w:rPr>
        <w:t xml:space="preserve">stuck until today, though this disease is still </w:t>
      </w:r>
      <w:r w:rsidRPr="00873C4C">
        <w:rPr>
          <w:color w:val="000000"/>
        </w:rPr>
        <w:t>occasionally</w:t>
      </w:r>
      <w:r w:rsidR="003F65E6" w:rsidRPr="00873C4C">
        <w:rPr>
          <w:color w:val="000000"/>
        </w:rPr>
        <w:t xml:space="preserve"> referred to as ‘Kahler’s disease’ in The Netherlands and ‘Rustizky’s disease’ in Russia. Aside from diagnostic advances in serum protein examinati</w:t>
      </w:r>
      <w:r w:rsidR="005A528B" w:rsidRPr="00873C4C">
        <w:rPr>
          <w:color w:val="000000"/>
        </w:rPr>
        <w:t xml:space="preserve">ons </w:t>
      </w:r>
      <w:r w:rsidR="008F5889" w:rsidRPr="00873C4C">
        <w:rPr>
          <w:color w:val="000000"/>
        </w:rPr>
        <w:t>clinical</w:t>
      </w:r>
      <w:r w:rsidR="005A528B" w:rsidRPr="00873C4C">
        <w:rPr>
          <w:color w:val="000000"/>
        </w:rPr>
        <w:t xml:space="preserve"> </w:t>
      </w:r>
      <w:r w:rsidR="008F5889" w:rsidRPr="00873C4C">
        <w:rPr>
          <w:color w:val="000000"/>
        </w:rPr>
        <w:t>diagnosis</w:t>
      </w:r>
      <w:r w:rsidR="005A528B" w:rsidRPr="00873C4C">
        <w:rPr>
          <w:color w:val="000000"/>
        </w:rPr>
        <w:t xml:space="preserve"> of m</w:t>
      </w:r>
      <w:r w:rsidRPr="00873C4C">
        <w:rPr>
          <w:color w:val="000000"/>
        </w:rPr>
        <w:t xml:space="preserve">ultiple </w:t>
      </w:r>
      <w:r w:rsidR="005A528B" w:rsidRPr="00873C4C">
        <w:rPr>
          <w:color w:val="000000"/>
        </w:rPr>
        <w:t>m</w:t>
      </w:r>
      <w:r w:rsidRPr="00873C4C">
        <w:rPr>
          <w:color w:val="000000"/>
        </w:rPr>
        <w:t>yeloma</w:t>
      </w:r>
      <w:r w:rsidR="003F65E6" w:rsidRPr="00873C4C">
        <w:rPr>
          <w:color w:val="000000"/>
        </w:rPr>
        <w:t xml:space="preserve"> was great</w:t>
      </w:r>
      <w:r w:rsidRPr="00873C4C">
        <w:rPr>
          <w:color w:val="000000"/>
        </w:rPr>
        <w:t xml:space="preserve">ly enhanced by utilizing X-rays </w:t>
      </w:r>
      <w:r w:rsidR="003F65E6" w:rsidRPr="00873C4C">
        <w:rPr>
          <w:color w:val="000000"/>
        </w:rPr>
        <w:t>and bone marrow examination. No effective treatment was found until 1947 when urethane was discovered and followed 15 years later by melphalan</w:t>
      </w:r>
      <w:r w:rsidR="008F5889" w:rsidRPr="00873C4C">
        <w:rPr>
          <w:color w:val="000000"/>
        </w:rPr>
        <w:t xml:space="preserve">, </w:t>
      </w:r>
      <w:r w:rsidR="003F65E6" w:rsidRPr="00873C4C">
        <w:rPr>
          <w:color w:val="000000"/>
        </w:rPr>
        <w:t>which</w:t>
      </w:r>
      <w:r w:rsidR="005A528B" w:rsidRPr="00873C4C">
        <w:rPr>
          <w:color w:val="000000"/>
        </w:rPr>
        <w:t xml:space="preserve"> remained the corner</w:t>
      </w:r>
      <w:r w:rsidR="008F5889" w:rsidRPr="00873C4C">
        <w:rPr>
          <w:color w:val="000000"/>
        </w:rPr>
        <w:t xml:space="preserve"> </w:t>
      </w:r>
      <w:r w:rsidR="005A528B" w:rsidRPr="00873C4C">
        <w:rPr>
          <w:color w:val="000000"/>
        </w:rPr>
        <w:t xml:space="preserve">stone of multiple myeloma </w:t>
      </w:r>
      <w:r w:rsidR="003F65E6" w:rsidRPr="00873C4C">
        <w:rPr>
          <w:color w:val="000000"/>
        </w:rPr>
        <w:t xml:space="preserve">therapy up </w:t>
      </w:r>
      <w:r w:rsidR="009D0518" w:rsidRPr="00873C4C">
        <w:rPr>
          <w:color w:val="000000"/>
        </w:rPr>
        <w:t>until</w:t>
      </w:r>
      <w:r w:rsidR="003F65E6" w:rsidRPr="00873C4C">
        <w:rPr>
          <w:color w:val="000000"/>
        </w:rPr>
        <w:t xml:space="preserve"> </w:t>
      </w:r>
      <w:r w:rsidR="008F5889" w:rsidRPr="00873C4C">
        <w:rPr>
          <w:color w:val="000000"/>
        </w:rPr>
        <w:t>a</w:t>
      </w:r>
      <w:r w:rsidR="003F65E6" w:rsidRPr="00873C4C">
        <w:rPr>
          <w:color w:val="000000"/>
        </w:rPr>
        <w:t xml:space="preserve"> decade </w:t>
      </w:r>
      <w:r w:rsidR="008F5889" w:rsidRPr="00873C4C">
        <w:rPr>
          <w:color w:val="000000"/>
        </w:rPr>
        <w:t>ago</w:t>
      </w:r>
      <w:r w:rsidR="00756D0C" w:rsidRPr="00873C4C">
        <w:rPr>
          <w:color w:val="000000"/>
        </w:rPr>
        <w:t>.</w:t>
      </w:r>
    </w:p>
    <w:p w:rsidR="002C6DD9" w:rsidRDefault="002C6DD9" w:rsidP="00057B42">
      <w:pPr>
        <w:spacing w:line="360" w:lineRule="auto"/>
        <w:jc w:val="both"/>
        <w:rPr>
          <w:color w:val="000000"/>
          <w:lang w:val="en-GB"/>
        </w:rPr>
      </w:pPr>
    </w:p>
    <w:p w:rsidR="00756D0C" w:rsidRPr="00873C4C" w:rsidRDefault="002D778B" w:rsidP="00057B42">
      <w:pPr>
        <w:spacing w:line="360" w:lineRule="auto"/>
        <w:jc w:val="both"/>
        <w:rPr>
          <w:color w:val="000000"/>
        </w:rPr>
      </w:pPr>
      <w:r w:rsidRPr="00873C4C">
        <w:rPr>
          <w:color w:val="000000"/>
          <w:lang w:val="en-GB"/>
        </w:rPr>
        <w:t xml:space="preserve">In 1956, Dr. Korngold </w:t>
      </w:r>
      <w:r w:rsidR="00756D0C" w:rsidRPr="00873C4C">
        <w:rPr>
          <w:color w:val="000000"/>
          <w:lang w:val="en-GB"/>
        </w:rPr>
        <w:t xml:space="preserve"> </w:t>
      </w:r>
      <w:r w:rsidRPr="00873C4C">
        <w:rPr>
          <w:color w:val="000000"/>
          <w:lang w:val="en-GB"/>
        </w:rPr>
        <w:fldChar w:fldCharType="begin"/>
      </w:r>
      <w:r w:rsidR="006F41FE">
        <w:rPr>
          <w:color w:val="000000"/>
          <w:lang w:val="en-GB"/>
        </w:rPr>
        <w:instrText xml:space="preserve"> ADDIN EN.CITE &lt;EndNote&gt;&lt;Cite&gt;&lt;Author&gt;Korngold&lt;/Author&gt;&lt;Year&gt;1956&lt;/Year&gt;&lt;RecNum&gt;2&lt;/RecNum&gt;&lt;DisplayText&gt;(Korngold and Lipari, 1956)&lt;/DisplayText&gt;&lt;record&gt;&lt;rec-number&gt;2&lt;/rec-number&gt;&lt;ref-type name="Journal Article"&gt;17&lt;/ref-type&gt;&lt;contributors&gt;&lt;authors&gt;&lt;author&gt;Korngold, L.&lt;/author&gt;&lt;author&gt;Lipari, R.&lt;/author&gt;&lt;/authors&gt;&lt;/contributors&gt;&lt;titles&gt;&lt;title&gt;Multiple-myeloma proteins. III. The antigenic relationship of Bence Jones proteins to normal gammaglobulin and multiple-myeloma serum proteins&lt;/title&gt;&lt;secondary-title&gt;Cancer&lt;/secondary-title&gt;&lt;/titles&gt;&lt;periodical&gt;&lt;full-title&gt;Cancer&lt;/full-title&gt;&lt;/periodical&gt;&lt;pages&gt;262-72&lt;/pages&gt;&lt;volume&gt;9&lt;/volume&gt;&lt;number&gt;2&lt;/number&gt;&lt;keywords&gt;&lt;keyword&gt;*Antibodies&lt;/keyword&gt;&lt;keyword&gt;*Antigens&lt;/keyword&gt;&lt;keyword&gt;*Blood Proteins&lt;/keyword&gt;&lt;keyword&gt;Multiple Myeloma/*blood&lt;/keyword&gt;&lt;keyword&gt;*gamma-Globulins&lt;/keyword&gt;&lt;/keywords&gt;&lt;dates&gt;&lt;year&gt;1956&lt;/year&gt;&lt;pub-dates&gt;&lt;date&gt;Mar-Apr&lt;/date&gt;&lt;/pub-dates&gt;&lt;/dates&gt;&lt;accession-num&gt;13304841&lt;/accession-num&gt;&lt;urls&gt;&lt;related-urls&gt;&lt;url&gt;http://www.ncbi.nlm.nih.gov/entrez/query.fcgi?cmd=Retrieve&amp;amp;db=PubMed&amp;amp;dopt=Citation&amp;amp;list_uids=13304841 &lt;/url&gt;&lt;/related-urls&gt;&lt;/urls&gt;&lt;/record&gt;&lt;/Cite&gt;&lt;/EndNote&gt;</w:instrText>
      </w:r>
      <w:r w:rsidRPr="00873C4C">
        <w:rPr>
          <w:color w:val="000000"/>
          <w:lang w:val="en-GB"/>
        </w:rPr>
        <w:fldChar w:fldCharType="separate"/>
      </w:r>
      <w:r w:rsidR="006F41FE">
        <w:rPr>
          <w:noProof/>
          <w:color w:val="000000"/>
          <w:lang w:val="en-GB"/>
        </w:rPr>
        <w:t>(</w:t>
      </w:r>
      <w:hyperlink w:anchor="_ENREF_219" w:tooltip="Korngold, 1956 #2" w:history="1">
        <w:r w:rsidR="004A784D">
          <w:rPr>
            <w:noProof/>
            <w:color w:val="000000"/>
            <w:lang w:val="en-GB"/>
          </w:rPr>
          <w:t>Korngold and Lipari, 1956</w:t>
        </w:r>
      </w:hyperlink>
      <w:r w:rsidR="006F41FE">
        <w:rPr>
          <w:noProof/>
          <w:color w:val="000000"/>
          <w:lang w:val="en-GB"/>
        </w:rPr>
        <w:t>)</w:t>
      </w:r>
      <w:r w:rsidRPr="00873C4C">
        <w:rPr>
          <w:color w:val="000000"/>
          <w:lang w:val="en-GB"/>
        </w:rPr>
        <w:fldChar w:fldCharType="end"/>
      </w:r>
      <w:r w:rsidRPr="00873C4C">
        <w:rPr>
          <w:color w:val="000000"/>
          <w:lang w:val="en-GB"/>
        </w:rPr>
        <w:t xml:space="preserve"> </w:t>
      </w:r>
      <w:r w:rsidR="00756D0C" w:rsidRPr="00873C4C">
        <w:rPr>
          <w:color w:val="000000"/>
          <w:lang w:val="en-GB"/>
        </w:rPr>
        <w:t>demonstrated a relationship between Bence Jones protein and the serum proteins of multiple myeloma. The designation of the two major classes of Bence Jones protein as Kappa and Lambda is a tribute to Korngold and Lipari.</w:t>
      </w:r>
    </w:p>
    <w:p w:rsidR="002C6DD9" w:rsidRDefault="002C6DD9" w:rsidP="00057B42">
      <w:pPr>
        <w:spacing w:line="360" w:lineRule="auto"/>
        <w:jc w:val="both"/>
        <w:rPr>
          <w:color w:val="000000"/>
          <w:lang w:val="en-GB"/>
        </w:rPr>
      </w:pPr>
    </w:p>
    <w:p w:rsidR="008D2F8A" w:rsidRDefault="00756D0C" w:rsidP="00057B42">
      <w:pPr>
        <w:spacing w:line="360" w:lineRule="auto"/>
        <w:jc w:val="both"/>
        <w:rPr>
          <w:color w:val="000000"/>
          <w:lang w:val="en-GB"/>
        </w:rPr>
      </w:pPr>
      <w:r w:rsidRPr="00873C4C">
        <w:rPr>
          <w:color w:val="000000"/>
          <w:lang w:val="en-GB"/>
        </w:rPr>
        <w:t xml:space="preserve">In 1962, one hundred </w:t>
      </w:r>
      <w:r w:rsidR="00734A45">
        <w:rPr>
          <w:color w:val="000000"/>
          <w:lang w:val="en-GB"/>
        </w:rPr>
        <w:t xml:space="preserve">and </w:t>
      </w:r>
      <w:r w:rsidRPr="00873C4C">
        <w:rPr>
          <w:color w:val="000000"/>
          <w:lang w:val="en-GB"/>
        </w:rPr>
        <w:t>sevente</w:t>
      </w:r>
      <w:r w:rsidR="00705CDF">
        <w:rPr>
          <w:color w:val="000000"/>
          <w:lang w:val="en-GB"/>
        </w:rPr>
        <w:t>en years</w:t>
      </w:r>
      <w:r w:rsidRPr="00873C4C">
        <w:rPr>
          <w:color w:val="000000"/>
          <w:lang w:val="en-GB"/>
        </w:rPr>
        <w:t xml:space="preserve"> after the description of the unique heat-related properties of Bence Jones protein, </w:t>
      </w:r>
      <w:r w:rsidR="00106BBD" w:rsidRPr="00873C4C">
        <w:rPr>
          <w:color w:val="000000"/>
          <w:lang w:val="en-GB"/>
        </w:rPr>
        <w:t xml:space="preserve">Dr. </w:t>
      </w:r>
      <w:r w:rsidR="00720B90" w:rsidRPr="00873C4C">
        <w:rPr>
          <w:color w:val="000000"/>
          <w:lang w:val="en-GB"/>
        </w:rPr>
        <w:t xml:space="preserve">Edelman </w:t>
      </w:r>
      <w:r w:rsidR="00720B90" w:rsidRPr="00873C4C">
        <w:rPr>
          <w:color w:val="000000"/>
          <w:lang w:val="en-GB"/>
        </w:rPr>
        <w:fldChar w:fldCharType="begin"/>
      </w:r>
      <w:r w:rsidR="006F41FE">
        <w:rPr>
          <w:color w:val="000000"/>
          <w:lang w:val="en-GB"/>
        </w:rPr>
        <w:instrText xml:space="preserve"> ADDIN EN.CITE &lt;EndNote&gt;&lt;Cite&gt;&lt;Author&gt;Edelman&lt;/Author&gt;&lt;Year&gt;1962&lt;/Year&gt;&lt;RecNum&gt;27&lt;/RecNum&gt;&lt;DisplayText&gt;(Edelman and Gally, 1962)&lt;/DisplayText&gt;&lt;record&gt;&lt;rec-number&gt;27&lt;/rec-number&gt;&lt;ref-type name="Journal Article"&gt;17&lt;/ref-type&gt;&lt;contributors&gt;&lt;authors&gt;&lt;author&gt;Edelman, G. M.&lt;/author&gt;&lt;author&gt;Gally, J. A.&lt;/author&gt;&lt;/authors&gt;&lt;/contributors&gt;&lt;titles&gt;&lt;title&gt;The nature of Bence-Jones proteins. Chemical similarities to polypetide chains of myeloma globulins and normal gamma-globulins&lt;/title&gt;&lt;secondary-title&gt;J Exp Med&lt;/secondary-title&gt;&lt;/titles&gt;&lt;periodical&gt;&lt;full-title&gt;J Exp Med&lt;/full-title&gt;&lt;/periodical&gt;&lt;pages&gt;207-27&lt;/pages&gt;&lt;volume&gt;116&lt;/volume&gt;&lt;keywords&gt;&lt;keyword&gt;Bence Jones Protein/*chemistry&lt;/keyword&gt;&lt;keyword&gt;Multiple Myeloma/*chemistry&lt;/keyword&gt;&lt;keyword&gt;Peptides/*chemistry&lt;/keyword&gt;&lt;keyword&gt;Serum Globulins/*chemistry&lt;/keyword&gt;&lt;keyword&gt;gamma-Globulins/*chemistry&lt;/keyword&gt;&lt;/keywords&gt;&lt;dates&gt;&lt;year&gt;1962&lt;/year&gt;&lt;pub-dates&gt;&lt;date&gt;Aug 1&lt;/date&gt;&lt;/pub-dates&gt;&lt;/dates&gt;&lt;accession-num&gt;13889153&lt;/accession-num&gt;&lt;urls&gt;&lt;related-urls&gt;&lt;url&gt;http://www.ncbi.nlm.nih.gov/entrez/query.fcgi?cmd=Retrieve&amp;amp;db=PubMed&amp;amp;dopt=Citation&amp;amp;list_uids=13889153 &lt;/url&gt;&lt;/related-urls&gt;&lt;/urls&gt;&lt;/record&gt;&lt;/Cite&gt;&lt;/EndNote&gt;</w:instrText>
      </w:r>
      <w:r w:rsidR="00720B90" w:rsidRPr="00873C4C">
        <w:rPr>
          <w:color w:val="000000"/>
          <w:lang w:val="en-GB"/>
        </w:rPr>
        <w:fldChar w:fldCharType="separate"/>
      </w:r>
      <w:r w:rsidR="006F41FE">
        <w:rPr>
          <w:noProof/>
          <w:color w:val="000000"/>
          <w:lang w:val="en-GB"/>
        </w:rPr>
        <w:t>(</w:t>
      </w:r>
      <w:hyperlink w:anchor="_ENREF_115" w:tooltip="Edelman, 1962 #27" w:history="1">
        <w:r w:rsidR="004A784D">
          <w:rPr>
            <w:noProof/>
            <w:color w:val="000000"/>
            <w:lang w:val="en-GB"/>
          </w:rPr>
          <w:t>Edelman and Gally, 1962</w:t>
        </w:r>
      </w:hyperlink>
      <w:r w:rsidR="006F41FE">
        <w:rPr>
          <w:noProof/>
          <w:color w:val="000000"/>
          <w:lang w:val="en-GB"/>
        </w:rPr>
        <w:t>)</w:t>
      </w:r>
      <w:r w:rsidR="00720B90" w:rsidRPr="00873C4C">
        <w:rPr>
          <w:color w:val="000000"/>
          <w:lang w:val="en-GB"/>
        </w:rPr>
        <w:fldChar w:fldCharType="end"/>
      </w:r>
      <w:r w:rsidR="00720B90" w:rsidRPr="00873C4C">
        <w:rPr>
          <w:color w:val="000000"/>
          <w:lang w:val="en-GB"/>
        </w:rPr>
        <w:t xml:space="preserve"> </w:t>
      </w:r>
      <w:r w:rsidRPr="00873C4C">
        <w:rPr>
          <w:color w:val="000000"/>
          <w:lang w:val="en-GB"/>
        </w:rPr>
        <w:lastRenderedPageBreak/>
        <w:t xml:space="preserve">demonstrated that the light chains prepared from a serum IgG myeloma protein and the Bence Jones protein from the same patient's urine were identical. </w:t>
      </w:r>
    </w:p>
    <w:p w:rsidR="004C2D3A" w:rsidRPr="00873C4C" w:rsidRDefault="004C2D3A" w:rsidP="00057B42">
      <w:pPr>
        <w:spacing w:line="360" w:lineRule="auto"/>
        <w:jc w:val="both"/>
        <w:rPr>
          <w:color w:val="000000"/>
          <w:lang w:val="en-GB"/>
        </w:rPr>
      </w:pPr>
    </w:p>
    <w:p w:rsidR="00E076C6" w:rsidRDefault="008D2F8A" w:rsidP="00057B42">
      <w:pPr>
        <w:spacing w:line="360" w:lineRule="auto"/>
        <w:jc w:val="both"/>
        <w:rPr>
          <w:color w:val="000000"/>
          <w:lang w:val="en-GB"/>
        </w:rPr>
      </w:pPr>
      <w:r w:rsidRPr="00873C4C">
        <w:rPr>
          <w:color w:val="000000"/>
          <w:lang w:val="en-GB"/>
        </w:rPr>
        <w:t>In 1984</w:t>
      </w:r>
      <w:r w:rsidR="00F36673" w:rsidRPr="00873C4C">
        <w:rPr>
          <w:color w:val="000000"/>
          <w:lang w:val="en-GB"/>
        </w:rPr>
        <w:t xml:space="preserve"> Dr</w:t>
      </w:r>
      <w:r w:rsidRPr="00873C4C">
        <w:rPr>
          <w:color w:val="000000"/>
          <w:lang w:val="en-GB"/>
        </w:rPr>
        <w:t xml:space="preserve"> Barlogie </w:t>
      </w:r>
      <w:r w:rsidR="00720B90" w:rsidRPr="00873C4C">
        <w:rPr>
          <w:color w:val="000000"/>
          <w:lang w:val="en-GB"/>
        </w:rPr>
        <w:fldChar w:fldCharType="begin"/>
      </w:r>
      <w:r w:rsidR="006F41FE">
        <w:rPr>
          <w:color w:val="000000"/>
          <w:lang w:val="en-GB"/>
        </w:rPr>
        <w:instrText xml:space="preserve"> ADDIN EN.CITE &lt;EndNote&gt;&lt;Cite&gt;&lt;Author&gt;Barlogie&lt;/Author&gt;&lt;Year&gt;1984&lt;/Year&gt;&lt;RecNum&gt;17&lt;/RecNum&gt;&lt;DisplayText&gt;(Barlogie et al., 1984)&lt;/DisplayText&gt;&lt;record&gt;&lt;rec-number&gt;17&lt;/rec-number&gt;&lt;ref-type name="Journal Article"&gt;17&lt;/ref-type&gt;&lt;contributors&gt;&lt;authors&gt;&lt;author&gt;Barlogie, B.&lt;/author&gt;&lt;author&gt;Smith, L.&lt;/author&gt;&lt;author&gt;Alexanian, R.&lt;/author&gt;&lt;/authors&gt;&lt;/contributors&gt;&lt;titles&gt;&lt;title&gt;Effective treatment of advanced multiple myeloma refractory to alkylating agents&lt;/title&gt;&lt;secondary-title&gt;N Engl J Med&lt;/secondary-title&gt;&lt;/titles&gt;&lt;periodical&gt;&lt;full-title&gt;N Engl J Med&lt;/full-title&gt;&lt;/periodical&gt;&lt;pages&gt;1353-6&lt;/pages&gt;&lt;volume&gt;310&lt;/volume&gt;&lt;number&gt;21&lt;/number&gt;&lt;keywords&gt;&lt;keyword&gt;Alkylating Agents/therapeutic use&lt;/keyword&gt;&lt;keyword&gt;Antineoplastic Combined Chemotherapy Protocols/adverse&lt;/keyword&gt;&lt;keyword&gt;effects/*therapeutic use&lt;/keyword&gt;&lt;keyword&gt;Cyclophosphamide/adverse effects/therapeutic use&lt;/keyword&gt;&lt;keyword&gt;Dexamethasone/administration &amp;amp; dosage/adverse effects/therapeutic use&lt;/keyword&gt;&lt;keyword&gt;Doxorubicin/administration &amp;amp; dosage/adverse effects/therapeutic use&lt;/keyword&gt;&lt;keyword&gt;Drug Resistance&lt;/keyword&gt;&lt;keyword&gt;Humans&lt;/keyword&gt;&lt;keyword&gt;Melphalan/therapeutic use&lt;/keyword&gt;&lt;keyword&gt;Middle Aged&lt;/keyword&gt;&lt;keyword&gt;Multiple Myeloma/*drug therapy&lt;/keyword&gt;&lt;keyword&gt;Plasma Cells/analysis&lt;/keyword&gt;&lt;keyword&gt;Prednisone/adverse effects/therapeutic use&lt;/keyword&gt;&lt;keyword&gt;RNA, Neoplasm/analysis&lt;/keyword&gt;&lt;keyword&gt;Vincristine/administration &amp;amp; dosage/adverse effects/therapeutic use&lt;/keyword&gt;&lt;/keywords&gt;&lt;dates&gt;&lt;year&gt;1984&lt;/year&gt;&lt;pub-dates&gt;&lt;date&gt;May 24&lt;/date&gt;&lt;/pub-dates&gt;&lt;/dates&gt;&lt;accession-num&gt;6546971&lt;/accession-num&gt;&lt;urls&gt;&lt;related-urls&gt;&lt;url&gt;http://www.ncbi.nlm.nih.gov/entrez/query.fcgi?cmd=Retrieve&amp;amp;db=PubMed&amp;amp;dopt=Citation&amp;amp;list_uids=6546971 &lt;/url&gt;&lt;/related-urls&gt;&lt;/urls&gt;&lt;/record&gt;&lt;/Cite&gt;&lt;/EndNote&gt;</w:instrText>
      </w:r>
      <w:r w:rsidR="00720B90" w:rsidRPr="00873C4C">
        <w:rPr>
          <w:color w:val="000000"/>
          <w:lang w:val="en-GB"/>
        </w:rPr>
        <w:fldChar w:fldCharType="separate"/>
      </w:r>
      <w:r w:rsidR="006F41FE">
        <w:rPr>
          <w:noProof/>
          <w:color w:val="000000"/>
          <w:lang w:val="en-GB"/>
        </w:rPr>
        <w:t>(</w:t>
      </w:r>
      <w:hyperlink w:anchor="_ENREF_35" w:tooltip="Barlogie, 1984 #17" w:history="1">
        <w:r w:rsidR="004A784D">
          <w:rPr>
            <w:noProof/>
            <w:color w:val="000000"/>
            <w:lang w:val="en-GB"/>
          </w:rPr>
          <w:t>Barlogie et al., 1984</w:t>
        </w:r>
      </w:hyperlink>
      <w:r w:rsidR="006F41FE">
        <w:rPr>
          <w:noProof/>
          <w:color w:val="000000"/>
          <w:lang w:val="en-GB"/>
        </w:rPr>
        <w:t>)</w:t>
      </w:r>
      <w:r w:rsidR="00720B90" w:rsidRPr="00873C4C">
        <w:rPr>
          <w:color w:val="000000"/>
          <w:lang w:val="en-GB"/>
        </w:rPr>
        <w:fldChar w:fldCharType="end"/>
      </w:r>
      <w:r w:rsidR="00720B90" w:rsidRPr="00873C4C">
        <w:rPr>
          <w:color w:val="000000"/>
          <w:lang w:val="en-GB"/>
        </w:rPr>
        <w:t xml:space="preserve"> </w:t>
      </w:r>
      <w:r w:rsidRPr="00873C4C">
        <w:rPr>
          <w:color w:val="000000"/>
          <w:lang w:val="en-GB"/>
        </w:rPr>
        <w:t>introduce</w:t>
      </w:r>
      <w:r w:rsidR="00734A45">
        <w:rPr>
          <w:color w:val="000000"/>
          <w:lang w:val="en-GB"/>
        </w:rPr>
        <w:t>d</w:t>
      </w:r>
      <w:r w:rsidRPr="00873C4C">
        <w:rPr>
          <w:color w:val="000000"/>
          <w:lang w:val="en-GB"/>
        </w:rPr>
        <w:t xml:space="preserve"> combination chemotherapy treatment for MM called VAD (vincristine, adriamycin and dexamethasone).</w:t>
      </w:r>
      <w:r w:rsidR="009D0518">
        <w:rPr>
          <w:color w:val="000000"/>
          <w:lang w:val="en-GB"/>
        </w:rPr>
        <w:t xml:space="preserve"> </w:t>
      </w:r>
      <w:r w:rsidR="003D04C6">
        <w:rPr>
          <w:color w:val="000000"/>
          <w:lang w:val="en-GB"/>
        </w:rPr>
        <w:t xml:space="preserve">Between, </w:t>
      </w:r>
      <w:r w:rsidR="00734A45">
        <w:rPr>
          <w:color w:val="000000"/>
          <w:lang w:val="en-GB"/>
        </w:rPr>
        <w:t>1986-1996,</w:t>
      </w:r>
      <w:r w:rsidR="009548E1">
        <w:rPr>
          <w:color w:val="000000"/>
          <w:lang w:val="en-GB"/>
        </w:rPr>
        <w:t xml:space="preserve"> </w:t>
      </w:r>
      <w:r w:rsidR="004E3C6B">
        <w:rPr>
          <w:color w:val="000000"/>
          <w:lang w:val="en-GB"/>
        </w:rPr>
        <w:t xml:space="preserve">a </w:t>
      </w:r>
      <w:r w:rsidR="00AF4D6E" w:rsidRPr="00873C4C">
        <w:rPr>
          <w:color w:val="000000"/>
          <w:lang w:val="en-GB"/>
        </w:rPr>
        <w:t>l</w:t>
      </w:r>
      <w:r w:rsidRPr="00873C4C">
        <w:rPr>
          <w:color w:val="000000"/>
          <w:lang w:val="en-GB"/>
        </w:rPr>
        <w:t xml:space="preserve">arge numbers of </w:t>
      </w:r>
      <w:r w:rsidR="000142D8" w:rsidRPr="00873C4C">
        <w:rPr>
          <w:color w:val="000000"/>
          <w:lang w:val="en-GB"/>
        </w:rPr>
        <w:t xml:space="preserve">randomised </w:t>
      </w:r>
      <w:r w:rsidR="009548E1">
        <w:rPr>
          <w:color w:val="000000"/>
          <w:lang w:val="en-GB"/>
        </w:rPr>
        <w:t xml:space="preserve">clinical </w:t>
      </w:r>
      <w:r w:rsidR="00647448" w:rsidRPr="00873C4C">
        <w:rPr>
          <w:color w:val="000000"/>
          <w:lang w:val="en-GB"/>
        </w:rPr>
        <w:t>trials</w:t>
      </w:r>
      <w:r w:rsidR="009548E1">
        <w:rPr>
          <w:color w:val="000000"/>
          <w:lang w:val="en-GB"/>
        </w:rPr>
        <w:t xml:space="preserve"> evaluating high </w:t>
      </w:r>
      <w:r w:rsidRPr="00873C4C">
        <w:rPr>
          <w:color w:val="000000"/>
          <w:lang w:val="en-GB"/>
        </w:rPr>
        <w:t xml:space="preserve">dose </w:t>
      </w:r>
      <w:r w:rsidR="009548E1">
        <w:rPr>
          <w:color w:val="000000"/>
          <w:lang w:val="en-GB"/>
        </w:rPr>
        <w:t xml:space="preserve">chemotherapy </w:t>
      </w:r>
      <w:r w:rsidRPr="00873C4C">
        <w:rPr>
          <w:color w:val="000000"/>
          <w:lang w:val="en-GB"/>
        </w:rPr>
        <w:t>therapy with autologous bone marrow or</w:t>
      </w:r>
      <w:r w:rsidR="000142D8" w:rsidRPr="00873C4C">
        <w:rPr>
          <w:color w:val="000000"/>
          <w:lang w:val="en-GB"/>
        </w:rPr>
        <w:t xml:space="preserve"> peripheral</w:t>
      </w:r>
      <w:r w:rsidRPr="00873C4C">
        <w:rPr>
          <w:color w:val="000000"/>
          <w:lang w:val="en-GB"/>
        </w:rPr>
        <w:t xml:space="preserve"> stem cell rescue by various investigators</w:t>
      </w:r>
      <w:r w:rsidR="009548E1">
        <w:rPr>
          <w:color w:val="000000"/>
          <w:lang w:val="en-GB"/>
        </w:rPr>
        <w:t xml:space="preserve"> showed a higher response rate. </w:t>
      </w:r>
    </w:p>
    <w:p w:rsidR="000142D8" w:rsidRPr="00873C4C" w:rsidRDefault="00E26B91" w:rsidP="00057B42">
      <w:pPr>
        <w:spacing w:line="360" w:lineRule="auto"/>
        <w:jc w:val="both"/>
        <w:rPr>
          <w:color w:val="000000"/>
          <w:lang w:val="en-GB"/>
        </w:rPr>
      </w:pPr>
      <w:r w:rsidRPr="00873C4C">
        <w:rPr>
          <w:color w:val="000000"/>
          <w:lang w:val="en-GB"/>
        </w:rPr>
        <w:t>In 1999</w:t>
      </w:r>
      <w:r w:rsidR="000142D8" w:rsidRPr="00873C4C">
        <w:rPr>
          <w:color w:val="000000"/>
          <w:lang w:val="en-GB"/>
        </w:rPr>
        <w:t xml:space="preserve"> thalidomide </w:t>
      </w:r>
      <w:r w:rsidR="00274D47">
        <w:rPr>
          <w:color w:val="000000"/>
          <w:lang w:val="en-GB"/>
        </w:rPr>
        <w:t>was</w:t>
      </w:r>
      <w:r w:rsidRPr="00873C4C">
        <w:rPr>
          <w:color w:val="000000"/>
          <w:lang w:val="en-GB"/>
        </w:rPr>
        <w:t xml:space="preserve"> </w:t>
      </w:r>
      <w:r w:rsidR="000142D8" w:rsidRPr="00873C4C">
        <w:rPr>
          <w:color w:val="000000"/>
          <w:lang w:val="en-GB"/>
        </w:rPr>
        <w:t xml:space="preserve">shown to be an effective anti-myeloma therapy in </w:t>
      </w:r>
      <w:r w:rsidR="00D91DB2" w:rsidRPr="00873C4C">
        <w:rPr>
          <w:color w:val="000000"/>
          <w:lang w:val="en-GB"/>
        </w:rPr>
        <w:t xml:space="preserve">patients with relapsing and </w:t>
      </w:r>
      <w:r w:rsidR="000142D8" w:rsidRPr="00873C4C">
        <w:rPr>
          <w:color w:val="000000"/>
          <w:lang w:val="en-GB"/>
        </w:rPr>
        <w:t xml:space="preserve">refractory disease. </w:t>
      </w:r>
    </w:p>
    <w:p w:rsidR="007023EB" w:rsidRDefault="007023EB" w:rsidP="00057B42">
      <w:pPr>
        <w:spacing w:line="360" w:lineRule="auto"/>
        <w:jc w:val="both"/>
        <w:rPr>
          <w:color w:val="000000"/>
          <w:lang w:val="en-GB"/>
        </w:rPr>
      </w:pPr>
    </w:p>
    <w:p w:rsidR="000142D8" w:rsidRPr="00873C4C" w:rsidRDefault="00AF4D6E" w:rsidP="00057B42">
      <w:pPr>
        <w:spacing w:line="360" w:lineRule="auto"/>
        <w:jc w:val="both"/>
        <w:rPr>
          <w:color w:val="000000"/>
          <w:lang w:val="en-GB"/>
        </w:rPr>
      </w:pPr>
      <w:r w:rsidRPr="00873C4C">
        <w:rPr>
          <w:color w:val="000000"/>
          <w:lang w:val="en-GB"/>
        </w:rPr>
        <w:t xml:space="preserve">Between </w:t>
      </w:r>
      <w:r w:rsidR="007023EB">
        <w:rPr>
          <w:color w:val="000000"/>
          <w:lang w:val="en-GB"/>
        </w:rPr>
        <w:t xml:space="preserve">the </w:t>
      </w:r>
      <w:r w:rsidR="00647448">
        <w:rPr>
          <w:color w:val="000000"/>
          <w:lang w:val="en-GB"/>
        </w:rPr>
        <w:t>years</w:t>
      </w:r>
      <w:r w:rsidR="007023EB">
        <w:rPr>
          <w:color w:val="000000"/>
          <w:lang w:val="en-GB"/>
        </w:rPr>
        <w:t xml:space="preserve"> </w:t>
      </w:r>
      <w:r w:rsidR="000142D8" w:rsidRPr="00873C4C">
        <w:rPr>
          <w:color w:val="000000"/>
          <w:lang w:val="en-GB"/>
        </w:rPr>
        <w:t>2000-2005</w:t>
      </w:r>
      <w:r w:rsidR="007023EB">
        <w:rPr>
          <w:color w:val="000000"/>
          <w:lang w:val="en-GB"/>
        </w:rPr>
        <w:t xml:space="preserve"> for the first time,</w:t>
      </w:r>
      <w:r w:rsidR="000142D8" w:rsidRPr="00873C4C">
        <w:rPr>
          <w:color w:val="000000"/>
          <w:lang w:val="en-GB"/>
        </w:rPr>
        <w:t xml:space="preserve"> there </w:t>
      </w:r>
      <w:r w:rsidR="00274D47">
        <w:rPr>
          <w:color w:val="000000"/>
          <w:lang w:val="en-GB"/>
        </w:rPr>
        <w:t>were</w:t>
      </w:r>
      <w:r w:rsidR="000142D8" w:rsidRPr="00873C4C">
        <w:rPr>
          <w:color w:val="000000"/>
          <w:lang w:val="en-GB"/>
        </w:rPr>
        <w:t xml:space="preserve"> several promising new approaches for myeloma therapy. New clinical trials include thalidomide and its </w:t>
      </w:r>
      <w:r w:rsidRPr="00873C4C">
        <w:rPr>
          <w:color w:val="000000"/>
          <w:lang w:val="en-GB"/>
        </w:rPr>
        <w:t>analogue</w:t>
      </w:r>
      <w:r w:rsidR="000142D8" w:rsidRPr="00873C4C">
        <w:rPr>
          <w:color w:val="000000"/>
          <w:lang w:val="en-GB"/>
        </w:rPr>
        <w:t xml:space="preserve"> lenalidomide and prot</w:t>
      </w:r>
      <w:r w:rsidR="007023EB">
        <w:rPr>
          <w:color w:val="000000"/>
          <w:lang w:val="en-GB"/>
        </w:rPr>
        <w:t xml:space="preserve">easome inhibitors, bortezomib. </w:t>
      </w:r>
      <w:r w:rsidR="000142D8" w:rsidRPr="00873C4C">
        <w:rPr>
          <w:color w:val="000000"/>
          <w:lang w:val="en-GB"/>
        </w:rPr>
        <w:t>In 2005</w:t>
      </w:r>
      <w:r w:rsidRPr="00873C4C">
        <w:rPr>
          <w:color w:val="000000"/>
          <w:lang w:val="en-GB"/>
        </w:rPr>
        <w:t>,</w:t>
      </w:r>
      <w:r w:rsidR="000142D8" w:rsidRPr="00873C4C">
        <w:rPr>
          <w:color w:val="000000"/>
          <w:lang w:val="en-GB"/>
        </w:rPr>
        <w:t xml:space="preserve"> </w:t>
      </w:r>
      <w:r w:rsidR="00720B90" w:rsidRPr="00873C4C">
        <w:rPr>
          <w:color w:val="000000"/>
          <w:lang w:val="en-GB"/>
        </w:rPr>
        <w:t xml:space="preserve">the </w:t>
      </w:r>
      <w:r w:rsidR="000142D8" w:rsidRPr="00873C4C">
        <w:rPr>
          <w:color w:val="000000"/>
          <w:lang w:val="en-GB"/>
        </w:rPr>
        <w:t>International Staging System (ISS) developed by the International Myeloma Working Group of the Internati</w:t>
      </w:r>
      <w:r w:rsidR="002F333A">
        <w:rPr>
          <w:color w:val="000000"/>
          <w:lang w:val="en-GB"/>
        </w:rPr>
        <w:t>onal Myeloma Foundation (IMF) was</w:t>
      </w:r>
      <w:r w:rsidR="000142D8" w:rsidRPr="00873C4C">
        <w:rPr>
          <w:color w:val="000000"/>
          <w:lang w:val="en-GB"/>
        </w:rPr>
        <w:t xml:space="preserve"> published</w:t>
      </w:r>
      <w:r w:rsidR="000F0D6C">
        <w:rPr>
          <w:color w:val="000000"/>
          <w:lang w:val="en-GB"/>
        </w:rPr>
        <w:t xml:space="preserve"> </w:t>
      </w:r>
      <w:r w:rsidR="000F0D6C">
        <w:rPr>
          <w:color w:val="000000"/>
          <w:lang w:val="en-GB"/>
        </w:rPr>
        <w:fldChar w:fldCharType="begin">
          <w:fldData xml:space="preserve">PEVuZE5vdGU+PENpdGU+PEF1dGhvcj5HcmVpcHA8L0F1dGhvcj48WWVhcj4yMDA1PC9ZZWFyPjxS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</w:fldData>
        </w:fldChar>
      </w:r>
      <w:r w:rsidR="000F0D6C">
        <w:rPr>
          <w:color w:val="000000"/>
          <w:lang w:val="en-GB"/>
        </w:rPr>
        <w:instrText xml:space="preserve"> ADDIN EN.CITE </w:instrText>
      </w:r>
      <w:r w:rsidR="000F0D6C">
        <w:rPr>
          <w:color w:val="000000"/>
          <w:lang w:val="en-GB"/>
        </w:rPr>
        <w:fldChar w:fldCharType="begin">
          <w:fldData xml:space="preserve">PEVuZE5vdGU+PENpdGU+PEF1dGhvcj5HcmVpcHA8L0F1dGhvcj48WWVhcj4yMDA1PC9ZZWFyPjxS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</w:fldData>
        </w:fldChar>
      </w:r>
      <w:r w:rsidR="000F0D6C">
        <w:rPr>
          <w:color w:val="000000"/>
          <w:lang w:val="en-GB"/>
        </w:rPr>
        <w:instrText xml:space="preserve"> ADDIN EN.CITE.DATA </w:instrText>
      </w:r>
      <w:r w:rsidR="000F0D6C">
        <w:rPr>
          <w:color w:val="000000"/>
          <w:lang w:val="en-GB"/>
        </w:rPr>
      </w:r>
      <w:r w:rsidR="000F0D6C">
        <w:rPr>
          <w:color w:val="000000"/>
          <w:lang w:val="en-GB"/>
        </w:rPr>
        <w:fldChar w:fldCharType="end"/>
      </w:r>
      <w:r w:rsidR="000F0D6C">
        <w:rPr>
          <w:color w:val="000000"/>
          <w:lang w:val="en-GB"/>
        </w:rPr>
      </w:r>
      <w:r w:rsidR="000F0D6C">
        <w:rPr>
          <w:color w:val="000000"/>
          <w:lang w:val="en-GB"/>
        </w:rPr>
        <w:fldChar w:fldCharType="separate"/>
      </w:r>
      <w:r w:rsidR="000F0D6C">
        <w:rPr>
          <w:noProof/>
          <w:color w:val="000000"/>
          <w:lang w:val="en-GB"/>
        </w:rPr>
        <w:t>(</w:t>
      </w:r>
      <w:hyperlink w:anchor="_ENREF_151" w:tooltip="Greipp, 2005 #4976" w:history="1">
        <w:r w:rsidR="004A784D">
          <w:rPr>
            <w:noProof/>
            <w:color w:val="000000"/>
            <w:lang w:val="en-GB"/>
          </w:rPr>
          <w:t>Greipp et al., 2005</w:t>
        </w:r>
      </w:hyperlink>
      <w:r w:rsidR="000F0D6C">
        <w:rPr>
          <w:noProof/>
          <w:color w:val="000000"/>
          <w:lang w:val="en-GB"/>
        </w:rPr>
        <w:t>)</w:t>
      </w:r>
      <w:r w:rsidR="000F0D6C">
        <w:rPr>
          <w:color w:val="000000"/>
          <w:lang w:val="en-GB"/>
        </w:rPr>
        <w:fldChar w:fldCharType="end"/>
      </w:r>
      <w:r w:rsidR="000142D8" w:rsidRPr="00873C4C">
        <w:rPr>
          <w:color w:val="000000"/>
          <w:lang w:val="en-GB"/>
        </w:rPr>
        <w:t xml:space="preserve">. </w:t>
      </w:r>
    </w:p>
    <w:p w:rsidR="007023EB" w:rsidRDefault="007023EB" w:rsidP="00057B42">
      <w:pPr>
        <w:spacing w:line="360" w:lineRule="auto"/>
        <w:jc w:val="both"/>
        <w:rPr>
          <w:color w:val="000000"/>
          <w:lang w:val="en-GB"/>
        </w:rPr>
      </w:pPr>
    </w:p>
    <w:p w:rsidR="00D91DB2" w:rsidRPr="00873C4C" w:rsidRDefault="0074089A" w:rsidP="00057B42">
      <w:pPr>
        <w:spacing w:line="360" w:lineRule="auto"/>
        <w:jc w:val="both"/>
        <w:rPr>
          <w:color w:val="000000"/>
          <w:lang w:val="en-GB"/>
        </w:rPr>
      </w:pPr>
      <w:r w:rsidRPr="00873C4C">
        <w:rPr>
          <w:color w:val="000000"/>
          <w:lang w:val="en-GB"/>
        </w:rPr>
        <w:t>In January 2008</w:t>
      </w:r>
      <w:r w:rsidR="00BF3451" w:rsidRPr="00873C4C">
        <w:rPr>
          <w:color w:val="000000"/>
          <w:lang w:val="en-GB"/>
        </w:rPr>
        <w:t xml:space="preserve"> thalidomide was approved by the European Medicines Agency (EMEA) as part of the “MPT” regimen (melphalan, prednisone and thalidomide) and proteasome inhibitor velcade was </w:t>
      </w:r>
      <w:r w:rsidR="00D91DB2" w:rsidRPr="00873C4C">
        <w:rPr>
          <w:color w:val="000000"/>
          <w:lang w:val="en-GB"/>
        </w:rPr>
        <w:t>approved by the</w:t>
      </w:r>
      <w:r w:rsidR="00BF3451" w:rsidRPr="00873C4C">
        <w:rPr>
          <w:color w:val="000000"/>
          <w:lang w:val="en-GB"/>
        </w:rPr>
        <w:t xml:space="preserve"> Food and Drug Administration (FDA) in United States as a </w:t>
      </w:r>
      <w:r w:rsidR="00D91DB2" w:rsidRPr="00873C4C">
        <w:rPr>
          <w:color w:val="000000"/>
          <w:lang w:val="en-GB"/>
        </w:rPr>
        <w:t>combination therapy</w:t>
      </w:r>
      <w:r w:rsidR="00BF3451" w:rsidRPr="00873C4C">
        <w:rPr>
          <w:color w:val="000000"/>
          <w:lang w:val="en-GB"/>
        </w:rPr>
        <w:t xml:space="preserve"> </w:t>
      </w:r>
      <w:r w:rsidR="00B42320" w:rsidRPr="00873C4C">
        <w:rPr>
          <w:color w:val="000000"/>
          <w:lang w:val="en-GB"/>
        </w:rPr>
        <w:t>‘VMP’</w:t>
      </w:r>
      <w:r w:rsidR="00BF3451" w:rsidRPr="00873C4C">
        <w:rPr>
          <w:color w:val="000000"/>
          <w:lang w:val="en-GB"/>
        </w:rPr>
        <w:t xml:space="preserve"> regimen (velcade, melphalan and prednisolone) for </w:t>
      </w:r>
      <w:r w:rsidR="00B42320" w:rsidRPr="00873C4C">
        <w:rPr>
          <w:color w:val="000000"/>
          <w:lang w:val="en-GB"/>
        </w:rPr>
        <w:t xml:space="preserve">the </w:t>
      </w:r>
      <w:r w:rsidR="00BF3451" w:rsidRPr="00873C4C">
        <w:rPr>
          <w:color w:val="000000"/>
          <w:lang w:val="en-GB"/>
        </w:rPr>
        <w:t>frontline therapy</w:t>
      </w:r>
      <w:r w:rsidR="00BF3451" w:rsidRPr="00873C4C">
        <w:rPr>
          <w:rStyle w:val="PageNumber"/>
          <w:color w:val="000000"/>
        </w:rPr>
        <w:t xml:space="preserve"> in newly diagnosed </w:t>
      </w:r>
      <w:r w:rsidR="00B42320" w:rsidRPr="00873C4C">
        <w:rPr>
          <w:rStyle w:val="PageNumber"/>
          <w:color w:val="000000"/>
        </w:rPr>
        <w:t>myeloma patients</w:t>
      </w:r>
      <w:r w:rsidR="00413040">
        <w:rPr>
          <w:rStyle w:val="PageNumber"/>
          <w:color w:val="000000"/>
        </w:rPr>
        <w:t xml:space="preserve"> </w:t>
      </w:r>
      <w:r w:rsidR="00413040">
        <w:rPr>
          <w:rStyle w:val="PageNumber"/>
          <w:color w:val="000000"/>
        </w:rPr>
        <w:fldChar w:fldCharType="begin">
          <w:fldData xml:space="preserve">PEVuZE5vdGU+PENpdGU+PEF1dGhvcj5IYXJvdXNzZWF1PC9BdXRob3I+PFllYXI+MjAwODwvWWVh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</w:fldData>
        </w:fldChar>
      </w:r>
      <w:r w:rsidR="00413040">
        <w:rPr>
          <w:rStyle w:val="PageNumber"/>
          <w:color w:val="000000"/>
        </w:rPr>
        <w:instrText xml:space="preserve"> ADDIN EN.CITE </w:instrText>
      </w:r>
      <w:r w:rsidR="00413040">
        <w:rPr>
          <w:rStyle w:val="PageNumber"/>
          <w:color w:val="000000"/>
        </w:rPr>
        <w:fldChar w:fldCharType="begin">
          <w:fldData xml:space="preserve">PEVuZE5vdGU+PENpdGU+PEF1dGhvcj5IYXJvdXNzZWF1PC9BdXRob3I+PFllYXI+MjAwODwvWWVh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</w:fldData>
        </w:fldChar>
      </w:r>
      <w:r w:rsidR="00413040">
        <w:rPr>
          <w:rStyle w:val="PageNumber"/>
          <w:color w:val="000000"/>
        </w:rPr>
        <w:instrText xml:space="preserve"> ADDIN EN.CITE.DATA </w:instrText>
      </w:r>
      <w:r w:rsidR="00413040">
        <w:rPr>
          <w:rStyle w:val="PageNumber"/>
          <w:color w:val="000000"/>
        </w:rPr>
      </w:r>
      <w:r w:rsidR="00413040">
        <w:rPr>
          <w:rStyle w:val="PageNumber"/>
          <w:color w:val="000000"/>
        </w:rPr>
        <w:fldChar w:fldCharType="end"/>
      </w:r>
      <w:r w:rsidR="00413040">
        <w:rPr>
          <w:rStyle w:val="PageNumber"/>
          <w:color w:val="000000"/>
        </w:rPr>
      </w:r>
      <w:r w:rsidR="00413040">
        <w:rPr>
          <w:rStyle w:val="PageNumber"/>
          <w:color w:val="000000"/>
        </w:rPr>
        <w:fldChar w:fldCharType="separate"/>
      </w:r>
      <w:r w:rsidR="00413040">
        <w:rPr>
          <w:rStyle w:val="PageNumber"/>
          <w:noProof/>
          <w:color w:val="000000"/>
        </w:rPr>
        <w:t>(</w:t>
      </w:r>
      <w:hyperlink w:anchor="_ENREF_163" w:tooltip="Harousseau, 2008 #4992" w:history="1">
        <w:r w:rsidR="004A784D">
          <w:rPr>
            <w:rStyle w:val="PageNumber"/>
            <w:noProof/>
            <w:color w:val="000000"/>
          </w:rPr>
          <w:t>Harousseau, 2008</w:t>
        </w:r>
      </w:hyperlink>
      <w:r w:rsidR="00413040">
        <w:rPr>
          <w:rStyle w:val="PageNumber"/>
          <w:noProof/>
          <w:color w:val="000000"/>
        </w:rPr>
        <w:t xml:space="preserve">, </w:t>
      </w:r>
      <w:hyperlink w:anchor="_ENREF_310" w:tooltip="Palumbo, 2008 #5003" w:history="1">
        <w:r w:rsidR="004A784D">
          <w:rPr>
            <w:rStyle w:val="PageNumber"/>
            <w:noProof/>
            <w:color w:val="000000"/>
          </w:rPr>
          <w:t>Palumbo et al., 2008a</w:t>
        </w:r>
      </w:hyperlink>
      <w:r w:rsidR="00413040">
        <w:rPr>
          <w:rStyle w:val="PageNumber"/>
          <w:noProof/>
          <w:color w:val="000000"/>
        </w:rPr>
        <w:t>)</w:t>
      </w:r>
      <w:r w:rsidR="00413040">
        <w:rPr>
          <w:rStyle w:val="PageNumber"/>
          <w:color w:val="000000"/>
        </w:rPr>
        <w:fldChar w:fldCharType="end"/>
      </w:r>
      <w:r w:rsidR="00BF3451" w:rsidRPr="00873C4C">
        <w:rPr>
          <w:color w:val="000000"/>
          <w:lang w:val="en-GB"/>
        </w:rPr>
        <w:t xml:space="preserve">. </w:t>
      </w:r>
    </w:p>
    <w:p w:rsidR="00BF3451" w:rsidRPr="00873C4C" w:rsidRDefault="00BF3451" w:rsidP="00057B42">
      <w:pPr>
        <w:spacing w:line="360" w:lineRule="auto"/>
        <w:jc w:val="both"/>
        <w:rPr>
          <w:color w:val="000000"/>
          <w:lang w:val="en-GB"/>
        </w:rPr>
      </w:pPr>
      <w:r w:rsidRPr="00873C4C">
        <w:rPr>
          <w:color w:val="000000"/>
          <w:lang w:val="en-GB"/>
        </w:rPr>
        <w:t>New agents in development include: heat shock protein-90</w:t>
      </w:r>
      <w:r w:rsidR="00B42320" w:rsidRPr="00873C4C">
        <w:rPr>
          <w:color w:val="000000"/>
          <w:lang w:val="en-GB"/>
        </w:rPr>
        <w:t xml:space="preserve"> </w:t>
      </w:r>
      <w:r w:rsidRPr="00873C4C">
        <w:rPr>
          <w:color w:val="000000"/>
          <w:lang w:val="en-GB"/>
        </w:rPr>
        <w:t>inhibitors</w:t>
      </w:r>
      <w:r w:rsidR="00B42320" w:rsidRPr="00873C4C">
        <w:rPr>
          <w:color w:val="000000"/>
          <w:lang w:val="en-GB"/>
        </w:rPr>
        <w:t xml:space="preserve"> such as tanespimycin</w:t>
      </w:r>
      <w:r w:rsidR="00D91DB2" w:rsidRPr="00873C4C">
        <w:rPr>
          <w:color w:val="000000"/>
          <w:lang w:val="en-GB"/>
        </w:rPr>
        <w:t>, new</w:t>
      </w:r>
      <w:r w:rsidR="009366CA" w:rsidRPr="00873C4C">
        <w:rPr>
          <w:color w:val="000000"/>
          <w:lang w:val="en-GB"/>
        </w:rPr>
        <w:t xml:space="preserve"> second generation of proteasome inhibitor inhibitors such as carfilzomib</w:t>
      </w:r>
      <w:r w:rsidR="00D91DB2" w:rsidRPr="00873C4C">
        <w:rPr>
          <w:color w:val="000000"/>
          <w:lang w:val="en-GB"/>
        </w:rPr>
        <w:t xml:space="preserve">. All these new agents are </w:t>
      </w:r>
      <w:r w:rsidR="009366CA" w:rsidRPr="00873C4C">
        <w:rPr>
          <w:color w:val="000000"/>
          <w:lang w:val="en-GB"/>
        </w:rPr>
        <w:t xml:space="preserve">showing </w:t>
      </w:r>
      <w:r w:rsidR="00D91DB2" w:rsidRPr="00873C4C">
        <w:rPr>
          <w:color w:val="000000"/>
          <w:lang w:val="en-GB"/>
        </w:rPr>
        <w:t>promising results</w:t>
      </w:r>
      <w:r w:rsidR="009366CA" w:rsidRPr="00873C4C">
        <w:rPr>
          <w:color w:val="000000"/>
          <w:lang w:val="en-GB"/>
        </w:rPr>
        <w:t xml:space="preserve"> in early clinical trials </w:t>
      </w:r>
      <w:r w:rsidR="009366CA" w:rsidRPr="00873C4C">
        <w:rPr>
          <w:color w:val="000000"/>
        </w:rPr>
        <w:t>(Figure 1</w:t>
      </w:r>
      <w:r w:rsidR="006476F2" w:rsidRPr="00873C4C">
        <w:rPr>
          <w:color w:val="000000"/>
        </w:rPr>
        <w:t>-1</w:t>
      </w:r>
      <w:r w:rsidR="009366CA" w:rsidRPr="00873C4C">
        <w:rPr>
          <w:color w:val="000000"/>
        </w:rPr>
        <w:t>)</w:t>
      </w:r>
      <w:r w:rsidR="00D91DB2" w:rsidRPr="00873C4C">
        <w:rPr>
          <w:color w:val="000000"/>
        </w:rPr>
        <w:t>.</w:t>
      </w:r>
    </w:p>
    <w:p w:rsidR="006476F2" w:rsidRPr="00873C4C" w:rsidRDefault="00ED7D82" w:rsidP="00057B42">
      <w:pPr>
        <w:keepNext/>
        <w:spacing w:line="360" w:lineRule="auto"/>
        <w:jc w:val="both"/>
        <w:rPr>
          <w:color w:val="000000"/>
        </w:rPr>
      </w:pPr>
      <w:r>
        <w:rPr>
          <w:noProof/>
          <w:color w:val="000000"/>
          <w:lang w:eastAsia="en-IE"/>
        </w:rPr>
        <w:lastRenderedPageBreak/>
        <w:drawing>
          <wp:inline distT="0" distB="0" distL="0" distR="0" wp14:anchorId="26FEC2AD" wp14:editId="167F3620">
            <wp:extent cx="5262245" cy="36315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2245" cy="3631565"/>
                    </a:xfrm>
                    <a:prstGeom prst="rect">
                      <a:avLst/>
                    </a:prstGeom>
                    <a:noFill/>
                    <a:ln>
                      <a:noFill/>
                    </a:ln>
                  </pic:spPr>
                </pic:pic>
              </a:graphicData>
            </a:graphic>
          </wp:inline>
        </w:drawing>
      </w:r>
    </w:p>
    <w:p w:rsidR="00E26B91" w:rsidRPr="00873C4C" w:rsidRDefault="006476F2" w:rsidP="00057B42">
      <w:pPr>
        <w:pStyle w:val="Caption"/>
        <w:pBdr>
          <w:bottom w:val="single" w:sz="12" w:space="1" w:color="auto"/>
        </w:pBdr>
        <w:jc w:val="both"/>
        <w:rPr>
          <w:color w:val="000000"/>
        </w:rPr>
      </w:pPr>
      <w:bookmarkStart w:id="28" w:name="_Toc304195958"/>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1</w:t>
      </w:r>
      <w:r w:rsidR="008A68DC">
        <w:rPr>
          <w:color w:val="000000"/>
        </w:rPr>
        <w:fldChar w:fldCharType="end"/>
      </w:r>
      <w:r w:rsidRPr="00873C4C">
        <w:rPr>
          <w:color w:val="000000"/>
        </w:rPr>
        <w:t xml:space="preserve"> shows the timeline depicting the history and treatment of multiple myelo</w:t>
      </w:r>
      <w:r w:rsidR="002F333A">
        <w:rPr>
          <w:color w:val="000000"/>
        </w:rPr>
        <w:t>ma from 1844 to the present day</w:t>
      </w:r>
      <w:r w:rsidRPr="00873C4C">
        <w:rPr>
          <w:color w:val="000000"/>
        </w:rPr>
        <w:t>, Since t</w:t>
      </w:r>
      <w:r w:rsidR="004E3C6B">
        <w:rPr>
          <w:color w:val="000000"/>
        </w:rPr>
        <w:t>hen</w:t>
      </w:r>
      <w:r w:rsidRPr="00873C4C">
        <w:rPr>
          <w:color w:val="000000"/>
        </w:rPr>
        <w:t xml:space="preserve"> diagnosis of Multiple Myeloma has essentially become a routine procedure in clinical laboratory and especially in clinical chemistry.  </w:t>
      </w:r>
      <w:r w:rsidRPr="00873C4C">
        <w:rPr>
          <w:color w:val="000000"/>
        </w:rPr>
        <w:fldChar w:fldCharType="begin"/>
      </w:r>
      <w:r w:rsidR="00B71DAD">
        <w:rPr>
          <w:color w:val="000000"/>
        </w:rPr>
        <w:instrText xml:space="preserve"> ADDIN EN.CITE &lt;EndNote&gt;&lt;Cite&gt;&lt;Author&gt;Kyle&lt;/Author&gt;&lt;Year&gt;2008&lt;/Year&gt;&lt;RecNum&gt;4971&lt;/RecNum&gt;&lt;DisplayText&gt;(Kyle and Rajkumar, 2008)&lt;/DisplayText&gt;&lt;record&gt;&lt;rec-number&gt;4971&lt;/rec-number&gt;&lt;foreign-keys&gt;&lt;key app="EN" db-id="zf0awxsaczrdd3eft5qvw9wrtxxawdfrvw2a"&gt;4971&lt;/key&gt;&lt;/foreign-keys&gt;&lt;ref-type name="Journal Article"&gt;17&lt;/ref-type&gt;&lt;contributors&gt;&lt;authors&gt;&lt;author&gt;Kyle, R. A.&lt;/author&gt;&lt;author&gt;Rajkumar, S. V.&lt;/author&gt;&lt;/authors&gt;&lt;/contributors&gt;&lt;auth-address&gt;Division of Hematology, Mayo Clinic, Rochester, MN 55905, USA. kyle.robert@mayo.edu&lt;/auth-address&gt;&lt;titles&gt;&lt;title&gt;Multiple myeloma&lt;/title&gt;&lt;secondary-title&gt;Blood&lt;/secondary-title&gt;&lt;/titles&gt;&lt;periodical&gt;&lt;full-title&gt;Blood&lt;/full-title&gt;&lt;/periodical&gt;&lt;pages&gt;2962-72&lt;/pages&gt;&lt;volume&gt;111&lt;/volume&gt;&lt;number&gt;6&lt;/number&gt;&lt;edition&gt;2008/03/12&lt;/edition&gt;&lt;keywords&gt;&lt;keyword&gt;Animals&lt;/keyword&gt;&lt;keyword&gt;History, 19th Century&lt;/keyword&gt;&lt;keyword&gt;History, 20th Century&lt;/keyword&gt;&lt;keyword&gt;History, 21st Century&lt;/keyword&gt;&lt;keyword&gt;Humans&lt;/keyword&gt;&lt;keyword&gt;Multiple Myeloma/diagnosis/*history/surgery/*therapy&lt;/keyword&gt;&lt;keyword&gt;Randomized Controlled Trials as Topic&lt;/keyword&gt;&lt;keyword&gt;Risk Factors&lt;/keyword&gt;&lt;keyword&gt;Stem Cell Transplantation&lt;/keyword&gt;&lt;keyword&gt;Tumor Markers, Biological/blood&lt;/keyword&gt;&lt;/keywords&gt;&lt;dates&gt;&lt;year&gt;2008&lt;/year&gt;&lt;pub-dates&gt;&lt;date&gt;Mar 15&lt;/date&gt;&lt;/pub-dates&gt;&lt;/dates&gt;&lt;isbn&gt;0006-4971 (Print)&amp;#xD;0006-4971 (Linking)&lt;/isbn&gt;&lt;accession-num&gt;18332230&lt;/accession-num&gt;&lt;urls&gt;&lt;related-urls&gt;&lt;url&gt;http://www.ncbi.nlm.nih.gov/pubmed/18332230&lt;/url&gt;&lt;/related-urls&gt;&lt;/urls&gt;&lt;custom2&gt;2265446&lt;/custom2&gt;&lt;electronic-resource-num&gt;111/6/2962 [pii]&amp;#xD;10.1182/blood-2007-10-078022&lt;/electronic-resource-num&gt;&lt;language&gt;eng&lt;/language&gt;&lt;/record&gt;&lt;/Cite&gt;&lt;/EndNote&gt;</w:instrText>
      </w:r>
      <w:r w:rsidRPr="00873C4C">
        <w:rPr>
          <w:color w:val="000000"/>
        </w:rPr>
        <w:fldChar w:fldCharType="separate"/>
      </w:r>
      <w:r w:rsidR="006F41FE">
        <w:rPr>
          <w:noProof/>
          <w:color w:val="000000"/>
        </w:rPr>
        <w:t>(</w:t>
      </w:r>
      <w:hyperlink w:anchor="_ENREF_231" w:tooltip="Kyle, 2008 #4971" w:history="1">
        <w:r w:rsidR="004A784D">
          <w:rPr>
            <w:noProof/>
            <w:color w:val="000000"/>
          </w:rPr>
          <w:t>Kyle and Rajkumar, 2008</w:t>
        </w:r>
      </w:hyperlink>
      <w:r w:rsidR="006F41FE">
        <w:rPr>
          <w:noProof/>
          <w:color w:val="000000"/>
        </w:rPr>
        <w:t>)</w:t>
      </w:r>
      <w:r w:rsidRPr="00873C4C">
        <w:rPr>
          <w:color w:val="000000"/>
        </w:rPr>
        <w:fldChar w:fldCharType="end"/>
      </w:r>
      <w:r w:rsidR="00E26B91" w:rsidRPr="00873C4C">
        <w:rPr>
          <w:color w:val="000000"/>
        </w:rPr>
        <w:t>.</w:t>
      </w:r>
    </w:p>
    <w:bookmarkEnd w:id="28"/>
    <w:p w:rsidR="006476F2" w:rsidRPr="00873C4C" w:rsidRDefault="006476F2" w:rsidP="00057B42">
      <w:pPr>
        <w:pStyle w:val="Caption"/>
        <w:pBdr>
          <w:bottom w:val="single" w:sz="12" w:space="1" w:color="auto"/>
        </w:pBdr>
        <w:jc w:val="both"/>
        <w:rPr>
          <w:color w:val="000000"/>
        </w:rPr>
      </w:pPr>
    </w:p>
    <w:p w:rsidR="00E26B91" w:rsidRPr="00873C4C" w:rsidRDefault="00E26B91" w:rsidP="00057B42">
      <w:pPr>
        <w:spacing w:line="360" w:lineRule="auto"/>
        <w:rPr>
          <w:color w:val="000000"/>
        </w:rPr>
      </w:pPr>
    </w:p>
    <w:p w:rsidR="006476F2" w:rsidRPr="00873C4C" w:rsidRDefault="006476F2" w:rsidP="00057B42">
      <w:pPr>
        <w:pStyle w:val="Caption"/>
        <w:jc w:val="both"/>
        <w:rPr>
          <w:color w:val="000000"/>
        </w:rPr>
      </w:pPr>
    </w:p>
    <w:p w:rsidR="002C6DD9" w:rsidRDefault="002C6DD9" w:rsidP="00057B42">
      <w:pPr>
        <w:spacing w:line="360" w:lineRule="auto"/>
        <w:rPr>
          <w:b/>
          <w:color w:val="000000"/>
          <w:sz w:val="26"/>
          <w:szCs w:val="26"/>
          <w:lang w:eastAsia="en-US"/>
        </w:rPr>
      </w:pPr>
      <w:bookmarkStart w:id="29" w:name="_Toc260495776"/>
      <w:bookmarkStart w:id="30" w:name="_Toc260496027"/>
      <w:bookmarkStart w:id="31" w:name="_Toc260500420"/>
      <w:bookmarkStart w:id="32" w:name="_Toc261098446"/>
      <w:bookmarkStart w:id="33" w:name="_Toc305759090"/>
      <w:r>
        <w:br w:type="page"/>
      </w:r>
    </w:p>
    <w:p w:rsidR="004C40B9" w:rsidRPr="00873C4C" w:rsidRDefault="0092498C" w:rsidP="00645687">
      <w:pPr>
        <w:pStyle w:val="Heading3"/>
      </w:pPr>
      <w:r w:rsidRPr="00873C4C">
        <w:lastRenderedPageBreak/>
        <w:tab/>
      </w:r>
      <w:bookmarkStart w:id="34" w:name="_Toc306570528"/>
      <w:bookmarkStart w:id="35" w:name="_Toc307067593"/>
      <w:bookmarkStart w:id="36" w:name="_Toc312169152"/>
      <w:bookmarkStart w:id="37" w:name="_Toc312172079"/>
      <w:bookmarkStart w:id="38" w:name="_Toc312257628"/>
      <w:r w:rsidR="00D04DFC" w:rsidRPr="00873C4C">
        <w:t>Multiple Myeloma o</w:t>
      </w:r>
      <w:r w:rsidR="004C40B9" w:rsidRPr="00873C4C">
        <w:t>verview</w:t>
      </w:r>
      <w:bookmarkEnd w:id="29"/>
      <w:bookmarkEnd w:id="30"/>
      <w:bookmarkEnd w:id="31"/>
      <w:bookmarkEnd w:id="32"/>
      <w:bookmarkEnd w:id="33"/>
      <w:bookmarkEnd w:id="34"/>
      <w:bookmarkEnd w:id="35"/>
      <w:bookmarkEnd w:id="36"/>
      <w:bookmarkEnd w:id="37"/>
      <w:bookmarkEnd w:id="38"/>
    </w:p>
    <w:p w:rsidR="004C40B9" w:rsidRPr="00873C4C" w:rsidRDefault="00DE4E70" w:rsidP="00705CDF">
      <w:pPr>
        <w:spacing w:before="240" w:line="360" w:lineRule="auto"/>
        <w:jc w:val="both"/>
        <w:rPr>
          <w:color w:val="000000"/>
        </w:rPr>
      </w:pPr>
      <w:r w:rsidRPr="00873C4C">
        <w:rPr>
          <w:color w:val="000000"/>
        </w:rPr>
        <w:t>MM</w:t>
      </w:r>
      <w:r w:rsidR="004C40B9" w:rsidRPr="00873C4C">
        <w:rPr>
          <w:color w:val="000000"/>
        </w:rPr>
        <w:t xml:space="preserve"> is part of a spectrum of diseases that involves the neoplastic proliferation of monoclonal plasma cells.  </w:t>
      </w:r>
      <w:r w:rsidR="004C40B9" w:rsidRPr="00873C4C">
        <w:rPr>
          <w:color w:val="000000"/>
          <w:lang w:val="en-US"/>
        </w:rPr>
        <w:t>It is characterized by a clonal proliferation of immunoglobulin producing B cells</w:t>
      </w:r>
      <w:r w:rsidR="006476F2" w:rsidRPr="00873C4C">
        <w:rPr>
          <w:color w:val="000000"/>
        </w:rPr>
        <w:t xml:space="preserve"> (Figure 1-2</w:t>
      </w:r>
      <w:r w:rsidR="00906D4B" w:rsidRPr="00873C4C">
        <w:rPr>
          <w:color w:val="000000"/>
        </w:rPr>
        <w:t xml:space="preserve">) </w:t>
      </w:r>
      <w:r w:rsidR="004C40B9" w:rsidRPr="00873C4C">
        <w:rPr>
          <w:color w:val="000000"/>
        </w:rPr>
        <w:t xml:space="preserve">and induces a plethora of clinical problems.    </w:t>
      </w:r>
    </w:p>
    <w:p w:rsidR="002C6DD9" w:rsidRDefault="002C6DD9" w:rsidP="00057B42">
      <w:pPr>
        <w:spacing w:line="360" w:lineRule="auto"/>
        <w:jc w:val="both"/>
        <w:rPr>
          <w:color w:val="000000"/>
          <w:w w:val="105"/>
        </w:rPr>
      </w:pPr>
    </w:p>
    <w:p w:rsidR="00DE4E70" w:rsidRPr="00873C4C" w:rsidRDefault="004C40B9" w:rsidP="00057B42">
      <w:pPr>
        <w:spacing w:line="360" w:lineRule="auto"/>
        <w:jc w:val="both"/>
        <w:rPr>
          <w:color w:val="000000"/>
          <w:w w:val="105"/>
        </w:rPr>
      </w:pPr>
      <w:r w:rsidRPr="00873C4C">
        <w:rPr>
          <w:color w:val="000000"/>
          <w:w w:val="105"/>
        </w:rPr>
        <w:t xml:space="preserve">There is a decline in bone marrow and immune function, progressive damage to the skeleton in the form of osteolytic lesions and potentially, significant </w:t>
      </w:r>
      <w:bookmarkStart w:id="39" w:name="OLE_LINK3"/>
      <w:bookmarkStart w:id="40" w:name="OLE_LINK4"/>
      <w:r w:rsidR="00676041" w:rsidRPr="00873C4C">
        <w:rPr>
          <w:color w:val="000000"/>
          <w:w w:val="105"/>
        </w:rPr>
        <w:t>hypercalcemia</w:t>
      </w:r>
      <w:r w:rsidRPr="00873C4C">
        <w:rPr>
          <w:color w:val="000000"/>
          <w:w w:val="105"/>
        </w:rPr>
        <w:t xml:space="preserve">, </w:t>
      </w:r>
      <w:bookmarkEnd w:id="39"/>
      <w:bookmarkEnd w:id="40"/>
      <w:r w:rsidRPr="00873C4C">
        <w:rPr>
          <w:color w:val="000000"/>
          <w:w w:val="105"/>
        </w:rPr>
        <w:t>and renal impairment</w:t>
      </w:r>
      <w:r w:rsidR="00247AD2" w:rsidRPr="00873C4C">
        <w:rPr>
          <w:color w:val="000000"/>
          <w:w w:val="105"/>
        </w:rPr>
        <w:t xml:space="preserve"> </w:t>
      </w:r>
      <w:r w:rsidRPr="00873C4C">
        <w:rPr>
          <w:color w:val="000000"/>
          <w:w w:val="105"/>
        </w:rPr>
        <w:fldChar w:fldCharType="begin">
          <w:fldData xml:space="preserve">PEVuZE5vdGU+PENpdGU+PEF1dGhvcj5Gb25zZWNhPC9BdXRob3I+PFllYXI+MjAwOTwvWWVhcj48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</w:fldData>
        </w:fldChar>
      </w:r>
      <w:r w:rsidR="006F41FE">
        <w:rPr>
          <w:color w:val="000000"/>
          <w:w w:val="105"/>
        </w:rPr>
        <w:instrText xml:space="preserve"> ADDIN EN.CITE </w:instrText>
      </w:r>
      <w:r w:rsidR="006F41FE">
        <w:rPr>
          <w:color w:val="000000"/>
          <w:w w:val="105"/>
        </w:rPr>
        <w:fldChar w:fldCharType="begin">
          <w:fldData xml:space="preserve">PEVuZE5vdGU+PENpdGU+PEF1dGhvcj5Gb25zZWNhPC9BdXRob3I+PFllYXI+MjAwOTwvWWVhcj48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</w:fldData>
        </w:fldChar>
      </w:r>
      <w:r w:rsidR="006F41FE">
        <w:rPr>
          <w:color w:val="000000"/>
          <w:w w:val="105"/>
        </w:rPr>
        <w:instrText xml:space="preserve"> ADDIN EN.CITE.DATA </w:instrText>
      </w:r>
      <w:r w:rsidR="006F41FE">
        <w:rPr>
          <w:color w:val="000000"/>
          <w:w w:val="105"/>
        </w:rPr>
      </w:r>
      <w:r w:rsidR="006F41FE">
        <w:rPr>
          <w:color w:val="000000"/>
          <w:w w:val="105"/>
        </w:rPr>
        <w:fldChar w:fldCharType="end"/>
      </w:r>
      <w:r w:rsidRPr="00873C4C">
        <w:rPr>
          <w:color w:val="000000"/>
          <w:w w:val="105"/>
        </w:rPr>
      </w:r>
      <w:r w:rsidRPr="00873C4C">
        <w:rPr>
          <w:color w:val="000000"/>
          <w:w w:val="105"/>
        </w:rPr>
        <w:fldChar w:fldCharType="separate"/>
      </w:r>
      <w:r w:rsidR="006F41FE">
        <w:rPr>
          <w:noProof/>
          <w:color w:val="000000"/>
          <w:w w:val="105"/>
        </w:rPr>
        <w:t>(</w:t>
      </w:r>
      <w:hyperlink w:anchor="_ENREF_123" w:tooltip="Fonseca, 2009 #3849" w:history="1">
        <w:r w:rsidR="004A784D">
          <w:rPr>
            <w:noProof/>
            <w:color w:val="000000"/>
            <w:w w:val="105"/>
          </w:rPr>
          <w:t>Fonseca et al., 2009</w:t>
        </w:r>
      </w:hyperlink>
      <w:r w:rsidR="006F41FE">
        <w:rPr>
          <w:noProof/>
          <w:color w:val="000000"/>
          <w:w w:val="105"/>
        </w:rPr>
        <w:t>)</w:t>
      </w:r>
      <w:r w:rsidRPr="00873C4C">
        <w:rPr>
          <w:color w:val="000000"/>
          <w:w w:val="105"/>
        </w:rPr>
        <w:fldChar w:fldCharType="end"/>
      </w:r>
      <w:r w:rsidRPr="00873C4C">
        <w:rPr>
          <w:color w:val="000000"/>
          <w:w w:val="105"/>
        </w:rPr>
        <w:t xml:space="preserve">. These have an enormous </w:t>
      </w:r>
      <w:r w:rsidR="00DE4E70" w:rsidRPr="00873C4C">
        <w:rPr>
          <w:color w:val="000000"/>
          <w:w w:val="105"/>
        </w:rPr>
        <w:t xml:space="preserve">clinical </w:t>
      </w:r>
      <w:r w:rsidRPr="00873C4C">
        <w:rPr>
          <w:color w:val="000000"/>
          <w:w w:val="105"/>
        </w:rPr>
        <w:t xml:space="preserve">impact </w:t>
      </w:r>
      <w:r w:rsidR="00DE4E70" w:rsidRPr="00873C4C">
        <w:rPr>
          <w:color w:val="000000"/>
          <w:w w:val="105"/>
        </w:rPr>
        <w:t xml:space="preserve">on the patients </w:t>
      </w:r>
      <w:r w:rsidRPr="00873C4C">
        <w:rPr>
          <w:color w:val="000000"/>
          <w:w w:val="105"/>
        </w:rPr>
        <w:t>as the dis</w:t>
      </w:r>
      <w:r w:rsidR="00DE4E70" w:rsidRPr="00873C4C">
        <w:rPr>
          <w:color w:val="000000"/>
          <w:w w:val="105"/>
        </w:rPr>
        <w:t>ease progresses</w:t>
      </w:r>
      <w:r w:rsidRPr="00873C4C">
        <w:rPr>
          <w:color w:val="000000"/>
          <w:w w:val="105"/>
        </w:rPr>
        <w:t xml:space="preserve">. Early diagnosis and treatment is vital to delay the onset of complications and preserve quality of life. </w:t>
      </w:r>
    </w:p>
    <w:p w:rsidR="002C6DD9" w:rsidRDefault="002C6DD9" w:rsidP="00057B42">
      <w:pPr>
        <w:spacing w:line="360" w:lineRule="auto"/>
        <w:jc w:val="both"/>
        <w:rPr>
          <w:color w:val="000000"/>
          <w:w w:val="105"/>
        </w:rPr>
      </w:pPr>
    </w:p>
    <w:p w:rsidR="004C40B9" w:rsidRPr="00873C4C" w:rsidRDefault="00F06310" w:rsidP="00057B42">
      <w:pPr>
        <w:spacing w:line="360" w:lineRule="auto"/>
        <w:jc w:val="both"/>
        <w:rPr>
          <w:color w:val="000000"/>
          <w:w w:val="105"/>
        </w:rPr>
      </w:pPr>
      <w:r>
        <w:rPr>
          <w:rStyle w:val="summary-keypoint"/>
        </w:rPr>
        <w:t xml:space="preserve">There are several types of plasma cell neoplasms including following: </w:t>
      </w:r>
      <w:r w:rsidR="00AA2D66" w:rsidRPr="00873C4C">
        <w:rPr>
          <w:color w:val="000000"/>
          <w:w w:val="105"/>
        </w:rPr>
        <w:t xml:space="preserve">amyloidosis, solitary plasmacytoma </w:t>
      </w:r>
      <w:r w:rsidR="004C40B9" w:rsidRPr="00873C4C">
        <w:rPr>
          <w:color w:val="000000"/>
          <w:w w:val="105"/>
        </w:rPr>
        <w:t>and the aggressive plasma cell leukaemia</w:t>
      </w:r>
      <w:r w:rsidR="00DE4E70" w:rsidRPr="00873C4C">
        <w:rPr>
          <w:color w:val="000000"/>
          <w:w w:val="105"/>
        </w:rPr>
        <w:t xml:space="preserve"> as well as monoclonal gammapathy of undetermined significance (MGUS), a benign condition.</w:t>
      </w:r>
      <w:r w:rsidR="00AA2D66" w:rsidRPr="00873C4C">
        <w:rPr>
          <w:color w:val="000000"/>
          <w:w w:val="105"/>
        </w:rPr>
        <w:t xml:space="preserve"> </w:t>
      </w:r>
      <w:r w:rsidR="000C55F6" w:rsidRPr="00873C4C">
        <w:rPr>
          <w:color w:val="000000"/>
          <w:w w:val="105"/>
        </w:rPr>
        <w:t xml:space="preserve">Because of the high prevalence of MGUS (up to 3% in those over 70 years old) and the frequent use of serum protein electrophoresis as a screening test, most patients presenting with </w:t>
      </w:r>
      <w:r w:rsidR="00676041" w:rsidRPr="00873C4C">
        <w:rPr>
          <w:color w:val="000000"/>
          <w:w w:val="105"/>
        </w:rPr>
        <w:t>a</w:t>
      </w:r>
      <w:r w:rsidR="000C55F6" w:rsidRPr="00873C4C">
        <w:rPr>
          <w:color w:val="000000"/>
          <w:w w:val="105"/>
        </w:rPr>
        <w:t xml:space="preserve"> mono-clonal protein in the serum will have MGUS rather than MM. Criteria for distinguishing these conditions are discussed later </w:t>
      </w:r>
      <w:r w:rsidR="00DE4E70" w:rsidRPr="00873C4C">
        <w:rPr>
          <w:color w:val="000000"/>
          <w:w w:val="105"/>
        </w:rPr>
        <w:t>in</w:t>
      </w:r>
      <w:r w:rsidR="000C55F6" w:rsidRPr="00873C4C">
        <w:rPr>
          <w:color w:val="000000"/>
          <w:w w:val="105"/>
        </w:rPr>
        <w:t xml:space="preserve"> this chapter</w:t>
      </w:r>
      <w:r w:rsidR="00413040">
        <w:rPr>
          <w:color w:val="000000"/>
          <w:w w:val="105"/>
        </w:rPr>
        <w:t xml:space="preserve"> </w:t>
      </w:r>
      <w:r w:rsidR="00413040">
        <w:rPr>
          <w:color w:val="000000"/>
          <w:w w:val="105"/>
        </w:rPr>
        <w:fldChar w:fldCharType="begin">
          <w:fldData xml:space="preserve">PEVuZE5vdGU+PENpdGU+PEF1dGhvcj5Nb2xsZWU8L0F1dGhvcj48WWVhcj4yMDA5PC9ZZWFyPjxS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</w:fldData>
        </w:fldChar>
      </w:r>
      <w:r w:rsidR="00413040">
        <w:rPr>
          <w:color w:val="000000"/>
          <w:w w:val="105"/>
        </w:rPr>
        <w:instrText xml:space="preserve"> ADDIN EN.CITE </w:instrText>
      </w:r>
      <w:r w:rsidR="00413040">
        <w:rPr>
          <w:color w:val="000000"/>
          <w:w w:val="105"/>
        </w:rPr>
        <w:fldChar w:fldCharType="begin">
          <w:fldData xml:space="preserve">PEVuZE5vdGU+PENpdGU+PEF1dGhvcj5Nb2xsZWU8L0F1dGhvcj48WWVhcj4yMDA5PC9ZZWFyPjxS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</w:fldData>
        </w:fldChar>
      </w:r>
      <w:r w:rsidR="00413040">
        <w:rPr>
          <w:color w:val="000000"/>
          <w:w w:val="105"/>
        </w:rPr>
        <w:instrText xml:space="preserve"> ADDIN EN.CITE.DATA </w:instrText>
      </w:r>
      <w:r w:rsidR="00413040">
        <w:rPr>
          <w:color w:val="000000"/>
          <w:w w:val="105"/>
        </w:rPr>
      </w:r>
      <w:r w:rsidR="00413040">
        <w:rPr>
          <w:color w:val="000000"/>
          <w:w w:val="105"/>
        </w:rPr>
        <w:fldChar w:fldCharType="end"/>
      </w:r>
      <w:r w:rsidR="00413040">
        <w:rPr>
          <w:color w:val="000000"/>
          <w:w w:val="105"/>
        </w:rPr>
      </w:r>
      <w:r w:rsidR="00413040">
        <w:rPr>
          <w:color w:val="000000"/>
          <w:w w:val="105"/>
        </w:rPr>
        <w:fldChar w:fldCharType="separate"/>
      </w:r>
      <w:r w:rsidR="00413040">
        <w:rPr>
          <w:noProof/>
          <w:color w:val="000000"/>
          <w:w w:val="105"/>
        </w:rPr>
        <w:t>(</w:t>
      </w:r>
      <w:hyperlink w:anchor="_ENREF_278" w:tooltip="Mollee, 2009 #5020" w:history="1">
        <w:r w:rsidR="004A784D">
          <w:rPr>
            <w:noProof/>
            <w:color w:val="000000"/>
            <w:w w:val="105"/>
          </w:rPr>
          <w:t>Mollee, 2009</w:t>
        </w:r>
      </w:hyperlink>
      <w:r w:rsidR="00413040">
        <w:rPr>
          <w:noProof/>
          <w:color w:val="000000"/>
          <w:w w:val="105"/>
        </w:rPr>
        <w:t xml:space="preserve">, </w:t>
      </w:r>
      <w:hyperlink w:anchor="_ENREF_440" w:tooltip="Vogt, 2007 #5022" w:history="1">
        <w:r w:rsidR="004A784D">
          <w:rPr>
            <w:noProof/>
            <w:color w:val="000000"/>
            <w:w w:val="105"/>
          </w:rPr>
          <w:t>Vogt and Marti, 2007</w:t>
        </w:r>
      </w:hyperlink>
      <w:r w:rsidR="00413040">
        <w:rPr>
          <w:noProof/>
          <w:color w:val="000000"/>
          <w:w w:val="105"/>
        </w:rPr>
        <w:t>)</w:t>
      </w:r>
      <w:r w:rsidR="00413040">
        <w:rPr>
          <w:color w:val="000000"/>
          <w:w w:val="105"/>
        </w:rPr>
        <w:fldChar w:fldCharType="end"/>
      </w:r>
      <w:r w:rsidR="000C55F6" w:rsidRPr="00873C4C">
        <w:rPr>
          <w:color w:val="000000"/>
          <w:w w:val="105"/>
        </w:rPr>
        <w:t>.</w:t>
      </w:r>
    </w:p>
    <w:p w:rsidR="004C40B9" w:rsidRPr="00873C4C" w:rsidRDefault="004C40B9" w:rsidP="00057B42">
      <w:pPr>
        <w:spacing w:line="360" w:lineRule="auto"/>
        <w:jc w:val="both"/>
        <w:rPr>
          <w:color w:val="000000"/>
        </w:rPr>
      </w:pPr>
    </w:p>
    <w:p w:rsidR="00685D96" w:rsidRPr="00873C4C" w:rsidRDefault="00685D96" w:rsidP="00057B42">
      <w:pPr>
        <w:spacing w:line="360" w:lineRule="auto"/>
        <w:jc w:val="both"/>
        <w:rPr>
          <w:color w:val="000000"/>
        </w:rPr>
      </w:pPr>
    </w:p>
    <w:p w:rsidR="006476F2" w:rsidRPr="00873C4C" w:rsidRDefault="00ED7D82" w:rsidP="00057B42">
      <w:pPr>
        <w:pStyle w:val="Caption"/>
        <w:jc w:val="center"/>
        <w:rPr>
          <w:color w:val="000000"/>
        </w:rPr>
      </w:pPr>
      <w:r>
        <w:rPr>
          <w:noProof/>
          <w:color w:val="000000"/>
          <w:lang w:eastAsia="en-IE"/>
        </w:rPr>
        <w:lastRenderedPageBreak/>
        <w:drawing>
          <wp:inline distT="0" distB="0" distL="0" distR="0" wp14:anchorId="0998FFEF" wp14:editId="4D9F1A69">
            <wp:extent cx="5063490" cy="31832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63490" cy="3183255"/>
                    </a:xfrm>
                    <a:prstGeom prst="rect">
                      <a:avLst/>
                    </a:prstGeom>
                    <a:noFill/>
                    <a:ln>
                      <a:noFill/>
                    </a:ln>
                  </pic:spPr>
                </pic:pic>
              </a:graphicData>
            </a:graphic>
          </wp:inline>
        </w:drawing>
      </w:r>
    </w:p>
    <w:p w:rsidR="00663CA8" w:rsidRPr="00873C4C" w:rsidRDefault="00663CA8" w:rsidP="00057B42">
      <w:pPr>
        <w:spacing w:line="360" w:lineRule="auto"/>
        <w:rPr>
          <w:color w:val="000000"/>
        </w:rPr>
      </w:pPr>
    </w:p>
    <w:p w:rsidR="00E26B91" w:rsidRPr="00873C4C" w:rsidRDefault="006476F2" w:rsidP="00057B42">
      <w:pPr>
        <w:pStyle w:val="Caption"/>
        <w:jc w:val="both"/>
      </w:pPr>
      <w:bookmarkStart w:id="41" w:name="_Toc304195959"/>
      <w:r w:rsidRPr="00873C4C">
        <w:t xml:space="preserve">Figure </w:t>
      </w:r>
      <w:fldSimple w:instr=" STYLEREF 1 \s ">
        <w:r w:rsidR="0081644B">
          <w:rPr>
            <w:noProof/>
          </w:rPr>
          <w:t>1</w:t>
        </w:r>
      </w:fldSimple>
      <w:r w:rsidR="008A68DC">
        <w:noBreakHyphen/>
      </w:r>
      <w:fldSimple w:instr=" SEQ Figure \* ARABIC \s 1 ">
        <w:r w:rsidR="0081644B">
          <w:rPr>
            <w:noProof/>
          </w:rPr>
          <w:t>2</w:t>
        </w:r>
      </w:fldSimple>
      <w:r w:rsidR="00F57DA5">
        <w:t xml:space="preserve"> MM is a plasma cell disorder</w:t>
      </w:r>
      <w:r w:rsidRPr="00873C4C">
        <w:t xml:space="preserve"> characterized by neoplastic proliferation of single clone of plasma cell that usually produce an immunoglobulin.</w:t>
      </w:r>
      <w:bookmarkEnd w:id="41"/>
      <w:r w:rsidRPr="00873C4C">
        <w:t xml:space="preserve"> </w:t>
      </w:r>
    </w:p>
    <w:p w:rsidR="00DE4E70" w:rsidRPr="00873C4C" w:rsidRDefault="00DE4E70" w:rsidP="00057B42">
      <w:pPr>
        <w:pStyle w:val="Caption"/>
        <w:pBdr>
          <w:bottom w:val="single" w:sz="12" w:space="1" w:color="auto"/>
        </w:pBdr>
        <w:jc w:val="both"/>
        <w:rPr>
          <w:color w:val="000000"/>
        </w:rPr>
      </w:pPr>
    </w:p>
    <w:p w:rsidR="00705CDF" w:rsidRDefault="00705CDF" w:rsidP="00705CDF">
      <w:bookmarkStart w:id="42" w:name="_Toc260495777"/>
      <w:bookmarkStart w:id="43" w:name="_Toc260496028"/>
      <w:bookmarkStart w:id="44" w:name="_Toc260500421"/>
      <w:bookmarkStart w:id="45" w:name="_Toc261098447"/>
    </w:p>
    <w:p w:rsidR="00705CDF" w:rsidRDefault="00705CDF" w:rsidP="00705CDF"/>
    <w:p w:rsidR="00705CDF" w:rsidRPr="00705CDF" w:rsidRDefault="00705CDF" w:rsidP="00705CDF"/>
    <w:p w:rsidR="00435F8D" w:rsidRPr="00873C4C" w:rsidRDefault="00E26B91" w:rsidP="00645687">
      <w:pPr>
        <w:pStyle w:val="Heading4"/>
      </w:pPr>
      <w:r w:rsidRPr="00873C4C">
        <w:br w:type="page"/>
      </w:r>
      <w:r w:rsidR="0092498C" w:rsidRPr="00873C4C">
        <w:lastRenderedPageBreak/>
        <w:tab/>
      </w:r>
      <w:bookmarkStart w:id="46" w:name="_Toc305759091"/>
      <w:bookmarkStart w:id="47" w:name="_Toc306570529"/>
      <w:bookmarkStart w:id="48" w:name="_Toc307067594"/>
      <w:bookmarkStart w:id="49" w:name="_Toc312169153"/>
      <w:bookmarkStart w:id="50" w:name="_Toc312172080"/>
      <w:bookmarkStart w:id="51" w:name="_Toc312257629"/>
      <w:r w:rsidR="005F12CB" w:rsidRPr="00873C4C">
        <w:t>Epidemiology and incidence</w:t>
      </w:r>
      <w:bookmarkEnd w:id="42"/>
      <w:bookmarkEnd w:id="43"/>
      <w:bookmarkEnd w:id="44"/>
      <w:bookmarkEnd w:id="45"/>
      <w:bookmarkEnd w:id="46"/>
      <w:bookmarkEnd w:id="47"/>
      <w:bookmarkEnd w:id="48"/>
      <w:bookmarkEnd w:id="49"/>
      <w:bookmarkEnd w:id="50"/>
      <w:bookmarkEnd w:id="51"/>
      <w:r w:rsidR="005F12CB" w:rsidRPr="00873C4C">
        <w:t xml:space="preserve"> </w:t>
      </w:r>
    </w:p>
    <w:p w:rsidR="00D037AF" w:rsidRPr="00873C4C" w:rsidRDefault="00D91DB2" w:rsidP="00705CDF">
      <w:pPr>
        <w:pStyle w:val="Caption"/>
        <w:spacing w:before="240"/>
        <w:jc w:val="both"/>
        <w:rPr>
          <w:b w:val="0"/>
          <w:color w:val="000000"/>
          <w:szCs w:val="24"/>
        </w:rPr>
      </w:pPr>
      <w:r w:rsidRPr="00873C4C">
        <w:rPr>
          <w:b w:val="0"/>
          <w:color w:val="000000"/>
          <w:szCs w:val="24"/>
        </w:rPr>
        <w:t>Multiple myeloma</w:t>
      </w:r>
      <w:r w:rsidR="00F57DA5">
        <w:rPr>
          <w:b w:val="0"/>
          <w:color w:val="000000"/>
          <w:szCs w:val="24"/>
        </w:rPr>
        <w:t xml:space="preserve"> accounts</w:t>
      </w:r>
      <w:r w:rsidR="00E15275" w:rsidRPr="00873C4C">
        <w:rPr>
          <w:b w:val="0"/>
          <w:color w:val="000000"/>
          <w:szCs w:val="24"/>
        </w:rPr>
        <w:t xml:space="preserve"> for 1.3 percent of all cases of cancer per year in males and 1.2 per cent in females </w:t>
      </w:r>
      <w:r w:rsidRPr="00873C4C">
        <w:rPr>
          <w:b w:val="0"/>
          <w:color w:val="000000"/>
          <w:szCs w:val="24"/>
        </w:rPr>
        <w:t xml:space="preserve">and </w:t>
      </w:r>
      <w:r w:rsidR="00D037AF" w:rsidRPr="00873C4C">
        <w:rPr>
          <w:b w:val="0"/>
          <w:color w:val="000000"/>
          <w:szCs w:val="24"/>
        </w:rPr>
        <w:t xml:space="preserve">about 10-15 % of </w:t>
      </w:r>
      <w:r w:rsidR="00E15275" w:rsidRPr="00873C4C">
        <w:rPr>
          <w:b w:val="0"/>
          <w:color w:val="000000"/>
          <w:szCs w:val="24"/>
        </w:rPr>
        <w:t>all</w:t>
      </w:r>
      <w:r w:rsidRPr="00873C4C">
        <w:rPr>
          <w:b w:val="0"/>
          <w:color w:val="000000"/>
          <w:szCs w:val="24"/>
        </w:rPr>
        <w:t xml:space="preserve"> h</w:t>
      </w:r>
      <w:r w:rsidR="00D037AF" w:rsidRPr="00873C4C">
        <w:rPr>
          <w:b w:val="0"/>
          <w:color w:val="000000"/>
          <w:szCs w:val="24"/>
        </w:rPr>
        <w:t xml:space="preserve">aematological </w:t>
      </w:r>
      <w:r w:rsidR="00E15275" w:rsidRPr="00873C4C">
        <w:rPr>
          <w:b w:val="0"/>
          <w:color w:val="000000"/>
          <w:szCs w:val="24"/>
        </w:rPr>
        <w:t>malignancies</w:t>
      </w:r>
      <w:r w:rsidR="00C754D2" w:rsidRPr="00873C4C">
        <w:rPr>
          <w:b w:val="0"/>
          <w:color w:val="000000"/>
          <w:szCs w:val="24"/>
        </w:rPr>
        <w:t xml:space="preserve"> </w:t>
      </w:r>
      <w:r w:rsidRPr="00873C4C">
        <w:rPr>
          <w:b w:val="0"/>
          <w:color w:val="000000"/>
          <w:szCs w:val="24"/>
        </w:rPr>
        <w:t>in adult population</w:t>
      </w:r>
      <w:r w:rsidR="00C754D2" w:rsidRPr="00873C4C">
        <w:rPr>
          <w:b w:val="0"/>
          <w:color w:val="000000"/>
          <w:szCs w:val="24"/>
        </w:rPr>
        <w:t xml:space="preserve"> </w:t>
      </w:r>
      <w:r w:rsidR="00D037AF" w:rsidRPr="00873C4C">
        <w:rPr>
          <w:b w:val="0"/>
          <w:color w:val="000000"/>
          <w:szCs w:val="24"/>
        </w:rPr>
        <w:t xml:space="preserve">and cause of 20% death from haematological malignancies </w:t>
      </w:r>
      <w:r w:rsidR="00D037AF" w:rsidRPr="00873C4C">
        <w:rPr>
          <w:b w:val="0"/>
          <w:color w:val="000000"/>
          <w:szCs w:val="24"/>
        </w:rPr>
        <w:fldChar w:fldCharType="begin">
          <w:fldData xml:space="preserve">PEVuZE5vdGU+PENpdGU+PEF1dGhvcj5LeWxlPC9BdXRob3I+PFllYXI+MjAwNzwvWWVhcj48UmVj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</w:fldData>
        </w:fldChar>
      </w:r>
      <w:r w:rsidR="006F41FE">
        <w:rPr>
          <w:b w:val="0"/>
          <w:color w:val="000000"/>
          <w:szCs w:val="24"/>
        </w:rPr>
        <w:instrText xml:space="preserve"> ADDIN EN.CITE </w:instrText>
      </w:r>
      <w:r w:rsidR="006F41FE">
        <w:rPr>
          <w:b w:val="0"/>
          <w:color w:val="000000"/>
          <w:szCs w:val="24"/>
        </w:rPr>
        <w:fldChar w:fldCharType="begin">
          <w:fldData xml:space="preserve">PEVuZE5vdGU+PENpdGU+PEF1dGhvcj5LeWxlPC9BdXRob3I+PFllYXI+MjAwNzwvWWVhcj48UmVj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</w:fldData>
        </w:fldChar>
      </w:r>
      <w:r w:rsidR="006F41FE">
        <w:rPr>
          <w:b w:val="0"/>
          <w:color w:val="000000"/>
          <w:szCs w:val="24"/>
        </w:rPr>
        <w:instrText xml:space="preserve"> ADDIN EN.CITE.DATA </w:instrText>
      </w:r>
      <w:r w:rsidR="006F41FE">
        <w:rPr>
          <w:b w:val="0"/>
          <w:color w:val="000000"/>
          <w:szCs w:val="24"/>
        </w:rPr>
      </w:r>
      <w:r w:rsidR="006F41FE">
        <w:rPr>
          <w:b w:val="0"/>
          <w:color w:val="000000"/>
          <w:szCs w:val="24"/>
        </w:rPr>
        <w:fldChar w:fldCharType="end"/>
      </w:r>
      <w:r w:rsidR="00D037AF" w:rsidRPr="00873C4C">
        <w:rPr>
          <w:b w:val="0"/>
          <w:color w:val="000000"/>
          <w:szCs w:val="24"/>
        </w:rPr>
      </w:r>
      <w:r w:rsidR="00D037AF" w:rsidRPr="00873C4C">
        <w:rPr>
          <w:b w:val="0"/>
          <w:color w:val="000000"/>
          <w:szCs w:val="24"/>
        </w:rPr>
        <w:fldChar w:fldCharType="separate"/>
      </w:r>
      <w:r w:rsidR="006F41FE">
        <w:rPr>
          <w:b w:val="0"/>
          <w:noProof/>
          <w:color w:val="000000"/>
          <w:szCs w:val="24"/>
        </w:rPr>
        <w:t>(</w:t>
      </w:r>
      <w:hyperlink w:anchor="_ENREF_230" w:tooltip="Kyle, 2007 #21" w:history="1">
        <w:r w:rsidR="004A784D">
          <w:rPr>
            <w:b w:val="0"/>
            <w:noProof/>
            <w:color w:val="000000"/>
            <w:szCs w:val="24"/>
          </w:rPr>
          <w:t>Kyle and Rajkumar, 2007</w:t>
        </w:r>
      </w:hyperlink>
      <w:r w:rsidR="006F41FE">
        <w:rPr>
          <w:b w:val="0"/>
          <w:noProof/>
          <w:color w:val="000000"/>
          <w:szCs w:val="24"/>
        </w:rPr>
        <w:t xml:space="preserve">, </w:t>
      </w:r>
      <w:hyperlink w:anchor="_ENREF_62" w:tooltip="Caers, 2008 #7" w:history="1">
        <w:r w:rsidR="004A784D">
          <w:rPr>
            <w:b w:val="0"/>
            <w:noProof/>
            <w:color w:val="000000"/>
            <w:szCs w:val="24"/>
          </w:rPr>
          <w:t>Caers et al., 2008</w:t>
        </w:r>
      </w:hyperlink>
      <w:r w:rsidR="006F41FE">
        <w:rPr>
          <w:b w:val="0"/>
          <w:noProof/>
          <w:color w:val="000000"/>
          <w:szCs w:val="24"/>
        </w:rPr>
        <w:t>)</w:t>
      </w:r>
      <w:r w:rsidR="00D037AF" w:rsidRPr="00873C4C">
        <w:rPr>
          <w:b w:val="0"/>
          <w:color w:val="000000"/>
          <w:szCs w:val="24"/>
        </w:rPr>
        <w:fldChar w:fldCharType="end"/>
      </w:r>
      <w:r w:rsidR="00D037AF" w:rsidRPr="00873C4C">
        <w:rPr>
          <w:b w:val="0"/>
          <w:color w:val="000000"/>
          <w:szCs w:val="24"/>
        </w:rPr>
        <w:t>.</w:t>
      </w:r>
    </w:p>
    <w:p w:rsidR="00435F8D" w:rsidRPr="00873C4C" w:rsidRDefault="00435F8D" w:rsidP="00057B42">
      <w:pPr>
        <w:spacing w:line="360" w:lineRule="auto"/>
        <w:jc w:val="both"/>
        <w:rPr>
          <w:color w:val="000000"/>
        </w:rPr>
      </w:pPr>
    </w:p>
    <w:p w:rsidR="006476F2" w:rsidRPr="00873C4C" w:rsidRDefault="00ED7D82" w:rsidP="00057B42">
      <w:pPr>
        <w:keepNext/>
        <w:spacing w:line="360" w:lineRule="auto"/>
        <w:jc w:val="center"/>
        <w:rPr>
          <w:color w:val="000000"/>
        </w:rPr>
      </w:pPr>
      <w:r>
        <w:rPr>
          <w:noProof/>
          <w:color w:val="000000"/>
          <w:lang w:eastAsia="en-IE"/>
        </w:rPr>
        <w:drawing>
          <wp:inline distT="0" distB="0" distL="0" distR="0" wp14:anchorId="1D2FCAD5" wp14:editId="4D84FC22">
            <wp:extent cx="502920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l="2144" t="3922" r="4288" b="2696"/>
                    <a:stretch>
                      <a:fillRect/>
                    </a:stretch>
                  </pic:blipFill>
                  <pic:spPr bwMode="auto">
                    <a:xfrm>
                      <a:off x="0" y="0"/>
                      <a:ext cx="5029200" cy="2743200"/>
                    </a:xfrm>
                    <a:prstGeom prst="rect">
                      <a:avLst/>
                    </a:prstGeom>
                    <a:noFill/>
                    <a:ln>
                      <a:noFill/>
                    </a:ln>
                  </pic:spPr>
                </pic:pic>
              </a:graphicData>
            </a:graphic>
          </wp:inline>
        </w:drawing>
      </w:r>
    </w:p>
    <w:p w:rsidR="002A4A43" w:rsidRPr="00873C4C" w:rsidRDefault="006476F2" w:rsidP="00057B42">
      <w:pPr>
        <w:pStyle w:val="Caption"/>
        <w:pBdr>
          <w:bottom w:val="single" w:sz="12" w:space="1" w:color="auto"/>
        </w:pBdr>
        <w:jc w:val="both"/>
        <w:rPr>
          <w:color w:val="000000"/>
        </w:rPr>
      </w:pPr>
      <w:bookmarkStart w:id="52" w:name="_Toc304195960"/>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3</w:t>
      </w:r>
      <w:r w:rsidR="008A68DC">
        <w:rPr>
          <w:color w:val="000000"/>
        </w:rPr>
        <w:fldChar w:fldCharType="end"/>
      </w:r>
      <w:r w:rsidRPr="00873C4C">
        <w:rPr>
          <w:b w:val="0"/>
          <w:bCs w:val="0"/>
          <w:color w:val="000000"/>
          <w:szCs w:val="24"/>
        </w:rPr>
        <w:t xml:space="preserve"> </w:t>
      </w:r>
      <w:r w:rsidRPr="00873C4C">
        <w:rPr>
          <w:color w:val="000000"/>
        </w:rPr>
        <w:t>Multiple myeloma is responsible for 10-20</w:t>
      </w:r>
      <w:r w:rsidR="00AF4D6E" w:rsidRPr="00873C4C">
        <w:rPr>
          <w:color w:val="000000"/>
        </w:rPr>
        <w:t>% of hematologic malignancies (ada</w:t>
      </w:r>
      <w:r w:rsidRPr="00873C4C">
        <w:rPr>
          <w:color w:val="000000"/>
        </w:rPr>
        <w:t>pted from: Annals of Oncology, chapter 1, epidemiology of haematological malignancies)</w:t>
      </w:r>
      <w:r w:rsidR="002A4A43" w:rsidRPr="00873C4C">
        <w:rPr>
          <w:color w:val="000000"/>
        </w:rPr>
        <w:t>.</w:t>
      </w:r>
    </w:p>
    <w:bookmarkEnd w:id="52"/>
    <w:p w:rsidR="00C049CA" w:rsidRPr="00873C4C" w:rsidRDefault="00C049CA" w:rsidP="00057B42">
      <w:pPr>
        <w:pStyle w:val="Caption"/>
        <w:pBdr>
          <w:bottom w:val="single" w:sz="12" w:space="1" w:color="auto"/>
        </w:pBdr>
        <w:jc w:val="both"/>
        <w:rPr>
          <w:color w:val="000000"/>
        </w:rPr>
      </w:pPr>
    </w:p>
    <w:p w:rsidR="002A4A43" w:rsidRPr="00873C4C" w:rsidRDefault="002A4A43" w:rsidP="00057B42">
      <w:pPr>
        <w:spacing w:line="360" w:lineRule="auto"/>
        <w:rPr>
          <w:color w:val="000000"/>
        </w:rPr>
      </w:pPr>
    </w:p>
    <w:p w:rsidR="00435F8D" w:rsidRPr="00873C4C" w:rsidRDefault="00435F8D" w:rsidP="00057B42">
      <w:pPr>
        <w:spacing w:line="360" w:lineRule="auto"/>
        <w:jc w:val="both"/>
        <w:rPr>
          <w:color w:val="000000"/>
        </w:rPr>
      </w:pPr>
    </w:p>
    <w:p w:rsidR="00D04DFC" w:rsidRPr="00873C4C" w:rsidRDefault="0092498C" w:rsidP="00645687">
      <w:pPr>
        <w:pStyle w:val="Heading4"/>
      </w:pPr>
      <w:bookmarkStart w:id="53" w:name="_Toc305759092"/>
      <w:r w:rsidRPr="00873C4C">
        <w:tab/>
      </w:r>
      <w:bookmarkStart w:id="54" w:name="_Toc306570530"/>
      <w:bookmarkStart w:id="55" w:name="_Toc307067595"/>
      <w:bookmarkStart w:id="56" w:name="_Toc312169154"/>
      <w:bookmarkStart w:id="57" w:name="_Toc312172081"/>
      <w:bookmarkStart w:id="58" w:name="_Toc312257630"/>
      <w:r w:rsidR="00502684">
        <w:t xml:space="preserve">Annual </w:t>
      </w:r>
      <w:r w:rsidR="00D04DFC" w:rsidRPr="00873C4C">
        <w:t>incidence</w:t>
      </w:r>
      <w:bookmarkEnd w:id="53"/>
      <w:bookmarkEnd w:id="54"/>
      <w:bookmarkEnd w:id="55"/>
      <w:bookmarkEnd w:id="56"/>
      <w:bookmarkEnd w:id="57"/>
      <w:bookmarkEnd w:id="58"/>
    </w:p>
    <w:p w:rsidR="00435F8D" w:rsidRPr="00873C4C" w:rsidRDefault="00C049CA" w:rsidP="00705CDF">
      <w:pPr>
        <w:spacing w:before="240" w:line="360" w:lineRule="auto"/>
        <w:jc w:val="both"/>
        <w:rPr>
          <w:color w:val="000000"/>
        </w:rPr>
      </w:pPr>
      <w:r w:rsidRPr="00873C4C">
        <w:rPr>
          <w:color w:val="000000"/>
        </w:rPr>
        <w:t xml:space="preserve">The annual incidence </w:t>
      </w:r>
      <w:r w:rsidR="00AF4D6E" w:rsidRPr="00873C4C">
        <w:rPr>
          <w:color w:val="000000"/>
        </w:rPr>
        <w:t xml:space="preserve">of </w:t>
      </w:r>
      <w:r w:rsidR="006476F2" w:rsidRPr="00873C4C">
        <w:rPr>
          <w:color w:val="000000"/>
        </w:rPr>
        <w:t>MM</w:t>
      </w:r>
      <w:r w:rsidRPr="00873C4C">
        <w:rPr>
          <w:color w:val="000000"/>
        </w:rPr>
        <w:t xml:space="preserve"> in the E</w:t>
      </w:r>
      <w:r w:rsidR="00CB1F52">
        <w:rPr>
          <w:color w:val="000000"/>
        </w:rPr>
        <w:t>U and Scandinavian countries is</w:t>
      </w:r>
      <w:r w:rsidRPr="00873C4C">
        <w:rPr>
          <w:color w:val="000000"/>
        </w:rPr>
        <w:t xml:space="preserve"> approximately 50 per million</w:t>
      </w:r>
      <w:r w:rsidR="00F57DA5">
        <w:rPr>
          <w:color w:val="000000"/>
        </w:rPr>
        <w:t xml:space="preserve"> (</w:t>
      </w:r>
      <w:r w:rsidR="00F57DA5" w:rsidRPr="00F57DA5">
        <w:rPr>
          <w:color w:val="000000"/>
        </w:rPr>
        <w:t>www.myeloma-euronet.org</w:t>
      </w:r>
      <w:r w:rsidR="00F57DA5">
        <w:rPr>
          <w:color w:val="000000"/>
        </w:rPr>
        <w:t>)</w:t>
      </w:r>
      <w:r w:rsidRPr="00873C4C">
        <w:rPr>
          <w:color w:val="000000"/>
        </w:rPr>
        <w:t xml:space="preserve">. There were approximately 20000 new Multiple Myeloma cases in the EU in 2007, including 11000 men and 9000 </w:t>
      </w:r>
      <w:r w:rsidR="006476F2" w:rsidRPr="00873C4C">
        <w:rPr>
          <w:color w:val="000000"/>
        </w:rPr>
        <w:t xml:space="preserve">women. </w:t>
      </w:r>
      <w:r w:rsidR="007B314D" w:rsidRPr="00873C4C">
        <w:rPr>
          <w:color w:val="000000"/>
        </w:rPr>
        <w:t>In</w:t>
      </w:r>
      <w:r w:rsidR="006476F2" w:rsidRPr="00873C4C">
        <w:rPr>
          <w:color w:val="000000"/>
        </w:rPr>
        <w:t xml:space="preserve"> </w:t>
      </w:r>
      <w:r w:rsidR="00293613">
        <w:rPr>
          <w:color w:val="000000"/>
        </w:rPr>
        <w:t xml:space="preserve">the </w:t>
      </w:r>
      <w:r w:rsidRPr="00873C4C">
        <w:rPr>
          <w:color w:val="000000"/>
        </w:rPr>
        <w:t>UK and Ireland, the highest</w:t>
      </w:r>
      <w:r w:rsidR="00AB2645" w:rsidRPr="00873C4C">
        <w:rPr>
          <w:color w:val="000000"/>
        </w:rPr>
        <w:t xml:space="preserve"> </w:t>
      </w:r>
      <w:r w:rsidR="00017570" w:rsidRPr="00873C4C">
        <w:rPr>
          <w:color w:val="000000"/>
        </w:rPr>
        <w:t>incidence</w:t>
      </w:r>
      <w:r w:rsidRPr="00873C4C">
        <w:rPr>
          <w:color w:val="000000"/>
        </w:rPr>
        <w:t xml:space="preserve"> rates in males were in Northern Ireland and Ireland</w:t>
      </w:r>
      <w:r w:rsidR="00F54B8A" w:rsidRPr="00873C4C">
        <w:rPr>
          <w:color w:val="000000"/>
        </w:rPr>
        <w:t xml:space="preserve"> </w:t>
      </w:r>
      <w:r w:rsidRPr="00873C4C">
        <w:rPr>
          <w:color w:val="000000"/>
        </w:rPr>
        <w:t>where the rates were 15-20 per cent higher than</w:t>
      </w:r>
      <w:r w:rsidR="00263479" w:rsidRPr="00873C4C">
        <w:rPr>
          <w:color w:val="000000"/>
        </w:rPr>
        <w:t xml:space="preserve"> </w:t>
      </w:r>
      <w:r w:rsidRPr="00873C4C">
        <w:rPr>
          <w:color w:val="000000"/>
        </w:rPr>
        <w:t>the average for males</w:t>
      </w:r>
      <w:r w:rsidR="00AB2645" w:rsidRPr="00873C4C">
        <w:rPr>
          <w:color w:val="000000"/>
        </w:rPr>
        <w:t xml:space="preserve">. </w:t>
      </w:r>
      <w:r w:rsidR="00AA22DC" w:rsidRPr="00873C4C">
        <w:rPr>
          <w:color w:val="000000"/>
        </w:rPr>
        <w:t xml:space="preserve">The overall annual incidence of newly diagnosed multiple myeloma </w:t>
      </w:r>
      <w:r w:rsidR="007B314D" w:rsidRPr="00873C4C">
        <w:rPr>
          <w:color w:val="000000"/>
        </w:rPr>
        <w:t xml:space="preserve">in the UK and Ireland, </w:t>
      </w:r>
      <w:r w:rsidR="00AA22DC" w:rsidRPr="00873C4C">
        <w:rPr>
          <w:color w:val="000000"/>
        </w:rPr>
        <w:t>in male patients is 1,800 cases and 1,700 cases in females.</w:t>
      </w:r>
      <w:r w:rsidR="00293613">
        <w:rPr>
          <w:color w:val="000000"/>
        </w:rPr>
        <w:t xml:space="preserve"> In 2008 MM</w:t>
      </w:r>
      <w:r w:rsidR="00AA22DC" w:rsidRPr="00873C4C">
        <w:rPr>
          <w:color w:val="000000"/>
        </w:rPr>
        <w:t xml:space="preserve"> </w:t>
      </w:r>
      <w:r w:rsidR="00AA22DC" w:rsidRPr="00873C4C">
        <w:rPr>
          <w:color w:val="000000"/>
        </w:rPr>
        <w:lastRenderedPageBreak/>
        <w:t>accounted for 1.3 per cent of all cases of cancer per year in males and 1.2 per cent in females. Overall, the age-standardised incidence rates were 5.5 and 3.7 per 100,000 in m</w:t>
      </w:r>
      <w:r w:rsidR="007B314D" w:rsidRPr="00873C4C">
        <w:rPr>
          <w:color w:val="000000"/>
        </w:rPr>
        <w:t xml:space="preserve">ales and females, respectively </w:t>
      </w:r>
      <w:r w:rsidR="009D0518" w:rsidRPr="00873C4C">
        <w:rPr>
          <w:color w:val="000000"/>
        </w:rPr>
        <w:t>and male</w:t>
      </w:r>
      <w:r w:rsidR="00AB2645" w:rsidRPr="00873C4C">
        <w:rPr>
          <w:color w:val="000000"/>
        </w:rPr>
        <w:t>-to-female ratio of 1.5 to</w:t>
      </w:r>
      <w:r w:rsidR="009D0518">
        <w:rPr>
          <w:color w:val="000000"/>
        </w:rPr>
        <w:t xml:space="preserve"> </w:t>
      </w:r>
      <w:r w:rsidR="00AA22DC" w:rsidRPr="00873C4C">
        <w:rPr>
          <w:color w:val="000000"/>
        </w:rPr>
        <w:t>1</w:t>
      </w:r>
      <w:r w:rsidR="00AB2645" w:rsidRPr="00873C4C">
        <w:rPr>
          <w:color w:val="000000"/>
        </w:rPr>
        <w:t xml:space="preserve"> </w:t>
      </w:r>
      <w:r w:rsidR="006476F2" w:rsidRPr="00873C4C">
        <w:rPr>
          <w:color w:val="000000"/>
        </w:rPr>
        <w:t>(Figure 1-4</w:t>
      </w:r>
      <w:r w:rsidR="00F54B8A" w:rsidRPr="00873C4C">
        <w:rPr>
          <w:color w:val="000000"/>
        </w:rPr>
        <w:t>).</w:t>
      </w:r>
    </w:p>
    <w:p w:rsidR="007B314D" w:rsidRPr="00873C4C" w:rsidRDefault="00ED7D82" w:rsidP="00057B42">
      <w:pPr>
        <w:keepNext/>
        <w:spacing w:line="360" w:lineRule="auto"/>
        <w:jc w:val="center"/>
        <w:rPr>
          <w:color w:val="000000"/>
        </w:rPr>
      </w:pPr>
      <w:r>
        <w:rPr>
          <w:noProof/>
          <w:color w:val="000000"/>
          <w:lang w:eastAsia="en-IE"/>
        </w:rPr>
        <mc:AlternateContent>
          <mc:Choice Requires="wps">
            <w:drawing>
              <wp:anchor distT="0" distB="0" distL="114300" distR="114300" simplePos="0" relativeHeight="251653632" behindDoc="0" locked="0" layoutInCell="1" allowOverlap="1" wp14:anchorId="2330E355" wp14:editId="258E0973">
                <wp:simplePos x="0" y="0"/>
                <wp:positionH relativeFrom="column">
                  <wp:posOffset>4572000</wp:posOffset>
                </wp:positionH>
                <wp:positionV relativeFrom="paragraph">
                  <wp:posOffset>967740</wp:posOffset>
                </wp:positionV>
                <wp:extent cx="342265" cy="1143000"/>
                <wp:effectExtent l="0" t="0" r="635" b="3810"/>
                <wp:wrapNone/>
                <wp:docPr id="12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B395A" w:rsidRPr="00C049CA" w:rsidRDefault="004B395A" w:rsidP="00C049CA">
                            <w:r w:rsidRPr="00C049CA">
                              <w:rPr>
                                <w:rFonts w:ascii="Frutiger-BlackCn" w:hAnsi="Frutiger-BlackCn" w:cs="Frutiger-BlackCn"/>
                                <w:b/>
                                <w:bCs/>
                                <w:sz w:val="14"/>
                                <w:szCs w:val="14"/>
                                <w:lang w:val="en-GB"/>
                              </w:rPr>
                              <w:t xml:space="preserve">Rate </w:t>
                            </w:r>
                            <w:r>
                              <w:rPr>
                                <w:rFonts w:ascii="Frutiger-BlackCn" w:hAnsi="Frutiger-BlackCn" w:cs="Frutiger-BlackCn"/>
                                <w:b/>
                                <w:bCs/>
                                <w:sz w:val="14"/>
                                <w:szCs w:val="14"/>
                                <w:lang w:val="en-GB"/>
                              </w:rPr>
                              <w:t>per 100,000</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26" type="#_x0000_t202" style="position:absolute;left:0;text-align:left;margin-left:5in;margin-top:76.2pt;width:26.95pt;height:9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" stroked="f">
                <v:textbox style="layout-flow:vertical-ideographic">
                  <w:txbxContent>
                    <w:p w:rsidR="004B395A" w:rsidRPr="00C049CA" w:rsidRDefault="004B395A" w:rsidP="00C049CA">
                      <w:r w:rsidRPr="00C049CA">
                        <w:rPr>
                          <w:rFonts w:ascii="Frutiger-BlackCn" w:hAnsi="Frutiger-BlackCn" w:cs="Frutiger-BlackCn"/>
                          <w:b/>
                          <w:bCs/>
                          <w:sz w:val="14"/>
                          <w:szCs w:val="14"/>
                          <w:lang w:val="en-GB"/>
                        </w:rPr>
                        <w:t xml:space="preserve">Rate </w:t>
                      </w:r>
                      <w:r>
                        <w:rPr>
                          <w:rFonts w:ascii="Frutiger-BlackCn" w:hAnsi="Frutiger-BlackCn" w:cs="Frutiger-BlackCn"/>
                          <w:b/>
                          <w:bCs/>
                          <w:sz w:val="14"/>
                          <w:szCs w:val="14"/>
                          <w:lang w:val="en-GB"/>
                        </w:rPr>
                        <w:t>per 100,000</w:t>
                      </w:r>
                    </w:p>
                  </w:txbxContent>
                </v:textbox>
              </v:shape>
            </w:pict>
          </mc:Fallback>
        </mc:AlternateContent>
      </w:r>
      <w:r>
        <w:rPr>
          <w:noProof/>
          <w:color w:val="000000"/>
          <w:lang w:eastAsia="en-IE"/>
        </w:rPr>
        <w:drawing>
          <wp:inline distT="0" distB="0" distL="0" distR="0" wp14:anchorId="550D44E3" wp14:editId="79189692">
            <wp:extent cx="5082362" cy="303707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r="182"/>
                    <a:stretch>
                      <a:fillRect/>
                    </a:stretch>
                  </pic:blipFill>
                  <pic:spPr bwMode="auto">
                    <a:xfrm>
                      <a:off x="0" y="0"/>
                      <a:ext cx="5081521" cy="3036570"/>
                    </a:xfrm>
                    <a:prstGeom prst="rect">
                      <a:avLst/>
                    </a:prstGeom>
                    <a:noFill/>
                    <a:ln>
                      <a:noFill/>
                    </a:ln>
                  </pic:spPr>
                </pic:pic>
              </a:graphicData>
            </a:graphic>
          </wp:inline>
        </w:drawing>
      </w:r>
    </w:p>
    <w:p w:rsidR="002A4A43" w:rsidRPr="00873C4C" w:rsidRDefault="007B314D" w:rsidP="00057B42">
      <w:pPr>
        <w:pStyle w:val="Caption"/>
        <w:pBdr>
          <w:bottom w:val="single" w:sz="12" w:space="1" w:color="auto"/>
        </w:pBdr>
        <w:jc w:val="both"/>
        <w:rPr>
          <w:color w:val="000000"/>
        </w:rPr>
      </w:pPr>
      <w:bookmarkStart w:id="59" w:name="_Toc304195961"/>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4</w:t>
      </w:r>
      <w:r w:rsidR="008A68DC">
        <w:rPr>
          <w:color w:val="000000"/>
        </w:rPr>
        <w:fldChar w:fldCharType="end"/>
      </w:r>
      <w:bookmarkStart w:id="60" w:name="_Toc260495730"/>
      <w:bookmarkStart w:id="61" w:name="_Toc260927155"/>
      <w:r w:rsidRPr="00873C4C">
        <w:rPr>
          <w:color w:val="000000"/>
          <w:lang w:val="en-GB"/>
        </w:rPr>
        <w:t xml:space="preserve"> </w:t>
      </w:r>
      <w:r w:rsidR="00C55C6B">
        <w:rPr>
          <w:color w:val="000000"/>
          <w:lang w:val="en-GB"/>
        </w:rPr>
        <w:t xml:space="preserve"> </w:t>
      </w:r>
      <w:r w:rsidRPr="00873C4C">
        <w:rPr>
          <w:color w:val="000000"/>
          <w:lang w:val="en-GB"/>
        </w:rPr>
        <w:t>M</w:t>
      </w:r>
      <w:r w:rsidR="003D04C6">
        <w:rPr>
          <w:color w:val="000000"/>
          <w:lang w:val="en-GB"/>
        </w:rPr>
        <w:t xml:space="preserve">ultiple </w:t>
      </w:r>
      <w:r w:rsidRPr="00873C4C">
        <w:rPr>
          <w:color w:val="000000"/>
          <w:lang w:val="en-GB"/>
        </w:rPr>
        <w:t>M</w:t>
      </w:r>
      <w:r w:rsidR="003D04C6">
        <w:rPr>
          <w:color w:val="000000"/>
          <w:lang w:val="en-GB"/>
        </w:rPr>
        <w:t>yeloma</w:t>
      </w:r>
      <w:r w:rsidRPr="00873C4C">
        <w:rPr>
          <w:color w:val="000000"/>
          <w:lang w:val="en-GB"/>
        </w:rPr>
        <w:t xml:space="preserve">: incidence by sex, country, and region. Highest incidence rates were noted in males leaving in Northern Ireland and Republic of Ireland </w:t>
      </w:r>
      <w:r w:rsidRPr="00873C4C">
        <w:rPr>
          <w:color w:val="000000"/>
        </w:rPr>
        <w:t>(Adopted from website of cancer research UK, chapter: cancer statistics).</w:t>
      </w:r>
      <w:bookmarkEnd w:id="59"/>
      <w:bookmarkEnd w:id="60"/>
      <w:bookmarkEnd w:id="61"/>
    </w:p>
    <w:p w:rsidR="002A4A43" w:rsidRPr="00873C4C" w:rsidRDefault="002A4A43" w:rsidP="00057B42">
      <w:pPr>
        <w:pStyle w:val="Caption"/>
        <w:pBdr>
          <w:bottom w:val="single" w:sz="12" w:space="1" w:color="auto"/>
        </w:pBdr>
        <w:jc w:val="both"/>
        <w:rPr>
          <w:color w:val="000000"/>
        </w:rPr>
      </w:pPr>
    </w:p>
    <w:p w:rsidR="007B314D" w:rsidRPr="00873C4C" w:rsidRDefault="007B314D" w:rsidP="00057B42">
      <w:pPr>
        <w:pStyle w:val="Caption"/>
        <w:jc w:val="both"/>
        <w:rPr>
          <w:color w:val="000000"/>
          <w:lang w:val="en-GB"/>
        </w:rPr>
      </w:pPr>
      <w:r w:rsidRPr="00873C4C">
        <w:rPr>
          <w:color w:val="000000"/>
          <w:lang w:val="en-GB"/>
        </w:rPr>
        <w:t xml:space="preserve"> </w:t>
      </w:r>
    </w:p>
    <w:p w:rsidR="00D04DFC" w:rsidRPr="00873C4C" w:rsidRDefault="00A21DA3" w:rsidP="00645687">
      <w:pPr>
        <w:pStyle w:val="Heading4"/>
      </w:pPr>
      <w:bookmarkStart w:id="62" w:name="_Toc305759093"/>
      <w:r w:rsidRPr="00873C4C">
        <w:tab/>
      </w:r>
      <w:bookmarkStart w:id="63" w:name="_Toc306570531"/>
      <w:bookmarkStart w:id="64" w:name="_Toc307067596"/>
      <w:bookmarkStart w:id="65" w:name="_Toc312169155"/>
      <w:bookmarkStart w:id="66" w:name="_Toc312172082"/>
      <w:bookmarkStart w:id="67" w:name="_Toc312257631"/>
      <w:r w:rsidR="00D04DFC" w:rsidRPr="00873C4C">
        <w:t>Age Distribution</w:t>
      </w:r>
      <w:bookmarkEnd w:id="62"/>
      <w:bookmarkEnd w:id="63"/>
      <w:bookmarkEnd w:id="64"/>
      <w:bookmarkEnd w:id="65"/>
      <w:bookmarkEnd w:id="66"/>
      <w:bookmarkEnd w:id="67"/>
      <w:r w:rsidR="007B314D" w:rsidRPr="00873C4C">
        <w:t xml:space="preserve"> </w:t>
      </w:r>
    </w:p>
    <w:p w:rsidR="000D5F8E" w:rsidRPr="00873C4C" w:rsidRDefault="000D5F8E" w:rsidP="00705CDF">
      <w:pPr>
        <w:spacing w:before="240" w:line="360" w:lineRule="auto"/>
        <w:jc w:val="both"/>
        <w:rPr>
          <w:color w:val="000000"/>
        </w:rPr>
      </w:pPr>
      <w:r w:rsidRPr="00873C4C">
        <w:rPr>
          <w:color w:val="000000"/>
        </w:rPr>
        <w:t xml:space="preserve">The mean </w:t>
      </w:r>
      <w:r w:rsidR="007B314D" w:rsidRPr="00873C4C">
        <w:rPr>
          <w:color w:val="000000"/>
        </w:rPr>
        <w:t>age of affected individuals was</w:t>
      </w:r>
      <w:r w:rsidRPr="00873C4C">
        <w:rPr>
          <w:color w:val="000000"/>
        </w:rPr>
        <w:t xml:space="preserve"> 62 years for men (75% older than 70 years) and 61 years for women (79% older than 70 years)</w:t>
      </w:r>
      <w:r w:rsidR="007B314D" w:rsidRPr="00873C4C">
        <w:rPr>
          <w:color w:val="000000"/>
        </w:rPr>
        <w:t>.</w:t>
      </w:r>
      <w:r w:rsidRPr="00873C4C">
        <w:rPr>
          <w:color w:val="000000"/>
        </w:rPr>
        <w:t xml:space="preserve"> Approx</w:t>
      </w:r>
      <w:r w:rsidR="007B314D" w:rsidRPr="00873C4C">
        <w:rPr>
          <w:color w:val="000000"/>
        </w:rPr>
        <w:t>imately 15% of patients are age</w:t>
      </w:r>
      <w:r w:rsidRPr="00873C4C">
        <w:rPr>
          <w:color w:val="000000"/>
        </w:rPr>
        <w:t xml:space="preserve"> &lt;60 </w:t>
      </w:r>
      <w:r w:rsidR="007B314D" w:rsidRPr="00873C4C">
        <w:rPr>
          <w:color w:val="000000"/>
        </w:rPr>
        <w:t>years and a further 15% are age</w:t>
      </w:r>
      <w:r w:rsidRPr="00873C4C">
        <w:rPr>
          <w:color w:val="000000"/>
        </w:rPr>
        <w:t xml:space="preserve"> between 60 and 65 years. </w:t>
      </w:r>
      <w:r w:rsidR="00676041" w:rsidRPr="00873C4C">
        <w:rPr>
          <w:color w:val="000000"/>
        </w:rPr>
        <w:t xml:space="preserve">Fewer than 2% of myeloma patients are under 40 years old at diagnosis (Figure </w:t>
      </w:r>
      <w:r w:rsidR="007B314D" w:rsidRPr="00873C4C">
        <w:rPr>
          <w:color w:val="000000"/>
        </w:rPr>
        <w:t xml:space="preserve">1-5). </w:t>
      </w:r>
      <w:r w:rsidR="00014A31">
        <w:rPr>
          <w:color w:val="000000"/>
        </w:rPr>
        <w:t xml:space="preserve">This also </w:t>
      </w:r>
      <w:r w:rsidR="00676041" w:rsidRPr="00873C4C">
        <w:rPr>
          <w:color w:val="000000"/>
        </w:rPr>
        <w:t xml:space="preserve">has implications for the </w:t>
      </w:r>
      <w:r w:rsidR="00014A31">
        <w:rPr>
          <w:color w:val="000000"/>
        </w:rPr>
        <w:t xml:space="preserve">ageing </w:t>
      </w:r>
      <w:r w:rsidR="00676041" w:rsidRPr="00873C4C">
        <w:rPr>
          <w:color w:val="000000"/>
        </w:rPr>
        <w:t xml:space="preserve">population eligible for specific types of treatment, such as high-dose therapy (HDT) and stem cell transplantation. </w:t>
      </w:r>
      <w:r w:rsidR="00014A31">
        <w:rPr>
          <w:color w:val="000000"/>
        </w:rPr>
        <w:t>In 2008, a</w:t>
      </w:r>
      <w:r w:rsidRPr="00873C4C">
        <w:rPr>
          <w:color w:val="000000"/>
        </w:rPr>
        <w:t>pproximately 3500 patients in UK</w:t>
      </w:r>
      <w:r w:rsidR="00014A31">
        <w:rPr>
          <w:color w:val="000000"/>
        </w:rPr>
        <w:t xml:space="preserve"> and Ireland</w:t>
      </w:r>
      <w:r w:rsidRPr="00873C4C">
        <w:rPr>
          <w:color w:val="000000"/>
        </w:rPr>
        <w:t xml:space="preserve"> died of </w:t>
      </w:r>
      <w:r w:rsidR="007B314D" w:rsidRPr="00873C4C">
        <w:rPr>
          <w:color w:val="000000"/>
        </w:rPr>
        <w:t>MM</w:t>
      </w:r>
      <w:r w:rsidR="006F4903">
        <w:rPr>
          <w:color w:val="000000"/>
        </w:rPr>
        <w:t xml:space="preserve"> related complications (Table 1-</w:t>
      </w:r>
      <w:r w:rsidRPr="00873C4C">
        <w:rPr>
          <w:color w:val="000000"/>
        </w:rPr>
        <w:t xml:space="preserve">1). </w:t>
      </w:r>
    </w:p>
    <w:p w:rsidR="00053E8D" w:rsidRPr="00873C4C" w:rsidRDefault="000D5F8E" w:rsidP="00057B42">
      <w:pPr>
        <w:spacing w:line="360" w:lineRule="auto"/>
        <w:jc w:val="both"/>
        <w:rPr>
          <w:color w:val="000000"/>
        </w:rPr>
      </w:pPr>
      <w:r w:rsidRPr="00873C4C">
        <w:rPr>
          <w:color w:val="000000"/>
        </w:rPr>
        <w:t xml:space="preserve">Multiple Myeloma has a higher incidence in Afro-Caribbean ethnic groups compared with Caucasians; little else is known specifically about its epidemiology.  </w:t>
      </w:r>
      <w:r w:rsidRPr="00873C4C">
        <w:rPr>
          <w:color w:val="000000"/>
        </w:rPr>
        <w:lastRenderedPageBreak/>
        <w:t>Most cases present de novo; a minority evolve from Monoclonal Gammapathy of Undetermined Significance (MGUS).</w:t>
      </w:r>
    </w:p>
    <w:p w:rsidR="007B314D" w:rsidRPr="00873C4C" w:rsidRDefault="00ED7D82" w:rsidP="00057B42">
      <w:pPr>
        <w:keepNext/>
        <w:spacing w:line="360" w:lineRule="auto"/>
        <w:jc w:val="center"/>
        <w:rPr>
          <w:color w:val="000000"/>
        </w:rPr>
      </w:pPr>
      <w:r>
        <w:rPr>
          <w:noProof/>
          <w:color w:val="000000"/>
          <w:lang w:eastAsia="en-IE"/>
        </w:rPr>
        <w:drawing>
          <wp:inline distT="0" distB="0" distL="0" distR="0" wp14:anchorId="0ED648CA" wp14:editId="4DB324F8">
            <wp:extent cx="5135525" cy="2881423"/>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l="2170" t="9525" r="4521"/>
                    <a:stretch>
                      <a:fillRect/>
                    </a:stretch>
                  </pic:blipFill>
                  <pic:spPr bwMode="auto">
                    <a:xfrm>
                      <a:off x="0" y="0"/>
                      <a:ext cx="5150607" cy="2889885"/>
                    </a:xfrm>
                    <a:prstGeom prst="rect">
                      <a:avLst/>
                    </a:prstGeom>
                    <a:noFill/>
                    <a:ln>
                      <a:noFill/>
                    </a:ln>
                  </pic:spPr>
                </pic:pic>
              </a:graphicData>
            </a:graphic>
          </wp:inline>
        </w:drawing>
      </w:r>
    </w:p>
    <w:p w:rsidR="003D04C6" w:rsidRDefault="007B314D" w:rsidP="00057B42">
      <w:pPr>
        <w:pStyle w:val="Caption"/>
        <w:pBdr>
          <w:bottom w:val="single" w:sz="12" w:space="1" w:color="auto"/>
        </w:pBdr>
        <w:jc w:val="both"/>
        <w:rPr>
          <w:color w:val="000000"/>
        </w:rPr>
      </w:pPr>
      <w:bookmarkStart w:id="68" w:name="_Toc304195962"/>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5</w:t>
      </w:r>
      <w:r w:rsidR="008A68DC">
        <w:rPr>
          <w:color w:val="000000"/>
        </w:rPr>
        <w:fldChar w:fldCharType="end"/>
      </w:r>
      <w:r w:rsidRPr="00873C4C">
        <w:rPr>
          <w:b w:val="0"/>
          <w:bCs w:val="0"/>
          <w:color w:val="000000"/>
          <w:szCs w:val="24"/>
        </w:rPr>
        <w:t xml:space="preserve"> </w:t>
      </w:r>
      <w:r w:rsidR="003D04C6">
        <w:rPr>
          <w:color w:val="000000"/>
        </w:rPr>
        <w:t xml:space="preserve"> Multiple M</w:t>
      </w:r>
      <w:r w:rsidR="00516E5E">
        <w:rPr>
          <w:color w:val="000000"/>
        </w:rPr>
        <w:t>yeloma: n</w:t>
      </w:r>
      <w:r w:rsidRPr="00873C4C">
        <w:rPr>
          <w:color w:val="000000"/>
        </w:rPr>
        <w:t xml:space="preserve">umbers of new cases and incidence rates, by patients age and sex. Overall, 75% of patients were older than 70 years and less </w:t>
      </w:r>
      <w:r w:rsidR="00516E5E" w:rsidRPr="00873C4C">
        <w:rPr>
          <w:color w:val="000000"/>
        </w:rPr>
        <w:t>than</w:t>
      </w:r>
      <w:r w:rsidRPr="00873C4C">
        <w:rPr>
          <w:color w:val="000000"/>
        </w:rPr>
        <w:t xml:space="preserve"> 2% of patients were under 40 years old (Adopted from website of cancer research UK, chapter: cancer statistics).</w:t>
      </w:r>
      <w:bookmarkEnd w:id="68"/>
    </w:p>
    <w:p w:rsidR="00267DBF" w:rsidRPr="00267DBF" w:rsidRDefault="00267DBF" w:rsidP="00267DBF"/>
    <w:p w:rsidR="00CB0A86" w:rsidRPr="00873C4C" w:rsidRDefault="0092498C" w:rsidP="00645687">
      <w:pPr>
        <w:pStyle w:val="Heading4"/>
      </w:pPr>
      <w:bookmarkStart w:id="69" w:name="_Toc260496029"/>
      <w:bookmarkStart w:id="70" w:name="_Toc260500422"/>
      <w:bookmarkStart w:id="71" w:name="_Toc261098448"/>
      <w:bookmarkStart w:id="72" w:name="_Toc305759094"/>
      <w:bookmarkStart w:id="73" w:name="_Toc260495778"/>
      <w:r w:rsidRPr="00873C4C">
        <w:tab/>
      </w:r>
      <w:bookmarkStart w:id="74" w:name="_Toc306570532"/>
      <w:bookmarkStart w:id="75" w:name="_Toc307067597"/>
      <w:bookmarkStart w:id="76" w:name="_Toc312169156"/>
      <w:bookmarkStart w:id="77" w:name="_Toc312172083"/>
      <w:bookmarkStart w:id="78" w:name="_Toc312257632"/>
      <w:r w:rsidR="001A162E" w:rsidRPr="00873C4C">
        <w:t>Clinical presentation</w:t>
      </w:r>
      <w:bookmarkEnd w:id="69"/>
      <w:bookmarkEnd w:id="70"/>
      <w:bookmarkEnd w:id="71"/>
      <w:bookmarkEnd w:id="72"/>
      <w:bookmarkEnd w:id="74"/>
      <w:bookmarkEnd w:id="75"/>
      <w:bookmarkEnd w:id="76"/>
      <w:bookmarkEnd w:id="77"/>
      <w:bookmarkEnd w:id="78"/>
      <w:r w:rsidR="007C0AB2" w:rsidRPr="00873C4C">
        <w:t xml:space="preserve"> </w:t>
      </w:r>
      <w:bookmarkStart w:id="79" w:name="_Toc260495779"/>
      <w:bookmarkEnd w:id="73"/>
    </w:p>
    <w:p w:rsidR="00EE7FBE" w:rsidRPr="00873C4C" w:rsidRDefault="00EE7FBE" w:rsidP="00057B42">
      <w:pPr>
        <w:spacing w:line="360" w:lineRule="auto"/>
        <w:rPr>
          <w:color w:val="000000"/>
        </w:rPr>
      </w:pPr>
    </w:p>
    <w:p w:rsidR="00C27CB8" w:rsidRDefault="00C27CB8" w:rsidP="00057B42">
      <w:pPr>
        <w:spacing w:line="360" w:lineRule="auto"/>
        <w:jc w:val="both"/>
        <w:rPr>
          <w:color w:val="000000"/>
        </w:rPr>
      </w:pPr>
      <w:bookmarkStart w:id="80" w:name="_Toc260496030"/>
      <w:bookmarkStart w:id="81" w:name="_Toc260500423"/>
      <w:bookmarkStart w:id="82" w:name="_Toc261098449"/>
      <w:bookmarkEnd w:id="79"/>
      <w:r w:rsidRPr="00873C4C">
        <w:rPr>
          <w:color w:val="000000"/>
        </w:rPr>
        <w:t xml:space="preserve">Patients may present with the bony pain, pathological bone fractures, generalized weakness, anaemia, infections (such as pneumococcal), hypercalcemia, spinal cord compression and renal failure. Increasingly, physicians are identifying asymptomatic patients through routine blood screening. Typically, a large gap between the total protein and the albumin levels observed on an automated serum chemistry panel suggests presence of an abnormal protein. Symptomatic patients with suspected MM require urgent specialist referral </w:t>
      </w:r>
      <w:r w:rsidRPr="00873C4C">
        <w:rPr>
          <w:color w:val="000000"/>
        </w:rPr>
        <w:fldChar w:fldCharType="begin">
          <w:fldData xml:space="preserve">PEVuZE5vdGU+PENpdGU+PEF1dGhvcj5LdW1hcjwvQXV0aG9yPjxZZWFyPjIwMDk8L1llYXI+PFJl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</w:fldData>
        </w:fldChar>
      </w:r>
      <w:r w:rsidR="00857D49">
        <w:rPr>
          <w:color w:val="000000"/>
        </w:rPr>
        <w:instrText xml:space="preserve"> ADDIN EN.CITE </w:instrText>
      </w:r>
      <w:r w:rsidR="00857D49">
        <w:rPr>
          <w:color w:val="000000"/>
        </w:rPr>
        <w:fldChar w:fldCharType="begin">
          <w:fldData xml:space="preserve">PEVuZE5vdGU+PENpdGU+PEF1dGhvcj5LdW1hcjwvQXV0aG9yPjxZZWFyPjIwMDk8L1llYXI+PFJl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</w:fldData>
        </w:fldChar>
      </w:r>
      <w:r w:rsidR="00857D49">
        <w:rPr>
          <w:color w:val="000000"/>
        </w:rPr>
        <w:instrText xml:space="preserve"> ADDIN EN.CITE.DATA </w:instrText>
      </w:r>
      <w:r w:rsidR="00857D49">
        <w:rPr>
          <w:color w:val="000000"/>
        </w:rPr>
      </w:r>
      <w:r w:rsidR="00857D49">
        <w:rPr>
          <w:color w:val="000000"/>
        </w:rPr>
        <w:fldChar w:fldCharType="end"/>
      </w:r>
      <w:r w:rsidRPr="00873C4C">
        <w:rPr>
          <w:color w:val="000000"/>
        </w:rPr>
      </w:r>
      <w:r w:rsidRPr="00873C4C">
        <w:rPr>
          <w:color w:val="000000"/>
        </w:rPr>
        <w:fldChar w:fldCharType="separate"/>
      </w:r>
      <w:r w:rsidR="006F41FE">
        <w:rPr>
          <w:noProof/>
          <w:color w:val="000000"/>
        </w:rPr>
        <w:t>(</w:t>
      </w:r>
      <w:hyperlink w:anchor="_ENREF_227" w:tooltip="Kumar, 2009 #5" w:history="1">
        <w:r w:rsidR="004A784D">
          <w:rPr>
            <w:noProof/>
            <w:color w:val="000000"/>
          </w:rPr>
          <w:t>Kumar et al., 2009</w:t>
        </w:r>
      </w:hyperlink>
      <w:r w:rsidR="006F41FE">
        <w:rPr>
          <w:noProof/>
          <w:color w:val="000000"/>
        </w:rPr>
        <w:t xml:space="preserve">, </w:t>
      </w:r>
      <w:hyperlink w:anchor="_ENREF_306" w:tooltip="Ozaki, 2009 #1" w:history="1">
        <w:r w:rsidR="004A784D">
          <w:rPr>
            <w:noProof/>
            <w:color w:val="000000"/>
          </w:rPr>
          <w:t>Ozaki, 2009</w:t>
        </w:r>
      </w:hyperlink>
      <w:r w:rsidR="006F41FE">
        <w:rPr>
          <w:noProof/>
          <w:color w:val="000000"/>
        </w:rPr>
        <w:t xml:space="preserve">, </w:t>
      </w:r>
      <w:hyperlink w:anchor="_ENREF_333" w:tooltip="Rajkumar, 2007 #7182" w:history="1">
        <w:r w:rsidR="004A784D">
          <w:rPr>
            <w:noProof/>
            <w:color w:val="000000"/>
          </w:rPr>
          <w:t>Rajkumar and Buadi, 2007</w:t>
        </w:r>
      </w:hyperlink>
      <w:r w:rsidR="006F41FE">
        <w:rPr>
          <w:noProof/>
          <w:color w:val="000000"/>
        </w:rPr>
        <w:t>)</w:t>
      </w:r>
      <w:r w:rsidRPr="00873C4C">
        <w:rPr>
          <w:color w:val="000000"/>
        </w:rPr>
        <w:fldChar w:fldCharType="end"/>
      </w:r>
      <w:bookmarkEnd w:id="80"/>
      <w:r w:rsidRPr="00873C4C">
        <w:rPr>
          <w:color w:val="000000"/>
        </w:rPr>
        <w:t>.</w:t>
      </w:r>
      <w:bookmarkEnd w:id="81"/>
      <w:bookmarkEnd w:id="82"/>
      <w:r w:rsidRPr="00873C4C">
        <w:rPr>
          <w:color w:val="000000"/>
        </w:rPr>
        <w:t xml:space="preserve"> </w:t>
      </w:r>
    </w:p>
    <w:p w:rsidR="00A07720" w:rsidRPr="00873C4C" w:rsidRDefault="00A07720" w:rsidP="00057B42">
      <w:pPr>
        <w:spacing w:line="360" w:lineRule="auto"/>
        <w:jc w:val="both"/>
        <w:rPr>
          <w:color w:val="000000"/>
        </w:rPr>
      </w:pPr>
    </w:p>
    <w:p w:rsidR="001A3044" w:rsidRDefault="00D04DFC" w:rsidP="001A3044">
      <w:pPr>
        <w:pStyle w:val="Heading5"/>
        <w:numPr>
          <w:ilvl w:val="0"/>
          <w:numId w:val="0"/>
        </w:numPr>
        <w:tabs>
          <w:tab w:val="left" w:pos="1418"/>
        </w:tabs>
        <w:spacing w:line="360" w:lineRule="auto"/>
      </w:pPr>
      <w:r w:rsidRPr="00873C4C">
        <w:tab/>
      </w:r>
      <w:bookmarkStart w:id="83" w:name="_Toc305759095"/>
    </w:p>
    <w:p w:rsidR="001A3044" w:rsidRDefault="001A3044">
      <w:pPr>
        <w:rPr>
          <w:b/>
          <w:bCs/>
          <w:iCs/>
          <w:sz w:val="26"/>
          <w:szCs w:val="26"/>
          <w:lang w:eastAsia="en-US"/>
        </w:rPr>
      </w:pPr>
      <w:r>
        <w:br w:type="page"/>
      </w:r>
    </w:p>
    <w:p w:rsidR="0073682E" w:rsidRPr="00873C4C" w:rsidRDefault="001A3044" w:rsidP="00B832D8">
      <w:pPr>
        <w:pStyle w:val="Heading5"/>
        <w:spacing w:line="360" w:lineRule="auto"/>
        <w:ind w:left="0" w:firstLine="0"/>
      </w:pPr>
      <w:r>
        <w:lastRenderedPageBreak/>
        <w:t xml:space="preserve"> </w:t>
      </w:r>
      <w:r w:rsidR="0073682E" w:rsidRPr="00873C4C">
        <w:t>Symptoms of bone disease</w:t>
      </w:r>
      <w:bookmarkEnd w:id="83"/>
    </w:p>
    <w:p w:rsidR="0073682E" w:rsidRDefault="0073682E" w:rsidP="001A3044">
      <w:pPr>
        <w:spacing w:before="240" w:line="360" w:lineRule="auto"/>
        <w:jc w:val="both"/>
        <w:rPr>
          <w:color w:val="000000"/>
        </w:rPr>
      </w:pPr>
      <w:r w:rsidRPr="00873C4C">
        <w:rPr>
          <w:color w:val="000000"/>
        </w:rPr>
        <w:t xml:space="preserve">This is the most common presenting symptom in multiple myeloma. Most </w:t>
      </w:r>
      <w:r w:rsidR="00DC6202" w:rsidRPr="00873C4C">
        <w:rPr>
          <w:color w:val="000000"/>
        </w:rPr>
        <w:t>clinical studies</w:t>
      </w:r>
      <w:r w:rsidRPr="00873C4C">
        <w:rPr>
          <w:color w:val="000000"/>
        </w:rPr>
        <w:t xml:space="preserve"> report that up to 70% of patients have bone pain </w:t>
      </w:r>
      <w:r w:rsidR="00DC6202" w:rsidRPr="00873C4C">
        <w:rPr>
          <w:color w:val="000000"/>
        </w:rPr>
        <w:t xml:space="preserve">and few may present with the pathological fractures </w:t>
      </w:r>
      <w:r w:rsidRPr="00873C4C">
        <w:rPr>
          <w:color w:val="000000"/>
        </w:rPr>
        <w:t xml:space="preserve">at clinical presentation. </w:t>
      </w:r>
      <w:r w:rsidR="00645012" w:rsidRPr="00873C4C">
        <w:rPr>
          <w:color w:val="000000"/>
        </w:rPr>
        <w:t>Despit</w:t>
      </w:r>
      <w:r w:rsidR="00014A31">
        <w:rPr>
          <w:color w:val="000000"/>
        </w:rPr>
        <w:t>e more than 90% of patients having</w:t>
      </w:r>
      <w:r w:rsidR="00645012" w:rsidRPr="00873C4C">
        <w:rPr>
          <w:color w:val="000000"/>
        </w:rPr>
        <w:t xml:space="preserve"> more than one site of bony involvement; t</w:t>
      </w:r>
      <w:r w:rsidRPr="00873C4C">
        <w:rPr>
          <w:color w:val="000000"/>
        </w:rPr>
        <w:t>he unexplained backache at lumbar spine is one of the most common sites of pain</w:t>
      </w:r>
      <w:r w:rsidR="00645012" w:rsidRPr="00873C4C">
        <w:rPr>
          <w:color w:val="000000"/>
        </w:rPr>
        <w:t>.</w:t>
      </w:r>
      <w:r w:rsidR="00DC6202" w:rsidRPr="00873C4C">
        <w:rPr>
          <w:color w:val="000000"/>
        </w:rPr>
        <w:t xml:space="preserve"> </w:t>
      </w:r>
      <w:r w:rsidR="00906D4B" w:rsidRPr="00873C4C">
        <w:rPr>
          <w:color w:val="000000"/>
        </w:rPr>
        <w:t xml:space="preserve">There are various mechanisms involved, both myeloma cells and increased </w:t>
      </w:r>
      <w:r w:rsidR="00DC6202" w:rsidRPr="00873C4C">
        <w:rPr>
          <w:color w:val="000000"/>
        </w:rPr>
        <w:t>of osteoclastic activities</w:t>
      </w:r>
      <w:r w:rsidR="00906D4B" w:rsidRPr="00873C4C">
        <w:rPr>
          <w:color w:val="000000"/>
        </w:rPr>
        <w:t xml:space="preserve"> are present at </w:t>
      </w:r>
      <w:r w:rsidR="00DC6202" w:rsidRPr="00873C4C">
        <w:rPr>
          <w:color w:val="000000"/>
        </w:rPr>
        <w:t xml:space="preserve">the </w:t>
      </w:r>
      <w:r w:rsidR="00906D4B" w:rsidRPr="00873C4C">
        <w:rPr>
          <w:color w:val="000000"/>
        </w:rPr>
        <w:t xml:space="preserve">sites of bone destruction. </w:t>
      </w:r>
      <w:r w:rsidR="0043769B" w:rsidRPr="00873C4C">
        <w:rPr>
          <w:color w:val="000000"/>
        </w:rPr>
        <w:t xml:space="preserve">Many </w:t>
      </w:r>
      <w:r w:rsidR="00DC6202" w:rsidRPr="00873C4C">
        <w:rPr>
          <w:color w:val="000000"/>
        </w:rPr>
        <w:t xml:space="preserve">clinical </w:t>
      </w:r>
      <w:r w:rsidR="007B1F50" w:rsidRPr="00873C4C">
        <w:rPr>
          <w:color w:val="000000"/>
        </w:rPr>
        <w:t xml:space="preserve">studies </w:t>
      </w:r>
      <w:r w:rsidR="0043769B" w:rsidRPr="00873C4C">
        <w:rPr>
          <w:color w:val="000000"/>
        </w:rPr>
        <w:t xml:space="preserve">have </w:t>
      </w:r>
      <w:r w:rsidR="00645012" w:rsidRPr="00873C4C">
        <w:rPr>
          <w:color w:val="000000"/>
        </w:rPr>
        <w:t>shown</w:t>
      </w:r>
      <w:r w:rsidR="007B1F50" w:rsidRPr="00873C4C">
        <w:rPr>
          <w:color w:val="000000"/>
        </w:rPr>
        <w:t xml:space="preserve"> that the </w:t>
      </w:r>
      <w:r w:rsidR="00906D4B" w:rsidRPr="00873C4C">
        <w:rPr>
          <w:color w:val="000000"/>
        </w:rPr>
        <w:t xml:space="preserve">myeloma </w:t>
      </w:r>
      <w:r w:rsidR="00645012" w:rsidRPr="00873C4C">
        <w:rPr>
          <w:color w:val="000000"/>
        </w:rPr>
        <w:t>cells produce</w:t>
      </w:r>
      <w:r w:rsidR="00906D4B" w:rsidRPr="00873C4C">
        <w:rPr>
          <w:color w:val="000000"/>
        </w:rPr>
        <w:t xml:space="preserve"> </w:t>
      </w:r>
      <w:r w:rsidR="0043769B" w:rsidRPr="00873C4C">
        <w:rPr>
          <w:color w:val="000000"/>
        </w:rPr>
        <w:t>‘</w:t>
      </w:r>
      <w:r w:rsidR="00906D4B" w:rsidRPr="00873C4C">
        <w:rPr>
          <w:color w:val="000000"/>
        </w:rPr>
        <w:t>osteoclast activating</w:t>
      </w:r>
      <w:r w:rsidR="007B1F50" w:rsidRPr="00873C4C">
        <w:rPr>
          <w:color w:val="000000"/>
        </w:rPr>
        <w:t xml:space="preserve"> </w:t>
      </w:r>
      <w:r w:rsidR="00906D4B" w:rsidRPr="00873C4C">
        <w:rPr>
          <w:color w:val="000000"/>
        </w:rPr>
        <w:t>factors</w:t>
      </w:r>
      <w:r w:rsidR="0043769B" w:rsidRPr="00873C4C">
        <w:rPr>
          <w:color w:val="000000"/>
        </w:rPr>
        <w:t>’</w:t>
      </w:r>
      <w:r w:rsidR="00906D4B" w:rsidRPr="00873C4C">
        <w:rPr>
          <w:color w:val="000000"/>
        </w:rPr>
        <w:t xml:space="preserve"> (OAFs)</w:t>
      </w:r>
      <w:r w:rsidR="00DC6202" w:rsidRPr="00873C4C">
        <w:rPr>
          <w:color w:val="000000"/>
        </w:rPr>
        <w:t>.</w:t>
      </w:r>
      <w:r w:rsidR="007B1F50" w:rsidRPr="00873C4C">
        <w:rPr>
          <w:color w:val="000000"/>
        </w:rPr>
        <w:t xml:space="preserve"> </w:t>
      </w:r>
      <w:r w:rsidR="00906D4B" w:rsidRPr="00873C4C">
        <w:rPr>
          <w:color w:val="000000"/>
        </w:rPr>
        <w:t xml:space="preserve"> </w:t>
      </w:r>
      <w:r w:rsidR="00DC6202" w:rsidRPr="00873C4C">
        <w:rPr>
          <w:color w:val="000000"/>
        </w:rPr>
        <w:t>This factor is</w:t>
      </w:r>
      <w:r w:rsidR="00906D4B" w:rsidRPr="00873C4C">
        <w:rPr>
          <w:color w:val="000000"/>
        </w:rPr>
        <w:t xml:space="preserve"> involved in producing</w:t>
      </w:r>
      <w:r w:rsidR="007B1F50" w:rsidRPr="00873C4C">
        <w:rPr>
          <w:color w:val="000000"/>
        </w:rPr>
        <w:t xml:space="preserve"> </w:t>
      </w:r>
      <w:r w:rsidR="00906D4B" w:rsidRPr="00873C4C">
        <w:rPr>
          <w:color w:val="000000"/>
        </w:rPr>
        <w:t>increased numbers and activity of osteoclasts. Most recently a substance</w:t>
      </w:r>
      <w:r w:rsidR="007B1F50" w:rsidRPr="00873C4C">
        <w:rPr>
          <w:color w:val="000000"/>
        </w:rPr>
        <w:t xml:space="preserve"> </w:t>
      </w:r>
      <w:r w:rsidR="00906D4B" w:rsidRPr="00873C4C">
        <w:rPr>
          <w:color w:val="000000"/>
        </w:rPr>
        <w:t xml:space="preserve">called RANK ligand (RANKL) has </w:t>
      </w:r>
      <w:r w:rsidR="00DC6202" w:rsidRPr="00873C4C">
        <w:rPr>
          <w:color w:val="000000"/>
        </w:rPr>
        <w:t xml:space="preserve">also </w:t>
      </w:r>
      <w:r w:rsidR="00906D4B" w:rsidRPr="00873C4C">
        <w:rPr>
          <w:color w:val="000000"/>
        </w:rPr>
        <w:t>been identified as a critical mediator</w:t>
      </w:r>
      <w:r w:rsidR="007B1F50" w:rsidRPr="00873C4C">
        <w:rPr>
          <w:color w:val="000000"/>
        </w:rPr>
        <w:t xml:space="preserve"> </w:t>
      </w:r>
      <w:r w:rsidR="00906D4B" w:rsidRPr="00873C4C">
        <w:rPr>
          <w:color w:val="000000"/>
        </w:rPr>
        <w:t>of osteoclast activation</w:t>
      </w:r>
      <w:r w:rsidR="003C4BEF" w:rsidRPr="00873C4C">
        <w:rPr>
          <w:color w:val="000000"/>
        </w:rPr>
        <w:t xml:space="preserve"> </w:t>
      </w:r>
      <w:r w:rsidR="003C4BEF" w:rsidRPr="00873C4C">
        <w:rPr>
          <w:color w:val="000000"/>
        </w:rPr>
        <w:fldChar w:fldCharType="begin">
          <w:fldData xml:space="preserve">PEVuZE5vdGU+PENpdGU+PEF1dGhvcj5Ib3U8L0F1dGhvcj48WWVhcj4yMDA5PC9ZZWFyPjxSZWNO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</w:fldData>
        </w:fldChar>
      </w:r>
      <w:r w:rsidR="00857D49">
        <w:rPr>
          <w:color w:val="000000"/>
        </w:rPr>
        <w:instrText xml:space="preserve"> ADDIN EN.CITE </w:instrText>
      </w:r>
      <w:r w:rsidR="00857D49">
        <w:rPr>
          <w:color w:val="000000"/>
        </w:rPr>
        <w:fldChar w:fldCharType="begin">
          <w:fldData xml:space="preserve">PEVuZE5vdGU+PENpdGU+PEF1dGhvcj5Ib3U8L0F1dGhvcj48WWVhcj4yMDA5PC9ZZWFyPjxSZWNO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</w:fldData>
        </w:fldChar>
      </w:r>
      <w:r w:rsidR="00857D49">
        <w:rPr>
          <w:color w:val="000000"/>
        </w:rPr>
        <w:instrText xml:space="preserve"> ADDIN EN.CITE.DATA </w:instrText>
      </w:r>
      <w:r w:rsidR="00857D49">
        <w:rPr>
          <w:color w:val="000000"/>
        </w:rPr>
      </w:r>
      <w:r w:rsidR="00857D49">
        <w:rPr>
          <w:color w:val="000000"/>
        </w:rPr>
        <w:fldChar w:fldCharType="end"/>
      </w:r>
      <w:r w:rsidR="003C4BEF" w:rsidRPr="00873C4C">
        <w:rPr>
          <w:color w:val="000000"/>
        </w:rPr>
      </w:r>
      <w:r w:rsidR="003C4BEF" w:rsidRPr="00873C4C">
        <w:rPr>
          <w:color w:val="000000"/>
        </w:rPr>
        <w:fldChar w:fldCharType="separate"/>
      </w:r>
      <w:r w:rsidR="006F41FE">
        <w:rPr>
          <w:noProof/>
          <w:color w:val="000000"/>
        </w:rPr>
        <w:t>(</w:t>
      </w:r>
      <w:hyperlink w:anchor="_ENREF_181" w:tooltip="Hou, 2009 #6736" w:history="1">
        <w:r w:rsidR="004A784D">
          <w:rPr>
            <w:noProof/>
            <w:color w:val="000000"/>
          </w:rPr>
          <w:t>Hou, 2009</w:t>
        </w:r>
      </w:hyperlink>
      <w:r w:rsidR="006F41FE">
        <w:rPr>
          <w:noProof/>
          <w:color w:val="000000"/>
        </w:rPr>
        <w:t xml:space="preserve">, </w:t>
      </w:r>
      <w:hyperlink w:anchor="_ENREF_306" w:tooltip="Ozaki, 2009 #1" w:history="1">
        <w:r w:rsidR="004A784D">
          <w:rPr>
            <w:noProof/>
            <w:color w:val="000000"/>
          </w:rPr>
          <w:t>Ozaki, 2009</w:t>
        </w:r>
      </w:hyperlink>
      <w:r w:rsidR="006F41FE">
        <w:rPr>
          <w:noProof/>
          <w:color w:val="000000"/>
        </w:rPr>
        <w:t xml:space="preserve">, </w:t>
      </w:r>
      <w:hyperlink w:anchor="_ENREF_284" w:tooltip="Nagura, 2007 #23" w:history="1">
        <w:r w:rsidR="004A784D">
          <w:rPr>
            <w:noProof/>
            <w:color w:val="000000"/>
          </w:rPr>
          <w:t>Nagura, 2007</w:t>
        </w:r>
      </w:hyperlink>
      <w:r w:rsidR="006F41FE">
        <w:rPr>
          <w:noProof/>
          <w:color w:val="000000"/>
        </w:rPr>
        <w:t>)</w:t>
      </w:r>
      <w:r w:rsidR="003C4BEF" w:rsidRPr="00873C4C">
        <w:rPr>
          <w:color w:val="000000"/>
        </w:rPr>
        <w:fldChar w:fldCharType="end"/>
      </w:r>
      <w:r w:rsidR="00906D4B" w:rsidRPr="00873C4C">
        <w:rPr>
          <w:color w:val="000000"/>
        </w:rPr>
        <w:t xml:space="preserve">. </w:t>
      </w:r>
    </w:p>
    <w:p w:rsidR="00E33E35" w:rsidRDefault="00E33E35" w:rsidP="00057B42">
      <w:pPr>
        <w:spacing w:line="360" w:lineRule="auto"/>
        <w:rPr>
          <w:color w:val="000000"/>
        </w:rPr>
      </w:pPr>
      <w:r>
        <w:rPr>
          <w:color w:val="000000"/>
        </w:rPr>
        <w:br w:type="page"/>
      </w:r>
    </w:p>
    <w:p w:rsidR="00503322" w:rsidRPr="00873C4C" w:rsidRDefault="00D04DFC" w:rsidP="00057B42">
      <w:pPr>
        <w:pStyle w:val="Heading5"/>
        <w:spacing w:line="360" w:lineRule="auto"/>
      </w:pPr>
      <w:r w:rsidRPr="00873C4C">
        <w:lastRenderedPageBreak/>
        <w:tab/>
      </w:r>
      <w:bookmarkStart w:id="84" w:name="_Toc305759096"/>
      <w:r w:rsidR="0092498C" w:rsidRPr="00873C4C">
        <w:tab/>
      </w:r>
      <w:r w:rsidR="00503322" w:rsidRPr="00873C4C">
        <w:t>Cytopenias</w:t>
      </w:r>
      <w:bookmarkEnd w:id="84"/>
    </w:p>
    <w:p w:rsidR="00503322" w:rsidRDefault="00503322" w:rsidP="001A3044">
      <w:pPr>
        <w:spacing w:before="240" w:after="240" w:line="360" w:lineRule="auto"/>
        <w:jc w:val="both"/>
        <w:rPr>
          <w:color w:val="000000"/>
        </w:rPr>
      </w:pPr>
      <w:r w:rsidRPr="00873C4C">
        <w:rPr>
          <w:color w:val="000000"/>
        </w:rPr>
        <w:t xml:space="preserve">Typically </w:t>
      </w:r>
      <w:r w:rsidR="00972A03" w:rsidRPr="00873C4C">
        <w:rPr>
          <w:color w:val="000000"/>
        </w:rPr>
        <w:t xml:space="preserve">MM are associated with the </w:t>
      </w:r>
      <w:r w:rsidRPr="00873C4C">
        <w:rPr>
          <w:color w:val="000000"/>
        </w:rPr>
        <w:t>normo</w:t>
      </w:r>
      <w:r w:rsidR="00972A03" w:rsidRPr="00873C4C">
        <w:rPr>
          <w:color w:val="000000"/>
        </w:rPr>
        <w:t>chromic</w:t>
      </w:r>
      <w:r w:rsidRPr="00873C4C">
        <w:rPr>
          <w:color w:val="000000"/>
        </w:rPr>
        <w:t xml:space="preserve"> normocytic anaemia and less frequently </w:t>
      </w:r>
      <w:r w:rsidR="00676041" w:rsidRPr="00873C4C">
        <w:rPr>
          <w:color w:val="000000"/>
        </w:rPr>
        <w:t>leucopoenia</w:t>
      </w:r>
      <w:r w:rsidRPr="00873C4C">
        <w:rPr>
          <w:color w:val="000000"/>
        </w:rPr>
        <w:t xml:space="preserve"> and thrombocytopenia. </w:t>
      </w:r>
      <w:r w:rsidR="002A7FED" w:rsidRPr="00873C4C">
        <w:rPr>
          <w:color w:val="000000"/>
        </w:rPr>
        <w:t>Anaemia</w:t>
      </w:r>
      <w:r w:rsidR="009366CA" w:rsidRPr="00873C4C">
        <w:rPr>
          <w:color w:val="000000"/>
        </w:rPr>
        <w:t xml:space="preserve"> is a characteristic feature of </w:t>
      </w:r>
      <w:r w:rsidR="00972A03" w:rsidRPr="00873C4C">
        <w:rPr>
          <w:color w:val="000000"/>
        </w:rPr>
        <w:t>MM,</w:t>
      </w:r>
      <w:r w:rsidR="009366CA" w:rsidRPr="00873C4C">
        <w:rPr>
          <w:color w:val="000000"/>
        </w:rPr>
        <w:t xml:space="preserve"> it</w:t>
      </w:r>
      <w:r w:rsidRPr="00873C4C">
        <w:rPr>
          <w:color w:val="000000"/>
        </w:rPr>
        <w:t xml:space="preserve"> can be quite severe and is the most common cause of </w:t>
      </w:r>
      <w:r w:rsidR="00972A03" w:rsidRPr="00873C4C">
        <w:rPr>
          <w:color w:val="000000"/>
        </w:rPr>
        <w:t xml:space="preserve">generalised </w:t>
      </w:r>
      <w:r w:rsidRPr="00873C4C">
        <w:rPr>
          <w:color w:val="000000"/>
        </w:rPr>
        <w:t xml:space="preserve">weakness in </w:t>
      </w:r>
      <w:r w:rsidR="00972A03" w:rsidRPr="00873C4C">
        <w:rPr>
          <w:color w:val="000000"/>
        </w:rPr>
        <w:t xml:space="preserve">MM </w:t>
      </w:r>
      <w:r w:rsidRPr="00873C4C">
        <w:rPr>
          <w:color w:val="000000"/>
        </w:rPr>
        <w:t>patients</w:t>
      </w:r>
      <w:r w:rsidR="009366CA" w:rsidRPr="00873C4C">
        <w:rPr>
          <w:color w:val="000000"/>
        </w:rPr>
        <w:t xml:space="preserve">. Although simple physical displacement of </w:t>
      </w:r>
      <w:r w:rsidR="00972A03" w:rsidRPr="00873C4C">
        <w:rPr>
          <w:color w:val="000000"/>
        </w:rPr>
        <w:t xml:space="preserve">bone </w:t>
      </w:r>
      <w:r w:rsidR="009366CA" w:rsidRPr="00873C4C">
        <w:rPr>
          <w:color w:val="000000"/>
        </w:rPr>
        <w:t>marrow red blood cell precursors is undoubtedly a factor, the specific inhibition of red cell production by micro-environmental cytokine and adhesion molecule effects is a more functional explanation</w:t>
      </w:r>
      <w:r w:rsidR="00D572C8" w:rsidRPr="00873C4C">
        <w:rPr>
          <w:color w:val="000000"/>
        </w:rPr>
        <w:t>. TNF-</w:t>
      </w:r>
      <w:r w:rsidR="00734A45">
        <w:rPr>
          <w:color w:val="000000"/>
        </w:rPr>
        <w:t>alpha</w:t>
      </w:r>
      <w:r w:rsidR="00D572C8" w:rsidRPr="00873C4C">
        <w:rPr>
          <w:color w:val="000000"/>
        </w:rPr>
        <w:t xml:space="preserve"> has been identified as one important inhibitor of erythropoiesis; active myeloma, however, results in a complex interplay of factors that can cause not </w:t>
      </w:r>
      <w:r w:rsidR="00972A03" w:rsidRPr="00873C4C">
        <w:rPr>
          <w:color w:val="000000"/>
        </w:rPr>
        <w:t>only the</w:t>
      </w:r>
      <w:r w:rsidR="00D572C8" w:rsidRPr="00873C4C">
        <w:rPr>
          <w:color w:val="000000"/>
        </w:rPr>
        <w:t xml:space="preserve"> anaemia, but </w:t>
      </w:r>
      <w:r w:rsidR="00972A03" w:rsidRPr="00873C4C">
        <w:rPr>
          <w:color w:val="000000"/>
        </w:rPr>
        <w:t xml:space="preserve">also </w:t>
      </w:r>
      <w:r w:rsidR="00D572C8" w:rsidRPr="00873C4C">
        <w:rPr>
          <w:color w:val="000000"/>
        </w:rPr>
        <w:t xml:space="preserve">neutropenia, and sometimes either increased or decreased platelet counts. Improvement in anaemia occurs with successful </w:t>
      </w:r>
      <w:r w:rsidR="00972A03" w:rsidRPr="00873C4C">
        <w:rPr>
          <w:color w:val="000000"/>
        </w:rPr>
        <w:t xml:space="preserve">MM </w:t>
      </w:r>
      <w:r w:rsidR="00D572C8" w:rsidRPr="00873C4C">
        <w:rPr>
          <w:color w:val="000000"/>
        </w:rPr>
        <w:t xml:space="preserve">treatment and can </w:t>
      </w:r>
      <w:r w:rsidR="00972A03" w:rsidRPr="00873C4C">
        <w:rPr>
          <w:color w:val="000000"/>
        </w:rPr>
        <w:t xml:space="preserve">also </w:t>
      </w:r>
      <w:r w:rsidR="00D572C8" w:rsidRPr="00873C4C">
        <w:rPr>
          <w:color w:val="000000"/>
        </w:rPr>
        <w:t>be enhanced by use of recombinant erythropoietin therapy</w:t>
      </w:r>
      <w:r w:rsidR="003C4BEF" w:rsidRPr="00873C4C">
        <w:rPr>
          <w:color w:val="000000"/>
        </w:rPr>
        <w:t xml:space="preserve"> </w:t>
      </w:r>
      <w:r w:rsidR="003C4BEF" w:rsidRPr="00873C4C">
        <w:rPr>
          <w:color w:val="000000"/>
        </w:rPr>
        <w:fldChar w:fldCharType="begin"/>
      </w:r>
      <w:r w:rsidR="006F41FE">
        <w:rPr>
          <w:color w:val="000000"/>
        </w:rPr>
        <w:instrText xml:space="preserve"> ADDIN EN.CITE &lt;EndNote&gt;&lt;Cite&gt;&lt;Author&gt;Ozaki&lt;/Author&gt;&lt;Year&gt;2009&lt;/Year&gt;&lt;RecNum&gt;86&lt;/RecNum&gt;&lt;DisplayText&gt;(Ozaki, 2009)&lt;/DisplayText&gt;&lt;record&gt;&lt;rec-number&gt;86&lt;/rec-number&gt;&lt;ref-type name="Journal Article"&gt;17&lt;/ref-type&gt;&lt;contributors&gt;&lt;authors&gt;&lt;author&gt;Ozaki, S.&lt;/author&gt;&lt;/authors&gt;&lt;/contributors&gt;&lt;titles&gt;&lt;title&gt;[New treatment strategies for multiple myeloma]&lt;/title&gt;&lt;secondary-title&gt;Rinsho Ketsueki&lt;/secondary-title&gt;&lt;/titles&gt;&lt;periodical&gt;&lt;full-title&gt;Rinsho Ketsueki&lt;/full-title&gt;&lt;/periodical&gt;&lt;pages&gt;1506-17&lt;/pages&gt;&lt;volume&gt;50&lt;/volume&gt;&lt;number&gt;10&lt;/number&gt;&lt;keywords&gt;&lt;keyword&gt;Antineoplastic Combined Chemotherapy Protocols/administration &amp;amp;&lt;/keyword&gt;&lt;keyword&gt;dosage/*therapeutic use&lt;/keyword&gt;&lt;keyword&gt;Boronic Acids/administration &amp;amp; dosage&lt;/keyword&gt;&lt;keyword&gt;Clinical Trials, Phase III as Topic&lt;/keyword&gt;&lt;keyword&gt;Dexamethasone/administration &amp;amp; dosage&lt;/keyword&gt;&lt;keyword&gt;Diagnosis, Differential&lt;/keyword&gt;&lt;keyword&gt;Doxorubicin/administration &amp;amp; dosage&lt;/keyword&gt;&lt;keyword&gt;Drug Discovery&lt;/keyword&gt;&lt;keyword&gt;Female&lt;/keyword&gt;&lt;keyword&gt;Humans&lt;/keyword&gt;&lt;keyword&gt;Male&lt;/keyword&gt;&lt;keyword&gt;Melphalan/administration &amp;amp; dosage&lt;/keyword&gt;&lt;keyword&gt;Multiple Myeloma/classification/diagnosis/genetics/*therapy&lt;/keyword&gt;&lt;keyword&gt;Peripheral Blood Stem Cell Transplantation&lt;/keyword&gt;&lt;keyword&gt;Prednisolone/administration &amp;amp; dosage&lt;/keyword&gt;&lt;keyword&gt;Pyrazines/administration &amp;amp; dosage&lt;/keyword&gt;&lt;keyword&gt;Remission Induction&lt;/keyword&gt;&lt;keyword&gt;Salvage Therapy&lt;/keyword&gt;&lt;keyword&gt;Thalidomide/administration &amp;amp; dosage/analogs &amp;amp; derivatives&lt;/keyword&gt;&lt;keyword&gt;Vincristine/administration &amp;amp; dosage&lt;/keyword&gt;&lt;/keywords&gt;&lt;dates&gt;&lt;year&gt;2009&lt;/year&gt;&lt;pub-dates&gt;&lt;date&gt;Oct&lt;/date&gt;&lt;/pub-dates&gt;&lt;/dates&gt;&lt;accession-num&gt;19915360&lt;/accession-num&gt;&lt;urls&gt;&lt;related-urls&gt;&lt;url&gt;http://www.ncbi.nlm.nih.gov/entrez/query.fcgi?cmd=Retrieve&amp;amp;db=PubMed&amp;amp;dopt=Citation&amp;amp;list_uids=19915360 &lt;/url&gt;&lt;/related-urls&gt;&lt;/urls&gt;&lt;/record&gt;&lt;/Cite&gt;&lt;/EndNote&gt;</w:instrText>
      </w:r>
      <w:r w:rsidR="003C4BEF" w:rsidRPr="00873C4C">
        <w:rPr>
          <w:color w:val="000000"/>
        </w:rPr>
        <w:fldChar w:fldCharType="separate"/>
      </w:r>
      <w:r w:rsidR="006F41FE">
        <w:rPr>
          <w:noProof/>
          <w:color w:val="000000"/>
        </w:rPr>
        <w:t>(</w:t>
      </w:r>
      <w:hyperlink w:anchor="_ENREF_306" w:tooltip="Ozaki, 2009 #1" w:history="1">
        <w:r w:rsidR="004A784D">
          <w:rPr>
            <w:noProof/>
            <w:color w:val="000000"/>
          </w:rPr>
          <w:t>Ozaki, 2009</w:t>
        </w:r>
      </w:hyperlink>
      <w:r w:rsidR="006F41FE">
        <w:rPr>
          <w:noProof/>
          <w:color w:val="000000"/>
        </w:rPr>
        <w:t>)</w:t>
      </w:r>
      <w:r w:rsidR="003C4BEF" w:rsidRPr="00873C4C">
        <w:rPr>
          <w:color w:val="000000"/>
        </w:rPr>
        <w:fldChar w:fldCharType="end"/>
      </w:r>
      <w:r w:rsidR="00D572C8" w:rsidRPr="00873C4C">
        <w:rPr>
          <w:color w:val="000000"/>
        </w:rPr>
        <w:t xml:space="preserve">. </w:t>
      </w:r>
    </w:p>
    <w:p w:rsidR="00503322" w:rsidRPr="00873C4C" w:rsidRDefault="0092498C" w:rsidP="00057B42">
      <w:pPr>
        <w:pStyle w:val="Heading5"/>
        <w:spacing w:line="360" w:lineRule="auto"/>
        <w:rPr>
          <w:lang w:val="pl-PL"/>
        </w:rPr>
      </w:pPr>
      <w:r w:rsidRPr="00873C4C">
        <w:tab/>
      </w:r>
      <w:r w:rsidR="00D04DFC" w:rsidRPr="00873C4C">
        <w:tab/>
      </w:r>
      <w:bookmarkStart w:id="85" w:name="_Toc305759097"/>
      <w:r w:rsidR="00972A03" w:rsidRPr="00873C4C">
        <w:t>Hypercalc</w:t>
      </w:r>
      <w:r w:rsidR="007C0AB2" w:rsidRPr="00873C4C">
        <w:t>emia</w:t>
      </w:r>
      <w:bookmarkEnd w:id="85"/>
      <w:r w:rsidR="007C0AB2" w:rsidRPr="00873C4C">
        <w:rPr>
          <w:lang w:val="pl-PL"/>
        </w:rPr>
        <w:t xml:space="preserve"> </w:t>
      </w:r>
      <w:r w:rsidR="00503322" w:rsidRPr="00873C4C">
        <w:rPr>
          <w:lang w:val="pl-PL"/>
        </w:rPr>
        <w:t xml:space="preserve">  </w:t>
      </w:r>
    </w:p>
    <w:p w:rsidR="00C32EB1" w:rsidRDefault="00343BAD" w:rsidP="001A3044">
      <w:pPr>
        <w:spacing w:before="240" w:line="360" w:lineRule="auto"/>
        <w:jc w:val="both"/>
        <w:rPr>
          <w:color w:val="000000"/>
        </w:rPr>
      </w:pPr>
      <w:r w:rsidRPr="00873C4C">
        <w:rPr>
          <w:color w:val="000000"/>
        </w:rPr>
        <w:t xml:space="preserve">Hypercalcemia </w:t>
      </w:r>
      <w:r w:rsidR="00EC28A9" w:rsidRPr="00873C4C">
        <w:rPr>
          <w:color w:val="000000"/>
        </w:rPr>
        <w:t xml:space="preserve">may be present in as many as 30% of </w:t>
      </w:r>
      <w:r w:rsidR="0043769B" w:rsidRPr="00873C4C">
        <w:rPr>
          <w:color w:val="000000"/>
        </w:rPr>
        <w:t xml:space="preserve">MM </w:t>
      </w:r>
      <w:r w:rsidR="00EC28A9" w:rsidRPr="00873C4C">
        <w:rPr>
          <w:color w:val="000000"/>
        </w:rPr>
        <w:t xml:space="preserve">patients at presentation. </w:t>
      </w:r>
      <w:r w:rsidRPr="00873C4C">
        <w:rPr>
          <w:color w:val="000000"/>
        </w:rPr>
        <w:t>It is m</w:t>
      </w:r>
      <w:r w:rsidR="001962A1">
        <w:rPr>
          <w:color w:val="000000"/>
        </w:rPr>
        <w:t xml:space="preserve">ost common in patients with </w:t>
      </w:r>
      <w:r w:rsidRPr="00873C4C">
        <w:rPr>
          <w:color w:val="000000"/>
        </w:rPr>
        <w:t xml:space="preserve">higher tumour volume, irrespective of serum parathyroid hormone-related protein (PTHrP) status. The reasons for this are still unclear but they may be related to the amount of bone-resorbing activity produced by myeloma cells as well as renal function. These myeloma patients </w:t>
      </w:r>
      <w:r w:rsidR="0043769B" w:rsidRPr="00873C4C">
        <w:rPr>
          <w:color w:val="000000"/>
        </w:rPr>
        <w:t>may</w:t>
      </w:r>
      <w:r w:rsidRPr="00873C4C">
        <w:rPr>
          <w:color w:val="000000"/>
        </w:rPr>
        <w:t xml:space="preserve"> have irreversible impairment in renal function, which can lead to increased ren</w:t>
      </w:r>
      <w:r w:rsidR="001A3044">
        <w:rPr>
          <w:color w:val="000000"/>
        </w:rPr>
        <w:t>al tubular calcium reabsorption. T</w:t>
      </w:r>
      <w:r w:rsidRPr="00873C4C">
        <w:rPr>
          <w:color w:val="000000"/>
        </w:rPr>
        <w:t xml:space="preserve">he capacity of the kidneys to clear excess calcium load from the circulation effectively is overwhelmed, resulting in high serum calcium levels. </w:t>
      </w:r>
    </w:p>
    <w:p w:rsidR="00C32EB1" w:rsidRDefault="00C32EB1" w:rsidP="00057B42">
      <w:pPr>
        <w:spacing w:line="360" w:lineRule="auto"/>
        <w:jc w:val="both"/>
        <w:rPr>
          <w:color w:val="000000"/>
        </w:rPr>
      </w:pPr>
    </w:p>
    <w:p w:rsidR="001207D8" w:rsidRDefault="00EC28A9" w:rsidP="00057B42">
      <w:pPr>
        <w:spacing w:line="360" w:lineRule="auto"/>
        <w:jc w:val="both"/>
        <w:rPr>
          <w:color w:val="000000"/>
        </w:rPr>
      </w:pPr>
      <w:r w:rsidRPr="00873C4C">
        <w:rPr>
          <w:color w:val="000000"/>
        </w:rPr>
        <w:t xml:space="preserve">Presenting symptoms of hypercalcemia are confusion, somnolence, bone pain, constipation, nausea, and thirst. In most solid malignancies, hypercalcemia carries an ominous prognosis, but in </w:t>
      </w:r>
      <w:r w:rsidR="0043769B" w:rsidRPr="00873C4C">
        <w:rPr>
          <w:color w:val="000000"/>
        </w:rPr>
        <w:t>MM</w:t>
      </w:r>
      <w:r w:rsidRPr="00873C4C">
        <w:rPr>
          <w:color w:val="000000"/>
        </w:rPr>
        <w:t xml:space="preserve"> its occurrence does not adversely affect survival</w:t>
      </w:r>
      <w:r w:rsidR="00662754">
        <w:rPr>
          <w:color w:val="000000"/>
        </w:rPr>
        <w:t xml:space="preserve"> (Santarpia et al. 2010). </w:t>
      </w:r>
    </w:p>
    <w:p w:rsidR="001207D8" w:rsidRPr="00873C4C" w:rsidRDefault="0092498C" w:rsidP="00057B42">
      <w:pPr>
        <w:pStyle w:val="Heading5"/>
        <w:spacing w:line="360" w:lineRule="auto"/>
      </w:pPr>
      <w:bookmarkStart w:id="86" w:name="_Toc305759098"/>
      <w:r w:rsidRPr="00873C4C">
        <w:tab/>
      </w:r>
      <w:r w:rsidR="00E33E35">
        <w:tab/>
      </w:r>
      <w:r w:rsidR="001207D8" w:rsidRPr="00873C4C">
        <w:t>Impaired kidney function</w:t>
      </w:r>
      <w:bookmarkEnd w:id="86"/>
      <w:r w:rsidR="00BC342C" w:rsidRPr="00873C4C">
        <w:t xml:space="preserve"> </w:t>
      </w:r>
    </w:p>
    <w:p w:rsidR="003E5573" w:rsidRPr="00873C4C" w:rsidRDefault="0043769B" w:rsidP="001A3044">
      <w:pPr>
        <w:spacing w:before="240" w:line="360" w:lineRule="auto"/>
        <w:jc w:val="both"/>
        <w:rPr>
          <w:color w:val="000000"/>
          <w:lang w:val="en-GB"/>
        </w:rPr>
      </w:pPr>
      <w:r w:rsidRPr="00873C4C">
        <w:rPr>
          <w:color w:val="000000"/>
        </w:rPr>
        <w:t>The kidney function is abnormal at diagnosis in abo</w:t>
      </w:r>
      <w:r w:rsidRPr="00873C4C">
        <w:rPr>
          <w:rStyle w:val="PageNumber"/>
          <w:color w:val="000000"/>
        </w:rPr>
        <w:t>ut half of MM patients.</w:t>
      </w:r>
      <w:r w:rsidRPr="00873C4C">
        <w:rPr>
          <w:color w:val="000000"/>
        </w:rPr>
        <w:t xml:space="preserve"> </w:t>
      </w:r>
      <w:r w:rsidR="001207D8" w:rsidRPr="00873C4C">
        <w:rPr>
          <w:color w:val="000000"/>
        </w:rPr>
        <w:t xml:space="preserve">The excess of monoclonal immunoglobulin and high </w:t>
      </w:r>
      <w:r w:rsidRPr="00873C4C">
        <w:rPr>
          <w:color w:val="000000"/>
        </w:rPr>
        <w:t>serum</w:t>
      </w:r>
      <w:r w:rsidR="001207D8" w:rsidRPr="00873C4C">
        <w:rPr>
          <w:color w:val="000000"/>
        </w:rPr>
        <w:t xml:space="preserve"> calcium levels associated</w:t>
      </w:r>
      <w:r w:rsidR="00DC6202" w:rsidRPr="00873C4C">
        <w:rPr>
          <w:color w:val="000000"/>
        </w:rPr>
        <w:t xml:space="preserve"> with MM can damage the kidneys</w:t>
      </w:r>
      <w:r w:rsidR="001207D8" w:rsidRPr="00873C4C">
        <w:rPr>
          <w:color w:val="000000"/>
        </w:rPr>
        <w:t xml:space="preserve">. Occasionally, kidney failure is the first sign of </w:t>
      </w:r>
      <w:r w:rsidR="001207D8" w:rsidRPr="00873C4C">
        <w:rPr>
          <w:color w:val="000000"/>
        </w:rPr>
        <w:lastRenderedPageBreak/>
        <w:t xml:space="preserve">MM. </w:t>
      </w:r>
      <w:r w:rsidR="00F16BBC" w:rsidRPr="00873C4C">
        <w:rPr>
          <w:color w:val="000000"/>
        </w:rPr>
        <w:t xml:space="preserve">Acute renal insufficiency in </w:t>
      </w:r>
      <w:r w:rsidRPr="00873C4C">
        <w:rPr>
          <w:color w:val="000000"/>
        </w:rPr>
        <w:t>MM</w:t>
      </w:r>
      <w:r w:rsidR="00F16BBC" w:rsidRPr="00873C4C">
        <w:rPr>
          <w:color w:val="000000"/>
        </w:rPr>
        <w:t xml:space="preserve"> patients can </w:t>
      </w:r>
      <w:r w:rsidRPr="00873C4C">
        <w:rPr>
          <w:color w:val="000000"/>
        </w:rPr>
        <w:t xml:space="preserve">also </w:t>
      </w:r>
      <w:r w:rsidR="00F16BBC" w:rsidRPr="00873C4C">
        <w:rPr>
          <w:color w:val="000000"/>
        </w:rPr>
        <w:t xml:space="preserve">occur </w:t>
      </w:r>
      <w:r w:rsidRPr="00873C4C">
        <w:rPr>
          <w:color w:val="000000"/>
        </w:rPr>
        <w:t>secondary to dehydration associated with hypercalcemia</w:t>
      </w:r>
      <w:r w:rsidR="00F16BBC" w:rsidRPr="00873C4C">
        <w:rPr>
          <w:color w:val="000000"/>
        </w:rPr>
        <w:t xml:space="preserve">, side effects of medications (NSAIDs) or </w:t>
      </w:r>
      <w:r w:rsidR="00676041" w:rsidRPr="00873C4C">
        <w:rPr>
          <w:color w:val="000000"/>
        </w:rPr>
        <w:t>tumour</w:t>
      </w:r>
      <w:r w:rsidR="00F16BBC" w:rsidRPr="00873C4C">
        <w:rPr>
          <w:color w:val="000000"/>
        </w:rPr>
        <w:t xml:space="preserve"> lysis syndrome </w:t>
      </w:r>
      <w:r w:rsidRPr="00873C4C">
        <w:rPr>
          <w:color w:val="000000"/>
        </w:rPr>
        <w:t>and occasionally</w:t>
      </w:r>
      <w:r w:rsidR="00F16BBC" w:rsidRPr="00873C4C">
        <w:rPr>
          <w:color w:val="000000"/>
        </w:rPr>
        <w:t xml:space="preserve"> c</w:t>
      </w:r>
      <w:r w:rsidRPr="00873C4C">
        <w:rPr>
          <w:color w:val="000000"/>
        </w:rPr>
        <w:t>ast nephropathy and</w:t>
      </w:r>
      <w:r w:rsidR="00F16BBC" w:rsidRPr="00873C4C">
        <w:rPr>
          <w:color w:val="000000"/>
        </w:rPr>
        <w:t xml:space="preserve"> amyloidosis.  However, </w:t>
      </w:r>
      <w:r w:rsidR="001A3044">
        <w:rPr>
          <w:color w:val="000000"/>
        </w:rPr>
        <w:t xml:space="preserve">the </w:t>
      </w:r>
      <w:r w:rsidR="00F16BBC" w:rsidRPr="00873C4C">
        <w:rPr>
          <w:color w:val="000000"/>
        </w:rPr>
        <w:t>most common cause  are considered to be specifically related to monoclonal immunoglobulin light chains  deposition disease</w:t>
      </w:r>
      <w:r w:rsidRPr="00873C4C">
        <w:rPr>
          <w:color w:val="000000"/>
        </w:rPr>
        <w:t xml:space="preserve"> </w:t>
      </w:r>
      <w:r w:rsidRPr="00873C4C">
        <w:rPr>
          <w:color w:val="000000"/>
        </w:rPr>
        <w:fldChar w:fldCharType="begin"/>
      </w:r>
      <w:r w:rsidR="006F41FE">
        <w:rPr>
          <w:color w:val="000000"/>
        </w:rPr>
        <w:instrText xml:space="preserve"> ADDIN EN.CITE &lt;EndNote&gt;&lt;Cite&gt;&lt;Author&gt;Hiromura&lt;/Author&gt;&lt;Year&gt;2007&lt;/Year&gt;&lt;RecNum&gt;11&lt;/RecNum&gt;&lt;DisplayText&gt;(Hiromura and Nojima, 2007)&lt;/DisplayText&gt;&lt;record&gt;&lt;rec-number&gt;11&lt;/rec-number&gt;&lt;ref-type name="Journal Article"&gt;17&lt;/ref-type&gt;&lt;contributors&gt;&lt;authors&gt;&lt;author&gt;Hiromura, K.&lt;/author&gt;&lt;author&gt;Nojima, Y.&lt;/author&gt;&lt;/authors&gt;&lt;/contributors&gt;&lt;auth-address&gt;Department of Medicine and Clinical Science, Gunma University Graduate School of Medicine.&lt;/auth-address&gt;&lt;titles&gt;&lt;title&gt;[Renal disease in multiple myeloma]&lt;/title&gt;&lt;secondary-title&gt;Nippon Rinsho&lt;/secondary-title&gt;&lt;/titles&gt;&lt;periodical&gt;&lt;full-title&gt;Nippon Rinsho&lt;/full-title&gt;&lt;/periodical&gt;&lt;pages&gt;2229-34&lt;/pages&gt;&lt;volume&gt;65&lt;/volume&gt;&lt;number&gt;12&lt;/number&gt;&lt;keywords&gt;&lt;keyword&gt;Amyloidosis/diagnosis/etiology/physiopathology/therapy&lt;/keyword&gt;&lt;keyword&gt;Biological Markers/analysis&lt;/keyword&gt;&lt;keyword&gt;Combined Modality Therapy&lt;/keyword&gt;&lt;keyword&gt;Dexamethasone/administration &amp;amp; dosage&lt;/keyword&gt;&lt;keyword&gt;Hematopoietic Stem Cell Transplantation&lt;/keyword&gt;&lt;keyword&gt;Humans&lt;/keyword&gt;&lt;keyword&gt;Hypergammaglobulinemia/diagnosis/etiology/physiopathology/therapy&lt;/keyword&gt;&lt;keyword&gt;Immunoglobulin Light Chains&lt;/keyword&gt;&lt;keyword&gt;Kidney Diseases/diagnosis/*etiology/physiopathology/therapy&lt;/keyword&gt;&lt;keyword&gt;Melphalan/administration &amp;amp; dosage&lt;/keyword&gt;&lt;keyword&gt;Multiple Myeloma/*complications&lt;/keyword&gt;&lt;keyword&gt;Myeloma Proteins/analysis&lt;/keyword&gt;&lt;keyword&gt;Plasma Exchange&lt;/keyword&gt;&lt;keyword&gt;Prednisolone/administration &amp;amp; dosage&lt;/keyword&gt;&lt;/keywords&gt;&lt;dates&gt;&lt;year&gt;2007&lt;/year&gt;&lt;pub-dates&gt;&lt;date&gt;Dec&lt;/date&gt;&lt;/pub-dates&gt;&lt;/dates&gt;&lt;accession-num&gt;18069265&lt;/accession-num&gt;&lt;urls&gt;&lt;related-urls&gt;&lt;url&gt;http://www.ncbi.nlm.nih.gov/entrez/query.fcgi?cmd=Retrieve&amp;amp;db=PubMed&amp;amp;dopt=Citation&amp;amp;list_uids=18069265 &lt;/url&gt;&lt;/related-urls&gt;&lt;/urls&gt;&lt;/record&gt;&lt;/Cite&gt;&lt;/EndNote&gt;</w:instrText>
      </w:r>
      <w:r w:rsidRPr="00873C4C">
        <w:rPr>
          <w:color w:val="000000"/>
        </w:rPr>
        <w:fldChar w:fldCharType="separate"/>
      </w:r>
      <w:r w:rsidR="006F41FE">
        <w:rPr>
          <w:noProof/>
          <w:color w:val="000000"/>
        </w:rPr>
        <w:t>(</w:t>
      </w:r>
      <w:hyperlink w:anchor="_ENREF_176" w:tooltip="Hiromura, 2007 #11" w:history="1">
        <w:r w:rsidR="004A784D">
          <w:rPr>
            <w:noProof/>
            <w:color w:val="000000"/>
          </w:rPr>
          <w:t>Hiromura and Nojima, 2007</w:t>
        </w:r>
      </w:hyperlink>
      <w:r w:rsidR="006F41FE">
        <w:rPr>
          <w:noProof/>
          <w:color w:val="000000"/>
        </w:rPr>
        <w:t>)</w:t>
      </w:r>
      <w:r w:rsidRPr="00873C4C">
        <w:rPr>
          <w:color w:val="000000"/>
        </w:rPr>
        <w:fldChar w:fldCharType="end"/>
      </w:r>
      <w:r w:rsidRPr="00873C4C">
        <w:rPr>
          <w:color w:val="000000"/>
        </w:rPr>
        <w:t>.</w:t>
      </w:r>
      <w:r w:rsidR="00F16BBC" w:rsidRPr="00873C4C">
        <w:rPr>
          <w:color w:val="000000"/>
        </w:rPr>
        <w:t xml:space="preserve"> </w:t>
      </w:r>
      <w:r w:rsidR="001207D8" w:rsidRPr="00873C4C">
        <w:rPr>
          <w:color w:val="000000"/>
          <w:lang w:val="en-GB"/>
        </w:rPr>
        <w:t>Reversal of renal function can be achieved with chemotherapy and other anti</w:t>
      </w:r>
      <w:r w:rsidRPr="00873C4C">
        <w:rPr>
          <w:color w:val="000000"/>
          <w:lang w:val="en-GB"/>
        </w:rPr>
        <w:t>-</w:t>
      </w:r>
      <w:r w:rsidR="001207D8" w:rsidRPr="00873C4C">
        <w:rPr>
          <w:color w:val="000000"/>
          <w:lang w:val="en-GB"/>
        </w:rPr>
        <w:t>myeloma novel agents</w:t>
      </w:r>
      <w:r w:rsidRPr="00873C4C">
        <w:rPr>
          <w:color w:val="000000"/>
          <w:lang w:val="en-GB"/>
        </w:rPr>
        <w:t xml:space="preserve"> </w:t>
      </w:r>
      <w:r w:rsidR="003E5573" w:rsidRPr="00873C4C">
        <w:rPr>
          <w:color w:val="000000"/>
        </w:rPr>
        <w:fldChar w:fldCharType="begin">
          <w:fldData xml:space="preserve">PEVuZE5vdGU+PENpdGU+PEF1dGhvcj5QaW5lZGEtUm9tYW48L0F1dGhvcj48WWVhcj4yMDA3PC9Z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</w:fldData>
        </w:fldChar>
      </w:r>
      <w:r w:rsidR="006F41FE">
        <w:rPr>
          <w:color w:val="000000"/>
        </w:rPr>
        <w:instrText xml:space="preserve"> ADDIN EN.CITE </w:instrText>
      </w:r>
      <w:r w:rsidR="006F41FE">
        <w:rPr>
          <w:color w:val="000000"/>
        </w:rPr>
        <w:fldChar w:fldCharType="begin">
          <w:fldData xml:space="preserve">PEVuZE5vdGU+PENpdGU+PEF1dGhvcj5QaW5lZGEtUm9tYW48L0F1dGhvcj48WWVhcj4yMDA3PC9Z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</w:fldData>
        </w:fldChar>
      </w:r>
      <w:r w:rsidR="006F41FE">
        <w:rPr>
          <w:color w:val="000000"/>
        </w:rPr>
        <w:instrText xml:space="preserve"> ADDIN EN.CITE.DATA </w:instrText>
      </w:r>
      <w:r w:rsidR="006F41FE">
        <w:rPr>
          <w:color w:val="000000"/>
        </w:rPr>
      </w:r>
      <w:r w:rsidR="006F41FE">
        <w:rPr>
          <w:color w:val="000000"/>
        </w:rPr>
        <w:fldChar w:fldCharType="end"/>
      </w:r>
      <w:r w:rsidR="003E5573" w:rsidRPr="00873C4C">
        <w:rPr>
          <w:color w:val="000000"/>
        </w:rPr>
      </w:r>
      <w:r w:rsidR="003E5573" w:rsidRPr="00873C4C">
        <w:rPr>
          <w:color w:val="000000"/>
        </w:rPr>
        <w:fldChar w:fldCharType="separate"/>
      </w:r>
      <w:r w:rsidR="006F41FE">
        <w:rPr>
          <w:noProof/>
          <w:color w:val="000000"/>
        </w:rPr>
        <w:t>(</w:t>
      </w:r>
      <w:hyperlink w:anchor="_ENREF_323" w:tooltip="Pineda-Roman, 2007 #3577" w:history="1">
        <w:r w:rsidR="004A784D">
          <w:rPr>
            <w:noProof/>
            <w:color w:val="000000"/>
          </w:rPr>
          <w:t>Pineda-Roman and Tricot, 2007</w:t>
        </w:r>
      </w:hyperlink>
      <w:r w:rsidR="006F41FE">
        <w:rPr>
          <w:noProof/>
          <w:color w:val="000000"/>
        </w:rPr>
        <w:t xml:space="preserve">, </w:t>
      </w:r>
      <w:hyperlink w:anchor="_ENREF_176" w:tooltip="Hiromura, 2007 #11" w:history="1">
        <w:r w:rsidR="004A784D">
          <w:rPr>
            <w:noProof/>
            <w:color w:val="000000"/>
          </w:rPr>
          <w:t>Hiromura and Nojima, 2007</w:t>
        </w:r>
      </w:hyperlink>
      <w:r w:rsidR="006F41FE">
        <w:rPr>
          <w:noProof/>
          <w:color w:val="000000"/>
        </w:rPr>
        <w:t>)</w:t>
      </w:r>
      <w:r w:rsidR="003E5573" w:rsidRPr="00873C4C">
        <w:rPr>
          <w:color w:val="000000"/>
        </w:rPr>
        <w:fldChar w:fldCharType="end"/>
      </w:r>
      <w:r w:rsidRPr="00873C4C">
        <w:rPr>
          <w:color w:val="000000"/>
        </w:rPr>
        <w:t>.</w:t>
      </w:r>
    </w:p>
    <w:p w:rsidR="002A7FED" w:rsidRPr="00873C4C" w:rsidRDefault="00D04DFC" w:rsidP="00057B42">
      <w:pPr>
        <w:pStyle w:val="Heading5"/>
        <w:spacing w:line="360" w:lineRule="auto"/>
      </w:pPr>
      <w:r w:rsidRPr="00873C4C">
        <w:tab/>
      </w:r>
      <w:bookmarkStart w:id="87" w:name="_Toc305759099"/>
      <w:r w:rsidR="0092498C" w:rsidRPr="00873C4C">
        <w:tab/>
      </w:r>
      <w:r w:rsidR="002A7FED" w:rsidRPr="00873C4C">
        <w:t>Recurrent or persistent bacterial infection</w:t>
      </w:r>
      <w:bookmarkEnd w:id="87"/>
    </w:p>
    <w:p w:rsidR="00BC342C" w:rsidRDefault="002A7FED" w:rsidP="00B832D8">
      <w:pPr>
        <w:spacing w:before="240" w:line="360" w:lineRule="auto"/>
        <w:jc w:val="both"/>
        <w:rPr>
          <w:color w:val="000000"/>
        </w:rPr>
      </w:pPr>
      <w:r w:rsidRPr="00873C4C">
        <w:rPr>
          <w:color w:val="000000"/>
          <w:lang w:val="en-GB"/>
        </w:rPr>
        <w:t xml:space="preserve">The predisposition to infections is </w:t>
      </w:r>
      <w:r w:rsidR="00AE675C" w:rsidRPr="00873C4C">
        <w:rPr>
          <w:color w:val="000000"/>
          <w:lang w:val="en-GB"/>
        </w:rPr>
        <w:t xml:space="preserve">one of </w:t>
      </w:r>
      <w:r w:rsidRPr="00873C4C">
        <w:rPr>
          <w:color w:val="000000"/>
          <w:lang w:val="en-GB"/>
        </w:rPr>
        <w:t xml:space="preserve">most characteristic feature of </w:t>
      </w:r>
      <w:r w:rsidR="00AE675C" w:rsidRPr="00873C4C">
        <w:rPr>
          <w:color w:val="000000"/>
          <w:lang w:val="en-GB"/>
        </w:rPr>
        <w:t>MM</w:t>
      </w:r>
      <w:r w:rsidRPr="00873C4C">
        <w:rPr>
          <w:color w:val="000000"/>
          <w:lang w:val="en-GB"/>
        </w:rPr>
        <w:t xml:space="preserve"> patients. The mechanisms responsible for infection</w:t>
      </w:r>
      <w:r w:rsidR="00AE675C" w:rsidRPr="00873C4C">
        <w:rPr>
          <w:color w:val="000000"/>
          <w:lang w:val="en-GB"/>
        </w:rPr>
        <w:t xml:space="preserve"> </w:t>
      </w:r>
      <w:r w:rsidRPr="00873C4C">
        <w:rPr>
          <w:color w:val="000000"/>
          <w:lang w:val="en-GB"/>
        </w:rPr>
        <w:t xml:space="preserve">susceptibility are </w:t>
      </w:r>
      <w:r w:rsidR="00AE675C" w:rsidRPr="00873C4C">
        <w:rPr>
          <w:color w:val="000000"/>
          <w:lang w:val="en-GB"/>
        </w:rPr>
        <w:t>variable</w:t>
      </w:r>
      <w:r w:rsidRPr="00873C4C">
        <w:rPr>
          <w:color w:val="000000"/>
          <w:lang w:val="en-GB"/>
        </w:rPr>
        <w:t>. The presence of active myeloma</w:t>
      </w:r>
      <w:r w:rsidR="00AE675C" w:rsidRPr="00873C4C">
        <w:rPr>
          <w:color w:val="000000"/>
          <w:lang w:val="en-GB"/>
        </w:rPr>
        <w:t xml:space="preserve"> </w:t>
      </w:r>
      <w:r w:rsidRPr="00873C4C">
        <w:rPr>
          <w:color w:val="000000"/>
          <w:lang w:val="en-GB"/>
        </w:rPr>
        <w:t>in the bone marrow results in impairment of normal immune</w:t>
      </w:r>
      <w:r w:rsidR="00AE675C" w:rsidRPr="00873C4C">
        <w:rPr>
          <w:color w:val="000000"/>
          <w:lang w:val="en-GB"/>
        </w:rPr>
        <w:t xml:space="preserve"> </w:t>
      </w:r>
      <w:r w:rsidRPr="00873C4C">
        <w:rPr>
          <w:color w:val="000000"/>
          <w:lang w:val="en-GB"/>
        </w:rPr>
        <w:t xml:space="preserve">function, </w:t>
      </w:r>
      <w:r w:rsidR="00BC59FA" w:rsidRPr="00873C4C">
        <w:rPr>
          <w:color w:val="000000"/>
          <w:lang w:val="en-GB"/>
        </w:rPr>
        <w:t xml:space="preserve">by reducing </w:t>
      </w:r>
      <w:r w:rsidRPr="00873C4C">
        <w:rPr>
          <w:color w:val="000000"/>
          <w:lang w:val="en-GB"/>
        </w:rPr>
        <w:t>normal antibody production (hypogammaglobulinemia),</w:t>
      </w:r>
      <w:r w:rsidR="00AE675C" w:rsidRPr="00873C4C">
        <w:rPr>
          <w:color w:val="000000"/>
          <w:lang w:val="en-GB"/>
        </w:rPr>
        <w:t xml:space="preserve"> impaired lymphocyte function, </w:t>
      </w:r>
      <w:r w:rsidRPr="00873C4C">
        <w:rPr>
          <w:color w:val="000000"/>
          <w:lang w:val="en-GB"/>
        </w:rPr>
        <w:t>activated</w:t>
      </w:r>
      <w:r w:rsidR="00AE675C" w:rsidRPr="00873C4C">
        <w:rPr>
          <w:color w:val="000000"/>
          <w:lang w:val="en-GB"/>
        </w:rPr>
        <w:t xml:space="preserve"> </w:t>
      </w:r>
      <w:r w:rsidRPr="00873C4C">
        <w:rPr>
          <w:color w:val="000000"/>
          <w:lang w:val="en-GB"/>
        </w:rPr>
        <w:t>but aberrant macrophage function</w:t>
      </w:r>
      <w:r w:rsidR="00AE675C" w:rsidRPr="00873C4C">
        <w:rPr>
          <w:color w:val="000000"/>
          <w:lang w:val="en-GB"/>
        </w:rPr>
        <w:t xml:space="preserve"> and </w:t>
      </w:r>
      <w:r w:rsidR="00676041" w:rsidRPr="00873C4C">
        <w:rPr>
          <w:color w:val="000000"/>
          <w:lang w:val="en-GB"/>
        </w:rPr>
        <w:t>leucopoenia</w:t>
      </w:r>
      <w:r w:rsidRPr="00873C4C">
        <w:rPr>
          <w:color w:val="000000"/>
          <w:lang w:val="en-GB"/>
        </w:rPr>
        <w:t xml:space="preserve">. </w:t>
      </w:r>
      <w:r w:rsidR="00AE675C" w:rsidRPr="00873C4C">
        <w:rPr>
          <w:color w:val="000000"/>
        </w:rPr>
        <w:t>The abnormal immunity and leucopoenia may lead to a severe infection. The Pneumococcal organisms are most commonly involved, but shingles (herpes zoster), Haemophilus infections and Meningitis (especially that resulting from pneumococcal or meningococcal infection) are also common</w:t>
      </w:r>
      <w:r w:rsidR="00BC59FA" w:rsidRPr="00873C4C">
        <w:rPr>
          <w:color w:val="000000"/>
        </w:rPr>
        <w:t xml:space="preserve"> </w:t>
      </w:r>
      <w:r w:rsidR="003E5573" w:rsidRPr="00873C4C">
        <w:rPr>
          <w:color w:val="000000"/>
        </w:rPr>
        <w:fldChar w:fldCharType="begin"/>
      </w:r>
      <w:r w:rsidR="00857D49">
        <w:rPr>
          <w:color w:val="000000"/>
        </w:rPr>
        <w:instrText xml:space="preserve"> ADDIN EN.CITE &lt;EndNote&gt;&lt;Cite&gt;&lt;Author&gt;Hou&lt;/Author&gt;&lt;Year&gt;2009&lt;/Year&gt;&lt;RecNum&gt;6736&lt;/RecNum&gt;&lt;DisplayText&gt;(Hou, 2009)&lt;/DisplayText&gt;&lt;record&gt;&lt;rec-number&gt;6736&lt;/rec-number&gt;&lt;foreign-keys&gt;&lt;key app="EN" db-id="zf0awxsaczrdd3eft5qvw9wrtxxawdfrvw2a"&gt;6736&lt;/key&gt;&lt;/foreign-keys&gt;&lt;ref-type name="Journal Article"&gt;17&lt;/ref-type&gt;&lt;contributors&gt;&lt;authors&gt;&lt;author&gt;Hou, J.&lt;/author&gt;&lt;/authors&gt;&lt;/contributors&gt;&lt;auth-address&gt;Changzheng Hospital, The Second Military Medical University, Shanghai 200003, China. houjian167@sohu.com&lt;/auth-address&gt;&lt;titles&gt;&lt;title&gt;[Diagnosis and treatment in complication of multiple myeloma]&lt;/title&gt;&lt;secondary-title&gt;Zhejiang Da Xue Xue Bao Yi Xue Ban&lt;/secondary-title&gt;&lt;/titles&gt;&lt;periodical&gt;&lt;full-title&gt;Zhejiang Da Xue Xue Bao Yi Xue Ban&lt;/full-title&gt;&lt;/periodical&gt;&lt;pages&gt;437-8&lt;/pages&gt;&lt;volume&gt;38&lt;/volume&gt;&lt;number&gt;5&lt;/number&gt;&lt;edition&gt;2009/10/16&lt;/edition&gt;&lt;keywords&gt;&lt;keyword&gt;Anemia/diagnosis/etiology/*therapy&lt;/keyword&gt;&lt;keyword&gt;Humans&lt;/keyword&gt;&lt;keyword&gt;Multiple Myeloma/*complications&lt;/keyword&gt;&lt;keyword&gt;Renal Insufficiency/diagnosis/etiology/*therapy&lt;/keyword&gt;&lt;/keywords&gt;&lt;dates&gt;&lt;year&gt;2009&lt;/year&gt;&lt;pub-dates&gt;&lt;date&gt;Sep&lt;/date&gt;&lt;/pub-dates&gt;&lt;/dates&gt;&lt;isbn&gt;1008-9292 (Print)&amp;#xD;1008-9292 (Linking)&lt;/isbn&gt;&lt;accession-num&gt;19830853&lt;/accession-num&gt;&lt;urls&gt;&lt;related-urls&gt;&lt;url&gt;http://www.ncbi.nlm.nih.gov/pubmed/19830853&lt;/url&gt;&lt;/related-urls&gt;&lt;/urls&gt;&lt;language&gt;chi&lt;/language&gt;&lt;/record&gt;&lt;/Cite&gt;&lt;/EndNote&gt;</w:instrText>
      </w:r>
      <w:r w:rsidR="003E5573" w:rsidRPr="00873C4C">
        <w:rPr>
          <w:color w:val="000000"/>
        </w:rPr>
        <w:fldChar w:fldCharType="separate"/>
      </w:r>
      <w:r w:rsidR="006F41FE">
        <w:rPr>
          <w:noProof/>
          <w:color w:val="000000"/>
        </w:rPr>
        <w:t>(</w:t>
      </w:r>
      <w:hyperlink w:anchor="_ENREF_181" w:tooltip="Hou, 2009 #6736" w:history="1">
        <w:r w:rsidR="004A784D">
          <w:rPr>
            <w:noProof/>
            <w:color w:val="000000"/>
          </w:rPr>
          <w:t>Hou, 2009</w:t>
        </w:r>
      </w:hyperlink>
      <w:r w:rsidR="006F41FE">
        <w:rPr>
          <w:noProof/>
          <w:color w:val="000000"/>
        </w:rPr>
        <w:t>)</w:t>
      </w:r>
      <w:r w:rsidR="003E5573" w:rsidRPr="00873C4C">
        <w:rPr>
          <w:color w:val="000000"/>
        </w:rPr>
        <w:fldChar w:fldCharType="end"/>
      </w:r>
      <w:r w:rsidR="003E5573" w:rsidRPr="00873C4C">
        <w:rPr>
          <w:color w:val="000000"/>
        </w:rPr>
        <w:t>.</w:t>
      </w:r>
    </w:p>
    <w:p w:rsidR="00267DBF" w:rsidRPr="00873C4C" w:rsidRDefault="00267DBF" w:rsidP="00057B42">
      <w:pPr>
        <w:spacing w:line="360" w:lineRule="auto"/>
        <w:jc w:val="both"/>
        <w:rPr>
          <w:color w:val="000000"/>
        </w:rPr>
      </w:pPr>
    </w:p>
    <w:p w:rsidR="00733742" w:rsidRPr="00873C4C" w:rsidRDefault="00C27CB8" w:rsidP="00057B42">
      <w:pPr>
        <w:pStyle w:val="Heading5"/>
        <w:spacing w:line="360" w:lineRule="auto"/>
      </w:pPr>
      <w:r w:rsidRPr="00873C4C">
        <w:tab/>
      </w:r>
      <w:bookmarkStart w:id="88" w:name="_Toc305759100"/>
      <w:r w:rsidR="0092498C" w:rsidRPr="00873C4C">
        <w:tab/>
      </w:r>
      <w:r w:rsidR="00733742" w:rsidRPr="00873C4C">
        <w:t>Neurologic findings</w:t>
      </w:r>
      <w:bookmarkEnd w:id="88"/>
      <w:r w:rsidR="00BC342C" w:rsidRPr="00873C4C">
        <w:t xml:space="preserve"> </w:t>
      </w:r>
    </w:p>
    <w:p w:rsidR="00267DBF" w:rsidRDefault="00326AE0" w:rsidP="002058EA">
      <w:pPr>
        <w:spacing w:before="240" w:line="360" w:lineRule="auto"/>
        <w:jc w:val="both"/>
        <w:rPr>
          <w:color w:val="000000"/>
          <w:lang w:val="en-GB"/>
        </w:rPr>
      </w:pPr>
      <w:r w:rsidRPr="00873C4C">
        <w:rPr>
          <w:color w:val="000000"/>
        </w:rPr>
        <w:t xml:space="preserve">Symptomatic neuropathy is reported in up to 50% of MM patients. </w:t>
      </w:r>
      <w:r w:rsidR="00733742" w:rsidRPr="00873C4C">
        <w:rPr>
          <w:color w:val="000000"/>
          <w:lang w:val="en-GB"/>
        </w:rPr>
        <w:t>Nerve tissue is often affected in MM patients either by the direct antibody effects of myeloma proteins against nerves (e.g. myelin sheaths) or deposition of amyloid fibrils</w:t>
      </w:r>
      <w:r w:rsidRPr="00873C4C">
        <w:rPr>
          <w:color w:val="000000"/>
          <w:lang w:val="en-GB"/>
        </w:rPr>
        <w:t xml:space="preserve"> </w:t>
      </w:r>
      <w:r w:rsidR="00733742" w:rsidRPr="00873C4C">
        <w:rPr>
          <w:color w:val="000000"/>
          <w:lang w:val="en-GB"/>
        </w:rPr>
        <w:t>on nerves, thus impairing function.</w:t>
      </w:r>
      <w:r w:rsidR="00CC63BE" w:rsidRPr="00873C4C">
        <w:rPr>
          <w:color w:val="000000"/>
          <w:lang w:val="en-GB"/>
        </w:rPr>
        <w:t xml:space="preserve"> Patients may present with peripheral neuropathies, a sensory level change, weakness, and carpal tunnel syndrome. </w:t>
      </w:r>
      <w:r w:rsidR="00733742" w:rsidRPr="00873C4C">
        <w:rPr>
          <w:color w:val="000000"/>
          <w:lang w:val="en-GB"/>
        </w:rPr>
        <w:t>Because of the susceptibility to infection, viral infections of nerve tissue are quite common, most particularly varicella zoster (shingles) and Bell’s palsy (partial facial paralysis).</w:t>
      </w:r>
      <w:r w:rsidR="008040BE" w:rsidRPr="00873C4C">
        <w:rPr>
          <w:color w:val="000000"/>
          <w:lang w:val="en-GB"/>
        </w:rPr>
        <w:t xml:space="preserve"> </w:t>
      </w:r>
      <w:r w:rsidR="007E0F2A" w:rsidRPr="00873C4C">
        <w:rPr>
          <w:color w:val="000000"/>
          <w:lang w:val="en-GB"/>
        </w:rPr>
        <w:fldChar w:fldCharType="begin">
          <w:fldData xml:space="preserve">PEVuZE5vdGU+PENpdGU+PEF1dGhvcj5EaXNwZW56aWVyaTwvQXV0aG9yPjxZZWFyPjIwMDU8L1ll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</w:fldData>
        </w:fldChar>
      </w:r>
      <w:r w:rsidR="006F41FE">
        <w:rPr>
          <w:color w:val="000000"/>
          <w:lang w:val="en-GB"/>
        </w:rPr>
        <w:instrText xml:space="preserve"> ADDIN EN.CITE </w:instrText>
      </w:r>
      <w:r w:rsidR="006F41FE">
        <w:rPr>
          <w:color w:val="000000"/>
          <w:lang w:val="en-GB"/>
        </w:rPr>
        <w:fldChar w:fldCharType="begin">
          <w:fldData xml:space="preserve">PEVuZE5vdGU+PENpdGU+PEF1dGhvcj5EaXNwZW56aWVyaTwvQXV0aG9yPjxZZWFyPjIwMDU8L1ll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</w:fldData>
        </w:fldChar>
      </w:r>
      <w:r w:rsidR="006F41FE">
        <w:rPr>
          <w:color w:val="000000"/>
          <w:lang w:val="en-GB"/>
        </w:rPr>
        <w:instrText xml:space="preserve"> ADDIN EN.CITE.DATA </w:instrText>
      </w:r>
      <w:r w:rsidR="006F41FE">
        <w:rPr>
          <w:color w:val="000000"/>
          <w:lang w:val="en-GB"/>
        </w:rPr>
      </w:r>
      <w:r w:rsidR="006F41FE">
        <w:rPr>
          <w:color w:val="000000"/>
          <w:lang w:val="en-GB"/>
        </w:rPr>
        <w:fldChar w:fldCharType="end"/>
      </w:r>
      <w:r w:rsidR="007E0F2A" w:rsidRPr="00873C4C">
        <w:rPr>
          <w:color w:val="000000"/>
          <w:lang w:val="en-GB"/>
        </w:rPr>
      </w:r>
      <w:r w:rsidR="007E0F2A" w:rsidRPr="00873C4C">
        <w:rPr>
          <w:color w:val="000000"/>
          <w:lang w:val="en-GB"/>
        </w:rPr>
        <w:fldChar w:fldCharType="separate"/>
      </w:r>
      <w:r w:rsidR="006F41FE">
        <w:rPr>
          <w:noProof/>
          <w:color w:val="000000"/>
          <w:lang w:val="en-GB"/>
        </w:rPr>
        <w:t>(</w:t>
      </w:r>
      <w:hyperlink w:anchor="_ENREF_104" w:tooltip="Dispenzieri, 2005 #2" w:history="1">
        <w:r w:rsidR="004A784D">
          <w:rPr>
            <w:noProof/>
            <w:color w:val="000000"/>
            <w:lang w:val="en-GB"/>
          </w:rPr>
          <w:t>Dispenzieri and Kyle, 2005</w:t>
        </w:r>
      </w:hyperlink>
      <w:r w:rsidR="006F41FE">
        <w:rPr>
          <w:noProof/>
          <w:color w:val="000000"/>
          <w:lang w:val="en-GB"/>
        </w:rPr>
        <w:t xml:space="preserve">, </w:t>
      </w:r>
      <w:hyperlink w:anchor="_ENREF_94" w:tooltip="Decaux, 2009 #1" w:history="1">
        <w:r w:rsidR="004A784D">
          <w:rPr>
            <w:noProof/>
            <w:color w:val="000000"/>
            <w:lang w:val="en-GB"/>
          </w:rPr>
          <w:t>Decaux et al., 2009</w:t>
        </w:r>
      </w:hyperlink>
      <w:r w:rsidR="006F41FE">
        <w:rPr>
          <w:noProof/>
          <w:color w:val="000000"/>
          <w:lang w:val="en-GB"/>
        </w:rPr>
        <w:t>)</w:t>
      </w:r>
      <w:r w:rsidR="007E0F2A" w:rsidRPr="00873C4C">
        <w:rPr>
          <w:color w:val="000000"/>
          <w:lang w:val="en-GB"/>
        </w:rPr>
        <w:fldChar w:fldCharType="end"/>
      </w:r>
      <w:r w:rsidR="00C32EB1">
        <w:rPr>
          <w:color w:val="000000"/>
          <w:lang w:val="en-GB"/>
        </w:rPr>
        <w:t>.</w:t>
      </w:r>
    </w:p>
    <w:p w:rsidR="002058EA" w:rsidRDefault="002058EA" w:rsidP="002058EA">
      <w:pPr>
        <w:spacing w:before="240" w:line="360" w:lineRule="auto"/>
        <w:jc w:val="both"/>
        <w:rPr>
          <w:color w:val="000000"/>
          <w:lang w:val="en-GB"/>
        </w:rPr>
      </w:pPr>
    </w:p>
    <w:p w:rsidR="002058EA" w:rsidRPr="00873C4C" w:rsidRDefault="002058EA" w:rsidP="002058EA">
      <w:pPr>
        <w:spacing w:before="240" w:line="360" w:lineRule="auto"/>
        <w:jc w:val="both"/>
        <w:rPr>
          <w:color w:val="000000"/>
          <w:lang w:val="en-GB"/>
        </w:rPr>
      </w:pPr>
    </w:p>
    <w:p w:rsidR="00326AE0" w:rsidRPr="00873C4C" w:rsidRDefault="0092498C" w:rsidP="00057B42">
      <w:pPr>
        <w:pStyle w:val="Heading5"/>
        <w:spacing w:line="360" w:lineRule="auto"/>
        <w:rPr>
          <w:lang w:val="en-GB"/>
        </w:rPr>
      </w:pPr>
      <w:r w:rsidRPr="00873C4C">
        <w:lastRenderedPageBreak/>
        <w:tab/>
      </w:r>
      <w:r w:rsidR="00C27CB8" w:rsidRPr="00873C4C">
        <w:tab/>
      </w:r>
      <w:bookmarkStart w:id="89" w:name="_Toc305759101"/>
      <w:r w:rsidR="00326AE0" w:rsidRPr="00873C4C">
        <w:t>Hyperviscosity</w:t>
      </w:r>
      <w:bookmarkEnd w:id="89"/>
      <w:r w:rsidR="00BC342C" w:rsidRPr="00873C4C">
        <w:t xml:space="preserve"> </w:t>
      </w:r>
    </w:p>
    <w:p w:rsidR="008040BE" w:rsidRPr="00873C4C" w:rsidRDefault="008040BE" w:rsidP="001A3044">
      <w:pPr>
        <w:spacing w:before="240" w:line="360" w:lineRule="auto"/>
        <w:jc w:val="both"/>
        <w:rPr>
          <w:color w:val="000000"/>
        </w:rPr>
      </w:pPr>
      <w:r w:rsidRPr="00873C4C">
        <w:rPr>
          <w:color w:val="000000"/>
        </w:rPr>
        <w:t xml:space="preserve">The presence of excessive monoclonal immunoglobulin can increase plasma viscosity     and is the most common cause of hyperviscosity syndrome. Monoclonal hypergammaglobulinemia resulting in hyperviscosity syndrome is seen in multiple myeloma and </w:t>
      </w:r>
      <w:r w:rsidR="00676041" w:rsidRPr="00873C4C">
        <w:rPr>
          <w:color w:val="000000"/>
        </w:rPr>
        <w:t>Waldenstrom’s</w:t>
      </w:r>
      <w:r w:rsidRPr="00873C4C">
        <w:rPr>
          <w:color w:val="000000"/>
        </w:rPr>
        <w:t xml:space="preserve"> macroglobulinemia</w:t>
      </w:r>
      <w:r w:rsidR="004127C4" w:rsidRPr="00873C4C">
        <w:rPr>
          <w:color w:val="000000"/>
        </w:rPr>
        <w:t xml:space="preserve"> (WM)</w:t>
      </w:r>
      <w:r w:rsidRPr="00873C4C">
        <w:rPr>
          <w:color w:val="000000"/>
        </w:rPr>
        <w:t xml:space="preserve">. The reasons for elevated viscosity are increased protein content and large molecular size, abnormal polymerization, and abnormal shape of immunoglobulin molecules. Symptomatic hyperviscosity is much more common in </w:t>
      </w:r>
      <w:r w:rsidR="004127C4" w:rsidRPr="00873C4C">
        <w:rPr>
          <w:color w:val="000000"/>
        </w:rPr>
        <w:t>WM</w:t>
      </w:r>
      <w:r w:rsidRPr="00873C4C">
        <w:rPr>
          <w:color w:val="000000"/>
        </w:rPr>
        <w:t xml:space="preserve"> (10 to 30%) than it is in MM (2 to 6%). Patients may present with headaches, somnolence, easy bruising, epistaxis and hazy vision. Occasionally patients present with complication such as stroke, myocardial ischemia, or infarction. These symptoms are more common when the serum viscosity is greater than 4 times that of normal serum</w:t>
      </w:r>
      <w:r w:rsidR="00BC342C" w:rsidRPr="00873C4C">
        <w:rPr>
          <w:color w:val="000000"/>
        </w:rPr>
        <w:t>.</w:t>
      </w:r>
      <w:r w:rsidR="00A81148" w:rsidRPr="00873C4C">
        <w:rPr>
          <w:color w:val="000000"/>
        </w:rPr>
        <w:t xml:space="preserve"> </w:t>
      </w:r>
    </w:p>
    <w:p w:rsidR="003215E1" w:rsidRDefault="003215E1" w:rsidP="00057B42">
      <w:pPr>
        <w:spacing w:line="360" w:lineRule="auto"/>
        <w:jc w:val="both"/>
        <w:rPr>
          <w:color w:val="000000"/>
        </w:rPr>
      </w:pPr>
      <w:r w:rsidRPr="00873C4C">
        <w:rPr>
          <w:color w:val="000000"/>
        </w:rPr>
        <w:t xml:space="preserve">Amyloidosis may develop in some patients with </w:t>
      </w:r>
      <w:r w:rsidR="00BC59FA" w:rsidRPr="00873C4C">
        <w:rPr>
          <w:color w:val="000000"/>
        </w:rPr>
        <w:t>MM</w:t>
      </w:r>
      <w:r w:rsidRPr="00873C4C">
        <w:rPr>
          <w:color w:val="000000"/>
        </w:rPr>
        <w:t xml:space="preserve">. The characteristic physical examination findings are related to malfunction or failure of organs or structures infiltrated by amyloid deposits. Sign and Symptom of amyloidosis include, </w:t>
      </w:r>
      <w:r w:rsidR="00BC59FA" w:rsidRPr="00873C4C">
        <w:rPr>
          <w:color w:val="000000"/>
        </w:rPr>
        <w:t>enlarged tongue (</w:t>
      </w:r>
      <w:r w:rsidRPr="00873C4C">
        <w:rPr>
          <w:color w:val="000000"/>
        </w:rPr>
        <w:t>Macroglossia</w:t>
      </w:r>
      <w:r w:rsidR="00BC59FA" w:rsidRPr="00873C4C">
        <w:rPr>
          <w:color w:val="000000"/>
        </w:rPr>
        <w:t>)</w:t>
      </w:r>
      <w:r w:rsidRPr="00873C4C">
        <w:rPr>
          <w:color w:val="000000"/>
        </w:rPr>
        <w:t>, bilateral swelling of the shoulder jo</w:t>
      </w:r>
      <w:r w:rsidR="00BC59FA" w:rsidRPr="00873C4C">
        <w:rPr>
          <w:color w:val="000000"/>
        </w:rPr>
        <w:t>ints (shoulder pad sign), purpuric skin rash</w:t>
      </w:r>
      <w:r w:rsidRPr="00873C4C">
        <w:rPr>
          <w:color w:val="000000"/>
        </w:rPr>
        <w:t xml:space="preserve"> and subcutaneous nodules</w:t>
      </w:r>
      <w:r w:rsidR="001207D8" w:rsidRPr="00873C4C">
        <w:rPr>
          <w:color w:val="000000"/>
        </w:rPr>
        <w:t xml:space="preserve"> </w:t>
      </w:r>
      <w:r w:rsidR="001207D8" w:rsidRPr="00873C4C">
        <w:rPr>
          <w:color w:val="000000"/>
        </w:rPr>
        <w:fldChar w:fldCharType="begin"/>
      </w:r>
      <w:r w:rsidR="006F41FE">
        <w:rPr>
          <w:color w:val="000000"/>
        </w:rPr>
        <w:instrText xml:space="preserve"> ADDIN EN.CITE &lt;EndNote&gt;&lt;Cite&gt;&lt;Author&gt;Tanasilovic&lt;/Author&gt;&lt;Year&gt;2007&lt;/Year&gt;&lt;RecNum&gt;8&lt;/RecNum&gt;&lt;DisplayText&gt;(Tanasilovic et al., 2007)&lt;/DisplayText&gt;&lt;record&gt;&lt;rec-number&gt;8&lt;/rec-number&gt;&lt;ref-type name="Journal Article"&gt;17&lt;/ref-type&gt;&lt;contributors&gt;&lt;authors&gt;&lt;author&gt;Tanasilovic, S.&lt;/author&gt;&lt;author&gt;Zivanovic, D.&lt;/author&gt;&lt;author&gt;Nikolic, M.&lt;/author&gt;&lt;author&gt;Tomovic, M.&lt;/author&gt;&lt;author&gt;Elezovic, I.&lt;/author&gt;&lt;author&gt;Medenica, L.&lt;/author&gt;&lt;/authors&gt;&lt;/contributors&gt;&lt;auth-address&gt;Klinicki centar Srbije, Institut za dermatovenerologiju, Beograd. drtanas@mail.com&lt;/auth-address&gt;&lt;titles&gt;&lt;title&gt;[Primary systemic amyloidosis]&lt;/title&gt;&lt;secondary-title&gt;Vojnosanit Pregl&lt;/secondary-title&gt;&lt;/titles&gt;&lt;periodical&gt;&lt;full-title&gt;Vojnosanit Pregl&lt;/full-title&gt;&lt;/periodical&gt;&lt;pages&gt;859-62&lt;/pages&gt;&lt;volume&gt;64&lt;/volume&gt;&lt;number&gt;12&lt;/number&gt;&lt;keywords&gt;&lt;keyword&gt;Aged&lt;/keyword&gt;&lt;keyword&gt;Amyloidosis/*diagnosis/pathology&lt;/keyword&gt;&lt;keyword&gt;Humans&lt;/keyword&gt;&lt;keyword&gt;Male&lt;/keyword&gt;&lt;/keywords&gt;&lt;dates&gt;&lt;year&gt;2007&lt;/year&gt;&lt;pub-dates&gt;&lt;date&gt;Dec&lt;/date&gt;&lt;/pub-dates&gt;&lt;/dates&gt;&lt;accession-num&gt;18357912&lt;/accession-num&gt;&lt;urls&gt;&lt;related-urls&gt;&lt;url&gt;http://www.ncbi.nlm.nih.gov/entrez/query.fcgi?cmd=Retrieve&amp;amp;db=PubMed&amp;amp;dopt=Citation&amp;amp;list_uids=18357912 &lt;/url&gt;&lt;/related-urls&gt;&lt;/urls&gt;&lt;/record&gt;&lt;/Cite&gt;&lt;/EndNote&gt;</w:instrText>
      </w:r>
      <w:r w:rsidR="001207D8" w:rsidRPr="00873C4C">
        <w:rPr>
          <w:color w:val="000000"/>
        </w:rPr>
        <w:fldChar w:fldCharType="separate"/>
      </w:r>
      <w:r w:rsidR="006F41FE">
        <w:rPr>
          <w:noProof/>
          <w:color w:val="000000"/>
        </w:rPr>
        <w:t>(</w:t>
      </w:r>
      <w:hyperlink w:anchor="_ENREF_410" w:tooltip="Tanasilovic, 2007 #8" w:history="1">
        <w:r w:rsidR="004A784D">
          <w:rPr>
            <w:noProof/>
            <w:color w:val="000000"/>
          </w:rPr>
          <w:t>Tanasilovic et al., 2007</w:t>
        </w:r>
      </w:hyperlink>
      <w:r w:rsidR="006F41FE">
        <w:rPr>
          <w:noProof/>
          <w:color w:val="000000"/>
        </w:rPr>
        <w:t>)</w:t>
      </w:r>
      <w:r w:rsidR="001207D8" w:rsidRPr="00873C4C">
        <w:rPr>
          <w:color w:val="000000"/>
        </w:rPr>
        <w:fldChar w:fldCharType="end"/>
      </w:r>
      <w:r w:rsidRPr="00873C4C">
        <w:rPr>
          <w:color w:val="000000"/>
        </w:rPr>
        <w:t>.</w:t>
      </w:r>
    </w:p>
    <w:p w:rsidR="00E33E35" w:rsidRPr="00873C4C" w:rsidRDefault="00E33E35" w:rsidP="00057B42">
      <w:pPr>
        <w:spacing w:line="360" w:lineRule="auto"/>
        <w:jc w:val="both"/>
        <w:rPr>
          <w:color w:val="000000"/>
        </w:rPr>
      </w:pPr>
    </w:p>
    <w:p w:rsidR="003215E1" w:rsidRPr="00873C4C" w:rsidRDefault="003215E1" w:rsidP="00057B42">
      <w:pPr>
        <w:pStyle w:val="Heading5"/>
        <w:spacing w:line="360" w:lineRule="auto"/>
      </w:pPr>
      <w:r w:rsidRPr="00873C4C">
        <w:t xml:space="preserve">   </w:t>
      </w:r>
      <w:bookmarkStart w:id="90" w:name="_Toc260495780"/>
      <w:bookmarkStart w:id="91" w:name="_Toc260496031"/>
      <w:bookmarkStart w:id="92" w:name="_Toc260500424"/>
      <w:bookmarkStart w:id="93" w:name="_Toc261098450"/>
      <w:bookmarkStart w:id="94" w:name="_Toc305759102"/>
      <w:r w:rsidR="00E33E35">
        <w:tab/>
      </w:r>
      <w:r w:rsidR="00E33E35">
        <w:tab/>
      </w:r>
      <w:r w:rsidR="00FC6CD4" w:rsidRPr="00873C4C">
        <w:t xml:space="preserve">Testing required </w:t>
      </w:r>
      <w:r w:rsidR="007C0454" w:rsidRPr="00873C4C">
        <w:t>for confirmation of</w:t>
      </w:r>
      <w:r w:rsidR="00FC6CD4" w:rsidRPr="00873C4C">
        <w:t xml:space="preserve"> MM at diagnosis</w:t>
      </w:r>
      <w:bookmarkEnd w:id="90"/>
      <w:bookmarkEnd w:id="91"/>
      <w:bookmarkEnd w:id="92"/>
      <w:bookmarkEnd w:id="93"/>
      <w:bookmarkEnd w:id="94"/>
    </w:p>
    <w:p w:rsidR="00FE70C8" w:rsidRDefault="00FC6CD4" w:rsidP="001A3044">
      <w:pPr>
        <w:spacing w:before="240" w:line="360" w:lineRule="auto"/>
        <w:jc w:val="both"/>
        <w:rPr>
          <w:color w:val="000000"/>
        </w:rPr>
      </w:pPr>
      <w:r w:rsidRPr="00873C4C">
        <w:rPr>
          <w:rFonts w:eastAsia="Times New Roman"/>
          <w:color w:val="000000"/>
          <w:lang w:val="en-GB" w:eastAsia="en-GB"/>
        </w:rPr>
        <w:t xml:space="preserve">The diagnosis of MM is based </w:t>
      </w:r>
      <w:r w:rsidR="007C0454" w:rsidRPr="00873C4C">
        <w:rPr>
          <w:rFonts w:eastAsia="Times New Roman"/>
          <w:color w:val="000000"/>
          <w:lang w:val="en-GB" w:eastAsia="en-GB"/>
        </w:rPr>
        <w:t>on</w:t>
      </w:r>
      <w:r w:rsidRPr="00873C4C">
        <w:rPr>
          <w:rFonts w:eastAsia="Times New Roman"/>
          <w:color w:val="000000"/>
          <w:lang w:val="en-GB" w:eastAsia="en-GB"/>
        </w:rPr>
        <w:t xml:space="preserve"> the presence of characteristic signs and symptoms </w:t>
      </w:r>
      <w:r w:rsidR="007C0454" w:rsidRPr="00873C4C">
        <w:rPr>
          <w:rFonts w:eastAsia="Times New Roman"/>
          <w:color w:val="000000"/>
          <w:lang w:val="en-GB" w:eastAsia="en-GB"/>
        </w:rPr>
        <w:t>and</w:t>
      </w:r>
      <w:r w:rsidRPr="00873C4C">
        <w:rPr>
          <w:rFonts w:eastAsia="Times New Roman"/>
          <w:color w:val="000000"/>
          <w:lang w:val="en-GB" w:eastAsia="en-GB"/>
        </w:rPr>
        <w:t xml:space="preserve"> the results of </w:t>
      </w:r>
      <w:r w:rsidR="007C0454" w:rsidRPr="00873C4C">
        <w:rPr>
          <w:rFonts w:eastAsia="Times New Roman"/>
          <w:color w:val="000000"/>
          <w:lang w:val="en-GB" w:eastAsia="en-GB"/>
        </w:rPr>
        <w:t xml:space="preserve">special </w:t>
      </w:r>
      <w:r w:rsidRPr="00873C4C">
        <w:rPr>
          <w:rFonts w:eastAsia="Times New Roman"/>
          <w:color w:val="000000"/>
          <w:lang w:val="en-GB" w:eastAsia="en-GB"/>
        </w:rPr>
        <w:t xml:space="preserve">tests </w:t>
      </w:r>
      <w:r w:rsidR="007C0454" w:rsidRPr="00873C4C">
        <w:rPr>
          <w:rFonts w:eastAsia="Times New Roman"/>
          <w:color w:val="000000"/>
          <w:lang w:val="en-GB" w:eastAsia="en-GB"/>
        </w:rPr>
        <w:t>on</w:t>
      </w:r>
      <w:r w:rsidRPr="00873C4C">
        <w:rPr>
          <w:rFonts w:eastAsia="Times New Roman"/>
          <w:color w:val="000000"/>
          <w:lang w:val="en-GB" w:eastAsia="en-GB"/>
        </w:rPr>
        <w:t xml:space="preserve"> the blood and bone marrow. Several tests are used to determine the presence and severity of MM. </w:t>
      </w:r>
      <w:r w:rsidRPr="00873C4C">
        <w:rPr>
          <w:color w:val="000000"/>
          <w:lang w:eastAsia="en-GB"/>
        </w:rPr>
        <w:t>Most of these recommended tests are well established and widely accepted</w:t>
      </w:r>
      <w:r w:rsidR="007C0454" w:rsidRPr="00873C4C">
        <w:rPr>
          <w:color w:val="000000"/>
          <w:lang w:eastAsia="en-GB"/>
        </w:rPr>
        <w:t>, such as</w:t>
      </w:r>
      <w:r w:rsidR="00FF502E">
        <w:rPr>
          <w:color w:val="000000"/>
          <w:lang w:eastAsia="en-GB"/>
        </w:rPr>
        <w:t xml:space="preserve"> following:</w:t>
      </w:r>
    </w:p>
    <w:p w:rsidR="004C2D3A" w:rsidRPr="00873C4C" w:rsidRDefault="004C2D3A" w:rsidP="00057B42">
      <w:pPr>
        <w:spacing w:line="360" w:lineRule="auto"/>
        <w:jc w:val="both"/>
        <w:rPr>
          <w:color w:val="000000"/>
        </w:rPr>
      </w:pPr>
    </w:p>
    <w:p w:rsidR="00FE70C8" w:rsidRPr="00873C4C" w:rsidRDefault="00EE7FBE" w:rsidP="00057B42">
      <w:pPr>
        <w:pStyle w:val="Heading6"/>
        <w:spacing w:line="360" w:lineRule="auto"/>
        <w:rPr>
          <w:color w:val="000000"/>
        </w:rPr>
      </w:pPr>
      <w:r w:rsidRPr="00873C4C">
        <w:rPr>
          <w:color w:val="000000"/>
        </w:rPr>
        <w:tab/>
      </w:r>
      <w:r w:rsidR="00E33E35">
        <w:rPr>
          <w:color w:val="000000"/>
        </w:rPr>
        <w:tab/>
      </w:r>
      <w:r w:rsidR="004C2D3A">
        <w:rPr>
          <w:color w:val="000000"/>
        </w:rPr>
        <w:t>Investigations</w:t>
      </w:r>
    </w:p>
    <w:p w:rsidR="00241FAA" w:rsidRDefault="00C27CB8" w:rsidP="001A3044">
      <w:pPr>
        <w:spacing w:before="240" w:line="360" w:lineRule="auto"/>
        <w:jc w:val="both"/>
        <w:rPr>
          <w:color w:val="000000"/>
        </w:rPr>
      </w:pPr>
      <w:r w:rsidRPr="00873C4C">
        <w:rPr>
          <w:color w:val="000000"/>
        </w:rPr>
        <w:t>Full blood count (FBC) and peripheral blood smear review,</w:t>
      </w:r>
      <w:r w:rsidRPr="00873C4C">
        <w:rPr>
          <w:color w:val="000000"/>
          <w:lang w:eastAsia="en-GB"/>
        </w:rPr>
        <w:t xml:space="preserve"> </w:t>
      </w:r>
      <w:r w:rsidRPr="00873C4C">
        <w:rPr>
          <w:color w:val="000000"/>
        </w:rPr>
        <w:t>Serum chemistry panel including calcium and creatinine</w:t>
      </w:r>
      <w:r w:rsidR="00FE70C8" w:rsidRPr="00873C4C">
        <w:rPr>
          <w:color w:val="000000"/>
        </w:rPr>
        <w:t xml:space="preserve"> are essential first line blood investigations</w:t>
      </w:r>
      <w:r w:rsidRPr="00873C4C">
        <w:rPr>
          <w:color w:val="000000"/>
        </w:rPr>
        <w:t>.</w:t>
      </w:r>
      <w:r w:rsidRPr="00873C4C">
        <w:rPr>
          <w:color w:val="000000"/>
          <w:lang w:eastAsia="en-GB"/>
        </w:rPr>
        <w:t xml:space="preserve"> </w:t>
      </w:r>
      <w:r w:rsidRPr="00873C4C">
        <w:rPr>
          <w:color w:val="000000"/>
        </w:rPr>
        <w:t>As the bone is resorbed</w:t>
      </w:r>
      <w:r w:rsidR="001A3044">
        <w:rPr>
          <w:color w:val="000000"/>
        </w:rPr>
        <w:t xml:space="preserve"> the lytic lesions are</w:t>
      </w:r>
      <w:r w:rsidRPr="00873C4C">
        <w:rPr>
          <w:color w:val="000000"/>
        </w:rPr>
        <w:t xml:space="preserve"> formed and calcium is a by-product that may lead to increase</w:t>
      </w:r>
      <w:r w:rsidR="001A3044">
        <w:rPr>
          <w:color w:val="000000"/>
        </w:rPr>
        <w:t>d</w:t>
      </w:r>
      <w:r w:rsidRPr="00873C4C">
        <w:rPr>
          <w:color w:val="000000"/>
        </w:rPr>
        <w:t xml:space="preserve"> blood level</w:t>
      </w:r>
      <w:r w:rsidR="001A3044">
        <w:rPr>
          <w:color w:val="000000"/>
        </w:rPr>
        <w:t>s</w:t>
      </w:r>
      <w:r w:rsidRPr="00873C4C">
        <w:rPr>
          <w:color w:val="000000"/>
        </w:rPr>
        <w:t xml:space="preserve">. Creatinine is a good general indicator of kidney’s function and whether or not patients’ kidneys are being affected by the MM. </w:t>
      </w:r>
    </w:p>
    <w:p w:rsidR="00C32EB1" w:rsidRDefault="00241FAA" w:rsidP="00057B42">
      <w:pPr>
        <w:spacing w:line="360" w:lineRule="auto"/>
        <w:jc w:val="both"/>
        <w:rPr>
          <w:color w:val="000000"/>
          <w:lang w:eastAsia="en-GB"/>
        </w:rPr>
      </w:pPr>
      <w:r>
        <w:rPr>
          <w:color w:val="000000"/>
        </w:rPr>
        <w:lastRenderedPageBreak/>
        <w:t xml:space="preserve">Serum protein electrophoresis with </w:t>
      </w:r>
      <w:r w:rsidR="00C27CB8" w:rsidRPr="00873C4C">
        <w:rPr>
          <w:color w:val="000000"/>
        </w:rPr>
        <w:t xml:space="preserve">immunofixation and </w:t>
      </w:r>
      <w:r>
        <w:rPr>
          <w:color w:val="000000"/>
        </w:rPr>
        <w:t xml:space="preserve">quantitation of immunoglobulins is </w:t>
      </w:r>
      <w:r w:rsidR="001A3044">
        <w:rPr>
          <w:color w:val="000000"/>
        </w:rPr>
        <w:t xml:space="preserve">also </w:t>
      </w:r>
      <w:r>
        <w:rPr>
          <w:color w:val="000000"/>
        </w:rPr>
        <w:t>elevated</w:t>
      </w:r>
      <w:r w:rsidR="00C27CB8" w:rsidRPr="00873C4C">
        <w:rPr>
          <w:color w:val="000000"/>
        </w:rPr>
        <w:t xml:space="preserve">. </w:t>
      </w:r>
      <w:r w:rsidR="001A3044" w:rsidRPr="00873C4C">
        <w:rPr>
          <w:color w:val="000000"/>
        </w:rPr>
        <w:t>Hence</w:t>
      </w:r>
      <w:r w:rsidR="00C27CB8" w:rsidRPr="00873C4C">
        <w:rPr>
          <w:color w:val="000000"/>
        </w:rPr>
        <w:t xml:space="preserve">, it is possible to </w:t>
      </w:r>
      <w:r w:rsidR="001A3044">
        <w:rPr>
          <w:color w:val="000000"/>
        </w:rPr>
        <w:t xml:space="preserve">monitor </w:t>
      </w:r>
      <w:r w:rsidR="00C27CB8" w:rsidRPr="00873C4C">
        <w:rPr>
          <w:color w:val="000000"/>
        </w:rPr>
        <w:t xml:space="preserve">progress </w:t>
      </w:r>
      <w:r w:rsidR="001A3044">
        <w:rPr>
          <w:color w:val="000000"/>
        </w:rPr>
        <w:t xml:space="preserve">or response to treatment </w:t>
      </w:r>
      <w:r w:rsidR="00C27CB8" w:rsidRPr="00873C4C">
        <w:rPr>
          <w:color w:val="000000"/>
        </w:rPr>
        <w:t xml:space="preserve">by the measurement of total protein. </w:t>
      </w:r>
      <w:r w:rsidR="00C27CB8" w:rsidRPr="00873C4C">
        <w:rPr>
          <w:bCs/>
          <w:color w:val="000000"/>
        </w:rPr>
        <w:t>Immunofixation</w:t>
      </w:r>
      <w:r w:rsidR="00C27CB8" w:rsidRPr="00873C4C">
        <w:rPr>
          <w:color w:val="000000"/>
        </w:rPr>
        <w:t xml:space="preserve"> is</w:t>
      </w:r>
      <w:r w:rsidR="001A3044">
        <w:rPr>
          <w:color w:val="000000"/>
        </w:rPr>
        <w:t xml:space="preserve"> </w:t>
      </w:r>
      <w:r w:rsidR="00E37184">
        <w:rPr>
          <w:color w:val="000000"/>
        </w:rPr>
        <w:t>used</w:t>
      </w:r>
      <w:r w:rsidR="00C27CB8" w:rsidRPr="00873C4C">
        <w:rPr>
          <w:color w:val="000000"/>
        </w:rPr>
        <w:t xml:space="preserve"> to determine which of the immunoglobulin’s (IgG, IgA, IgM, IgE) is </w:t>
      </w:r>
      <w:r w:rsidR="00E33E35" w:rsidRPr="00873C4C">
        <w:rPr>
          <w:color w:val="000000"/>
        </w:rPr>
        <w:t>involved</w:t>
      </w:r>
      <w:r w:rsidR="00E33E35">
        <w:rPr>
          <w:color w:val="000000"/>
        </w:rPr>
        <w:t xml:space="preserve"> </w:t>
      </w:r>
      <w:r w:rsidR="003C4BEF" w:rsidRPr="00873C4C">
        <w:rPr>
          <w:color w:val="000000"/>
          <w:lang w:eastAsia="en-GB"/>
        </w:rPr>
        <w:fldChar w:fldCharType="begin">
          <w:fldData xml:space="preserve">PEVuZE5vdGU+PENpdGU+PEF1dGhvcj5DYWVyczwvQXV0aG9yPjxZZWFyPjIwMDg8L1llYXI+PFJl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</w:fldData>
        </w:fldChar>
      </w:r>
      <w:r w:rsidR="00B71DAD">
        <w:rPr>
          <w:color w:val="000000"/>
          <w:lang w:eastAsia="en-GB"/>
        </w:rPr>
        <w:instrText xml:space="preserve"> ADDIN EN.CITE </w:instrText>
      </w:r>
      <w:r w:rsidR="00B71DAD">
        <w:rPr>
          <w:color w:val="000000"/>
          <w:lang w:eastAsia="en-GB"/>
        </w:rPr>
        <w:fldChar w:fldCharType="begin">
          <w:fldData xml:space="preserve">PEVuZE5vdGU+PENpdGU+PEF1dGhvcj5DYWVyczwvQXV0aG9yPjxZZWFyPjIwMDg8L1llYXI+PFJl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</w:fldData>
        </w:fldChar>
      </w:r>
      <w:r w:rsidR="00B71DAD">
        <w:rPr>
          <w:color w:val="000000"/>
          <w:lang w:eastAsia="en-GB"/>
        </w:rPr>
        <w:instrText xml:space="preserve"> ADDIN EN.CITE.DATA </w:instrText>
      </w:r>
      <w:r w:rsidR="00B71DAD">
        <w:rPr>
          <w:color w:val="000000"/>
          <w:lang w:eastAsia="en-GB"/>
        </w:rPr>
      </w:r>
      <w:r w:rsidR="00B71DAD">
        <w:rPr>
          <w:color w:val="000000"/>
          <w:lang w:eastAsia="en-GB"/>
        </w:rPr>
        <w:fldChar w:fldCharType="end"/>
      </w:r>
      <w:r w:rsidR="003C4BEF" w:rsidRPr="00873C4C">
        <w:rPr>
          <w:color w:val="000000"/>
          <w:lang w:eastAsia="en-GB"/>
        </w:rPr>
      </w:r>
      <w:r w:rsidR="003C4BEF" w:rsidRPr="00873C4C">
        <w:rPr>
          <w:color w:val="000000"/>
          <w:lang w:eastAsia="en-GB"/>
        </w:rPr>
        <w:fldChar w:fldCharType="separate"/>
      </w:r>
      <w:r w:rsidR="006F41FE">
        <w:rPr>
          <w:noProof/>
          <w:color w:val="000000"/>
          <w:lang w:eastAsia="en-GB"/>
        </w:rPr>
        <w:t>(</w:t>
      </w:r>
      <w:hyperlink w:anchor="_ENREF_62" w:tooltip="Caers, 2008 #7" w:history="1">
        <w:r w:rsidR="004A784D">
          <w:rPr>
            <w:noProof/>
            <w:color w:val="000000"/>
            <w:lang w:eastAsia="en-GB"/>
          </w:rPr>
          <w:t>Caers et al., 2008</w:t>
        </w:r>
      </w:hyperlink>
      <w:r w:rsidR="006F41FE">
        <w:rPr>
          <w:noProof/>
          <w:color w:val="000000"/>
          <w:lang w:eastAsia="en-GB"/>
        </w:rPr>
        <w:t xml:space="preserve">, </w:t>
      </w:r>
      <w:hyperlink w:anchor="_ENREF_231" w:tooltip="Kyle, 2008 #4971" w:history="1">
        <w:r w:rsidR="004A784D">
          <w:rPr>
            <w:noProof/>
            <w:color w:val="000000"/>
            <w:lang w:eastAsia="en-GB"/>
          </w:rPr>
          <w:t>Kyle and Rajkumar, 2008</w:t>
        </w:r>
      </w:hyperlink>
      <w:r w:rsidR="006F41FE">
        <w:rPr>
          <w:noProof/>
          <w:color w:val="000000"/>
          <w:lang w:eastAsia="en-GB"/>
        </w:rPr>
        <w:t>)</w:t>
      </w:r>
      <w:r w:rsidR="003C4BEF" w:rsidRPr="00873C4C">
        <w:rPr>
          <w:color w:val="000000"/>
          <w:lang w:eastAsia="en-GB"/>
        </w:rPr>
        <w:fldChar w:fldCharType="end"/>
      </w:r>
      <w:r w:rsidR="00FC6CD4" w:rsidRPr="00873C4C">
        <w:rPr>
          <w:color w:val="000000"/>
          <w:lang w:eastAsia="en-GB"/>
        </w:rPr>
        <w:t xml:space="preserve">. </w:t>
      </w:r>
    </w:p>
    <w:p w:rsidR="004C2D3A" w:rsidRDefault="004C2D3A" w:rsidP="00057B42">
      <w:pPr>
        <w:spacing w:line="360" w:lineRule="auto"/>
        <w:jc w:val="both"/>
        <w:rPr>
          <w:color w:val="000000"/>
          <w:lang w:eastAsia="en-GB"/>
        </w:rPr>
      </w:pPr>
    </w:p>
    <w:p w:rsidR="00C27CB8" w:rsidRPr="00873C4C" w:rsidRDefault="00C27CB8" w:rsidP="00057B42">
      <w:pPr>
        <w:spacing w:line="360" w:lineRule="auto"/>
        <w:jc w:val="both"/>
        <w:rPr>
          <w:color w:val="000000"/>
          <w:lang w:val="en-US"/>
        </w:rPr>
      </w:pPr>
      <w:r w:rsidRPr="00873C4C">
        <w:rPr>
          <w:color w:val="000000"/>
        </w:rPr>
        <w:t xml:space="preserve">Urine analysis: 24-hour urine collection for electrophoresis and Immunofixation and quantification of Bence Jones Protein </w:t>
      </w:r>
      <w:r w:rsidRPr="00873C4C">
        <w:rPr>
          <w:color w:val="000000"/>
          <w:lang w:val="en-US"/>
        </w:rPr>
        <w:t xml:space="preserve">(free immunoglobulin light-chains) in urine.  Normally light-chains are produced in excess of heavy chains; therefore free light-chains are normally present in a small amount in urine.  Not all monoclonal free light-chains exhibit Bence-Jones behavior, but all are abnormal.  Urine immunofixation is one of the standard </w:t>
      </w:r>
      <w:r w:rsidR="00C56417" w:rsidRPr="00873C4C">
        <w:rPr>
          <w:color w:val="000000"/>
          <w:lang w:val="en-US"/>
        </w:rPr>
        <w:t>tests</w:t>
      </w:r>
      <w:r w:rsidRPr="00873C4C">
        <w:rPr>
          <w:color w:val="000000"/>
          <w:lang w:val="en-US"/>
        </w:rPr>
        <w:t xml:space="preserve"> for detecting free monoclonal light chains. Since Bence-Jones proteins are relatively small, they can be filtered by the glomerulus of the nephron. Hence when urine protein is elevated, it may </w:t>
      </w:r>
      <w:r w:rsidR="00E37184">
        <w:rPr>
          <w:color w:val="000000"/>
          <w:lang w:val="en-US"/>
        </w:rPr>
        <w:t xml:space="preserve">be </w:t>
      </w:r>
      <w:r w:rsidRPr="00873C4C">
        <w:rPr>
          <w:color w:val="000000"/>
          <w:lang w:val="en-US"/>
        </w:rPr>
        <w:t xml:space="preserve">suggestive of diagnosis </w:t>
      </w:r>
      <w:r w:rsidR="00E33E35" w:rsidRPr="00873C4C">
        <w:rPr>
          <w:color w:val="000000"/>
          <w:lang w:val="en-US"/>
        </w:rPr>
        <w:t>of MM</w:t>
      </w:r>
      <w:r w:rsidRPr="00873C4C">
        <w:rPr>
          <w:color w:val="000000"/>
          <w:lang w:val="en-US"/>
        </w:rPr>
        <w:t xml:space="preserve"> </w:t>
      </w:r>
      <w:r w:rsidRPr="00873C4C">
        <w:rPr>
          <w:color w:val="000000"/>
          <w:lang w:val="fr-FR"/>
        </w:rPr>
        <w:fldChar w:fldCharType="begin">
          <w:fldData xml:space="preserve">PEVuZE5vdGU+PENpdGU+PEF1dGhvcj5TaXJvaGk8L0F1dGhvcj48WWVhcj4yMDAxPC9ZZWFyPjxS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</w:fldData>
        </w:fldChar>
      </w:r>
      <w:r w:rsidR="006F41FE">
        <w:rPr>
          <w:color w:val="000000"/>
          <w:lang w:val="fr-FR"/>
        </w:rPr>
        <w:instrText xml:space="preserve"> ADDIN EN.CITE </w:instrText>
      </w:r>
      <w:r w:rsidR="006F41FE">
        <w:rPr>
          <w:color w:val="000000"/>
          <w:lang w:val="fr-FR"/>
        </w:rPr>
        <w:fldChar w:fldCharType="begin">
          <w:fldData xml:space="preserve">PEVuZE5vdGU+PENpdGU+PEF1dGhvcj5TaXJvaGk8L0F1dGhvcj48WWVhcj4yMDAxPC9ZZWFyPjxS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</w:fldData>
        </w:fldChar>
      </w:r>
      <w:r w:rsidR="006F41FE">
        <w:rPr>
          <w:color w:val="000000"/>
          <w:lang w:val="fr-FR"/>
        </w:rPr>
        <w:instrText xml:space="preserve"> ADDIN EN.CITE.DATA </w:instrText>
      </w:r>
      <w:r w:rsidR="006F41FE">
        <w:rPr>
          <w:color w:val="000000"/>
          <w:lang w:val="fr-FR"/>
        </w:rPr>
      </w:r>
      <w:r w:rsidR="006F41FE">
        <w:rPr>
          <w:color w:val="000000"/>
          <w:lang w:val="fr-FR"/>
        </w:rPr>
        <w:fldChar w:fldCharType="end"/>
      </w:r>
      <w:r w:rsidRPr="00873C4C">
        <w:rPr>
          <w:color w:val="000000"/>
          <w:lang w:val="fr-FR"/>
        </w:rPr>
      </w:r>
      <w:r w:rsidRPr="00873C4C">
        <w:rPr>
          <w:color w:val="000000"/>
          <w:lang w:val="fr-FR"/>
        </w:rPr>
        <w:fldChar w:fldCharType="separate"/>
      </w:r>
      <w:r w:rsidR="006F41FE">
        <w:rPr>
          <w:noProof/>
          <w:color w:val="000000"/>
          <w:lang w:val="fr-FR"/>
        </w:rPr>
        <w:t>(</w:t>
      </w:r>
      <w:hyperlink w:anchor="_ENREF_389" w:tooltip="Sirohi, 2001 #214" w:history="1">
        <w:r w:rsidR="004A784D">
          <w:rPr>
            <w:noProof/>
            <w:color w:val="000000"/>
            <w:lang w:val="fr-FR"/>
          </w:rPr>
          <w:t>Sirohi et al., 2001</w:t>
        </w:r>
      </w:hyperlink>
      <w:r w:rsidR="006F41FE">
        <w:rPr>
          <w:noProof/>
          <w:color w:val="000000"/>
          <w:lang w:val="fr-FR"/>
        </w:rPr>
        <w:t>)</w:t>
      </w:r>
      <w:r w:rsidRPr="00873C4C">
        <w:rPr>
          <w:color w:val="000000"/>
          <w:lang w:val="fr-FR"/>
        </w:rPr>
        <w:fldChar w:fldCharType="end"/>
      </w:r>
      <w:r w:rsidRPr="00873C4C">
        <w:rPr>
          <w:color w:val="000000"/>
          <w:lang w:val="en-US"/>
        </w:rPr>
        <w:t>.</w:t>
      </w:r>
    </w:p>
    <w:p w:rsidR="00C32EB1" w:rsidRDefault="00C32EB1" w:rsidP="00057B42">
      <w:pPr>
        <w:spacing w:line="360" w:lineRule="auto"/>
        <w:jc w:val="both"/>
        <w:rPr>
          <w:color w:val="000000"/>
        </w:rPr>
      </w:pPr>
    </w:p>
    <w:p w:rsidR="00C32EB1" w:rsidRDefault="00E33E35" w:rsidP="00057B42">
      <w:pPr>
        <w:spacing w:line="360" w:lineRule="auto"/>
        <w:jc w:val="both"/>
        <w:rPr>
          <w:color w:val="000000"/>
        </w:rPr>
      </w:pPr>
      <w:r>
        <w:rPr>
          <w:color w:val="000000"/>
        </w:rPr>
        <w:t>B</w:t>
      </w:r>
      <w:r w:rsidR="003B1225" w:rsidRPr="00873C4C">
        <w:rPr>
          <w:color w:val="000000"/>
        </w:rPr>
        <w:t>2 Macroglobulin (B2M): High levels occur in patients with active myeloma. Low or normal levels occur in patients with early myeloma and/or inactive disease. Approximately 10% of</w:t>
      </w:r>
      <w:r w:rsidR="00A53D0A">
        <w:rPr>
          <w:color w:val="000000"/>
        </w:rPr>
        <w:t xml:space="preserve"> patients with myeloma do</w:t>
      </w:r>
      <w:r w:rsidR="003B1225" w:rsidRPr="00873C4C">
        <w:rPr>
          <w:color w:val="000000"/>
        </w:rPr>
        <w:t xml:space="preserve"> not produce B2M. At the time of relapse, B2M can increase before there is any change in the myeloma protein level. However other factors such as viral infection can also sometimes produce elevated serum B2M levels. B2M is one of the important independent prognostic factors in MM </w:t>
      </w:r>
      <w:r w:rsidR="003B1225" w:rsidRPr="00873C4C">
        <w:rPr>
          <w:color w:val="000000"/>
        </w:rPr>
        <w:fldChar w:fldCharType="begin">
          <w:fldData xml:space="preserve">PEVuZE5vdGU+PENpdGU+PEF1dGhvcj5Sb3NzaTwvQXV0aG9yPjxSZWNOdW0+MTwvUmVjTnVtPjxE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</w:fldData>
        </w:fldChar>
      </w:r>
      <w:r w:rsidR="006F41FE">
        <w:rPr>
          <w:color w:val="000000"/>
        </w:rPr>
        <w:instrText xml:space="preserve"> ADDIN EN.CITE </w:instrText>
      </w:r>
      <w:r w:rsidR="006F41FE">
        <w:rPr>
          <w:color w:val="000000"/>
        </w:rPr>
        <w:fldChar w:fldCharType="begin">
          <w:fldData xml:space="preserve">PEVuZE5vdGU+PENpdGU+PEF1dGhvcj5Sb3NzaTwvQXV0aG9yPjxSZWNOdW0+MTwvUmVjTnVtPjxE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</w:fldData>
        </w:fldChar>
      </w:r>
      <w:r w:rsidR="006F41FE">
        <w:rPr>
          <w:color w:val="000000"/>
        </w:rPr>
        <w:instrText xml:space="preserve"> ADDIN EN.CITE.DATA </w:instrText>
      </w:r>
      <w:r w:rsidR="006F41FE">
        <w:rPr>
          <w:color w:val="000000"/>
        </w:rPr>
      </w:r>
      <w:r w:rsidR="006F41FE">
        <w:rPr>
          <w:color w:val="000000"/>
        </w:rPr>
        <w:fldChar w:fldCharType="end"/>
      </w:r>
      <w:r w:rsidR="003B1225" w:rsidRPr="00873C4C">
        <w:rPr>
          <w:color w:val="000000"/>
        </w:rPr>
      </w:r>
      <w:r w:rsidR="003B1225" w:rsidRPr="00873C4C">
        <w:rPr>
          <w:color w:val="000000"/>
        </w:rPr>
        <w:fldChar w:fldCharType="separate"/>
      </w:r>
      <w:r w:rsidR="006F41FE">
        <w:rPr>
          <w:noProof/>
          <w:color w:val="000000"/>
        </w:rPr>
        <w:t>(</w:t>
      </w:r>
      <w:hyperlink w:anchor="_ENREF_354" w:tooltip="Rossi,  #1" w:history="1">
        <w:r w:rsidR="004A784D">
          <w:rPr>
            <w:noProof/>
            <w:color w:val="000000"/>
          </w:rPr>
          <w:t>Rossi et al.</w:t>
        </w:r>
      </w:hyperlink>
      <w:r w:rsidR="006F41FE">
        <w:rPr>
          <w:noProof/>
          <w:color w:val="000000"/>
        </w:rPr>
        <w:t xml:space="preserve">, </w:t>
      </w:r>
      <w:hyperlink w:anchor="_ENREF_401" w:tooltip="Stella-Holowiecka, 2007 #5" w:history="1">
        <w:r w:rsidR="004A784D">
          <w:rPr>
            <w:noProof/>
            <w:color w:val="000000"/>
          </w:rPr>
          <w:t>Stella-Holowiecka et al., 2007</w:t>
        </w:r>
      </w:hyperlink>
      <w:r w:rsidR="006F41FE">
        <w:rPr>
          <w:noProof/>
          <w:color w:val="000000"/>
        </w:rPr>
        <w:t>)</w:t>
      </w:r>
      <w:r w:rsidR="003B1225" w:rsidRPr="00873C4C">
        <w:rPr>
          <w:color w:val="000000"/>
        </w:rPr>
        <w:fldChar w:fldCharType="end"/>
      </w:r>
      <w:r w:rsidR="003B1225" w:rsidRPr="00873C4C">
        <w:rPr>
          <w:color w:val="000000"/>
        </w:rPr>
        <w:t xml:space="preserve">. </w:t>
      </w:r>
    </w:p>
    <w:p w:rsidR="00C32EB1" w:rsidRDefault="00C32EB1" w:rsidP="00057B42">
      <w:pPr>
        <w:spacing w:line="360" w:lineRule="auto"/>
        <w:jc w:val="both"/>
        <w:rPr>
          <w:color w:val="000000"/>
        </w:rPr>
      </w:pPr>
    </w:p>
    <w:p w:rsidR="003B1225" w:rsidRPr="00873C4C" w:rsidRDefault="003B1225" w:rsidP="00057B42">
      <w:pPr>
        <w:spacing w:line="360" w:lineRule="auto"/>
        <w:jc w:val="both"/>
        <w:rPr>
          <w:color w:val="000000"/>
        </w:rPr>
      </w:pPr>
      <w:r w:rsidRPr="00873C4C">
        <w:rPr>
          <w:color w:val="000000"/>
        </w:rPr>
        <w:t>The International Staging System (ISS) was developed using only the values of albumin and B2M. The ISS is a simple and effective group</w:t>
      </w:r>
      <w:r w:rsidR="00A53D0A">
        <w:rPr>
          <w:color w:val="000000"/>
        </w:rPr>
        <w:t>ing method for patients with MM</w:t>
      </w:r>
      <w:r w:rsidRPr="00873C4C">
        <w:rPr>
          <w:color w:val="000000"/>
        </w:rPr>
        <w:t xml:space="preserve"> that predicts survival </w:t>
      </w:r>
      <w:r w:rsidRPr="00873C4C">
        <w:rPr>
          <w:color w:val="000000"/>
        </w:rPr>
        <w:fldChar w:fldCharType="begin">
          <w:fldData xml:space="preserve">PEVuZE5vdGU+PENpdGU+PEF1dGhvcj5Db250ZTwvQXV0aG9yPjxZZWFyPjIwMDg8L1llYXI+PFJl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=
</w:fldData>
        </w:fldChar>
      </w:r>
      <w:r w:rsidR="001A181E">
        <w:rPr>
          <w:color w:val="000000"/>
        </w:rPr>
        <w:instrText xml:space="preserve"> ADDIN EN.CITE </w:instrText>
      </w:r>
      <w:r w:rsidR="001A181E">
        <w:rPr>
          <w:color w:val="000000"/>
        </w:rPr>
        <w:fldChar w:fldCharType="begin">
          <w:fldData xml:space="preserve">PEVuZE5vdGU+PENpdGU+PEF1dGhvcj5Db250ZTwvQXV0aG9yPjxZZWFyPjIwMDg8L1llYXI+PFJl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=
</w:fldData>
        </w:fldChar>
      </w:r>
      <w:r w:rsidR="001A181E">
        <w:rPr>
          <w:color w:val="000000"/>
        </w:rPr>
        <w:instrText xml:space="preserve"> ADDIN EN.CITE.DATA </w:instrText>
      </w:r>
      <w:r w:rsidR="001A181E">
        <w:rPr>
          <w:color w:val="000000"/>
        </w:rPr>
      </w:r>
      <w:r w:rsidR="001A181E">
        <w:rPr>
          <w:color w:val="000000"/>
        </w:rPr>
        <w:fldChar w:fldCharType="end"/>
      </w:r>
      <w:r w:rsidRPr="00873C4C">
        <w:rPr>
          <w:color w:val="000000"/>
        </w:rPr>
      </w:r>
      <w:r w:rsidRPr="00873C4C">
        <w:rPr>
          <w:color w:val="000000"/>
        </w:rPr>
        <w:fldChar w:fldCharType="separate"/>
      </w:r>
      <w:r w:rsidR="006F41FE">
        <w:rPr>
          <w:noProof/>
          <w:color w:val="000000"/>
        </w:rPr>
        <w:t>(</w:t>
      </w:r>
      <w:hyperlink w:anchor="_ENREF_83" w:tooltip="Conte, 2008 #5026" w:history="1">
        <w:r w:rsidR="004A784D">
          <w:rPr>
            <w:noProof/>
            <w:color w:val="000000"/>
          </w:rPr>
          <w:t>Conte et al., 2008</w:t>
        </w:r>
      </w:hyperlink>
      <w:r w:rsidR="006F41FE">
        <w:rPr>
          <w:noProof/>
          <w:color w:val="000000"/>
        </w:rPr>
        <w:t>)</w:t>
      </w:r>
      <w:r w:rsidRPr="00873C4C">
        <w:rPr>
          <w:color w:val="000000"/>
        </w:rPr>
        <w:fldChar w:fldCharType="end"/>
      </w:r>
      <w:r w:rsidRPr="00873C4C">
        <w:rPr>
          <w:color w:val="000000"/>
        </w:rPr>
        <w:t>.</w:t>
      </w:r>
      <w:r w:rsidR="00A53D0A">
        <w:rPr>
          <w:color w:val="000000"/>
        </w:rPr>
        <w:t xml:space="preserve"> </w:t>
      </w:r>
      <w:r w:rsidRPr="00873C4C">
        <w:rPr>
          <w:color w:val="000000"/>
        </w:rPr>
        <w:t>Serum Free Light Chain assay (sFLC assay): is a new immunodiagnostic assay system permitting, for the first time, the accurate and rapid quantification of free kappa and free lambda light-chain concentrations in serum.</w:t>
      </w:r>
      <w:r w:rsidRPr="00873C4C">
        <w:rPr>
          <w:rFonts w:hint="eastAsia"/>
          <w:color w:val="000000"/>
          <w:lang w:val="en-US"/>
        </w:rPr>
        <w:t xml:space="preserve"> Between 1</w:t>
      </w:r>
      <w:r w:rsidR="00647448">
        <w:rPr>
          <w:color w:val="000000"/>
          <w:lang w:val="en-US"/>
        </w:rPr>
        <w:t>-</w:t>
      </w:r>
      <w:r w:rsidRPr="00873C4C">
        <w:rPr>
          <w:rFonts w:hint="eastAsia"/>
          <w:color w:val="000000"/>
          <w:lang w:val="en-US"/>
        </w:rPr>
        <w:t xml:space="preserve">3% of MM </w:t>
      </w:r>
      <w:r w:rsidRPr="00873C4C">
        <w:rPr>
          <w:color w:val="000000"/>
          <w:lang w:val="en-US"/>
        </w:rPr>
        <w:t xml:space="preserve">cases </w:t>
      </w:r>
      <w:r w:rsidRPr="00873C4C">
        <w:rPr>
          <w:rFonts w:hint="eastAsia"/>
          <w:color w:val="000000"/>
          <w:lang w:val="en-US"/>
        </w:rPr>
        <w:t>are non-secretory</w:t>
      </w:r>
      <w:r w:rsidRPr="00873C4C">
        <w:rPr>
          <w:color w:val="000000"/>
          <w:lang w:val="en-US"/>
        </w:rPr>
        <w:t xml:space="preserve">. In these </w:t>
      </w:r>
      <w:r w:rsidRPr="00873C4C">
        <w:rPr>
          <w:rFonts w:hint="eastAsia"/>
          <w:color w:val="000000"/>
          <w:lang w:val="en-US"/>
        </w:rPr>
        <w:t xml:space="preserve">patients </w:t>
      </w:r>
      <w:r w:rsidRPr="00873C4C">
        <w:rPr>
          <w:color w:val="000000"/>
          <w:lang w:val="en-US"/>
        </w:rPr>
        <w:t>serum protein electrophoresis</w:t>
      </w:r>
      <w:r w:rsidRPr="00873C4C">
        <w:rPr>
          <w:rFonts w:hint="eastAsia"/>
          <w:color w:val="000000"/>
          <w:lang w:val="en-US"/>
        </w:rPr>
        <w:t xml:space="preserve"> and </w:t>
      </w:r>
      <w:r w:rsidRPr="00873C4C">
        <w:rPr>
          <w:color w:val="000000"/>
          <w:lang w:val="en-US"/>
        </w:rPr>
        <w:t>immunofixation</w:t>
      </w:r>
      <w:r w:rsidRPr="00873C4C">
        <w:rPr>
          <w:rFonts w:hint="eastAsia"/>
          <w:color w:val="000000"/>
          <w:lang w:val="en-US"/>
        </w:rPr>
        <w:t xml:space="preserve"> are negative </w:t>
      </w:r>
      <w:r w:rsidRPr="00873C4C">
        <w:rPr>
          <w:color w:val="000000"/>
          <w:lang w:val="en-US"/>
        </w:rPr>
        <w:t>in</w:t>
      </w:r>
      <w:r w:rsidRPr="00873C4C">
        <w:rPr>
          <w:rFonts w:hint="eastAsia"/>
          <w:color w:val="000000"/>
          <w:lang w:val="en-US"/>
        </w:rPr>
        <w:t xml:space="preserve"> both serum and urine</w:t>
      </w:r>
      <w:r w:rsidRPr="00873C4C">
        <w:rPr>
          <w:color w:val="000000"/>
          <w:lang w:val="en-US"/>
        </w:rPr>
        <w:t xml:space="preserve"> samples</w:t>
      </w:r>
      <w:r w:rsidRPr="00873C4C">
        <w:rPr>
          <w:rFonts w:hint="eastAsia"/>
          <w:color w:val="000000"/>
          <w:lang w:val="en-US"/>
        </w:rPr>
        <w:t>.</w:t>
      </w:r>
      <w:r w:rsidRPr="00873C4C">
        <w:rPr>
          <w:color w:val="000000"/>
          <w:lang w:val="en-US"/>
        </w:rPr>
        <w:t xml:space="preserve"> sFLC assay can be used as a screening test to measure the free kap</w:t>
      </w:r>
      <w:r w:rsidR="00907576">
        <w:rPr>
          <w:color w:val="000000"/>
          <w:lang w:val="en-US"/>
        </w:rPr>
        <w:t>pa and free lambda levels, their</w:t>
      </w:r>
      <w:r w:rsidR="00095179">
        <w:rPr>
          <w:color w:val="000000"/>
          <w:lang w:val="en-US"/>
        </w:rPr>
        <w:t xml:space="preserve"> ratio i</w:t>
      </w:r>
      <w:r w:rsidRPr="00873C4C">
        <w:rPr>
          <w:color w:val="000000"/>
          <w:lang w:val="en-US"/>
        </w:rPr>
        <w:t xml:space="preserve">s </w:t>
      </w:r>
      <w:r w:rsidR="00095179">
        <w:rPr>
          <w:color w:val="000000"/>
          <w:lang w:val="en-US"/>
        </w:rPr>
        <w:t>clinically used</w:t>
      </w:r>
      <w:r w:rsidRPr="00873C4C">
        <w:rPr>
          <w:color w:val="000000"/>
          <w:lang w:val="en-US"/>
        </w:rPr>
        <w:t xml:space="preserve"> </w:t>
      </w:r>
      <w:r w:rsidR="00095179">
        <w:rPr>
          <w:color w:val="000000"/>
          <w:lang w:val="en-US"/>
        </w:rPr>
        <w:t>to monitor</w:t>
      </w:r>
      <w:r w:rsidRPr="00873C4C">
        <w:rPr>
          <w:color w:val="000000"/>
          <w:lang w:val="en-US"/>
        </w:rPr>
        <w:t xml:space="preserve"> the response to therapy</w:t>
      </w:r>
      <w:r w:rsidR="00095179">
        <w:rPr>
          <w:color w:val="000000"/>
          <w:lang w:val="en-US"/>
        </w:rPr>
        <w:t xml:space="preserve"> </w:t>
      </w:r>
      <w:r w:rsidRPr="00873C4C">
        <w:rPr>
          <w:color w:val="000000"/>
          <w:lang w:val="en-US"/>
        </w:rPr>
        <w:fldChar w:fldCharType="begin">
          <w:fldData xml:space="preserve">PEVuZE5vdGU+PENpdGU+PEF1dGhvcj5LYXdhZ3VjaGk8L0F1dGhvcj48WWVhcj4yMDA5PC9ZZWFy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</w:fldData>
        </w:fldChar>
      </w:r>
      <w:r w:rsidR="006F41FE">
        <w:rPr>
          <w:color w:val="000000"/>
          <w:lang w:val="en-US"/>
        </w:rPr>
        <w:instrText xml:space="preserve"> ADDIN EN.CITE </w:instrText>
      </w:r>
      <w:r w:rsidR="006F41FE">
        <w:rPr>
          <w:color w:val="000000"/>
          <w:lang w:val="en-US"/>
        </w:rPr>
        <w:fldChar w:fldCharType="begin">
          <w:fldData xml:space="preserve">PEVuZE5vdGU+PENpdGU+PEF1dGhvcj5LYXdhZ3VjaGk8L0F1dGhvcj48WWVhcj4yMDA5PC9ZZWFy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</w:fldData>
        </w:fldChar>
      </w:r>
      <w:r w:rsidR="006F41FE">
        <w:rPr>
          <w:color w:val="000000"/>
          <w:lang w:val="en-US"/>
        </w:rPr>
        <w:instrText xml:space="preserve"> ADDIN EN.CITE.DATA </w:instrText>
      </w:r>
      <w:r w:rsidR="006F41FE">
        <w:rPr>
          <w:color w:val="000000"/>
          <w:lang w:val="en-US"/>
        </w:rPr>
      </w:r>
      <w:r w:rsidR="006F41FE">
        <w:rPr>
          <w:color w:val="000000"/>
          <w:lang w:val="en-US"/>
        </w:rPr>
        <w:fldChar w:fldCharType="end"/>
      </w:r>
      <w:r w:rsidRPr="00873C4C">
        <w:rPr>
          <w:color w:val="000000"/>
          <w:lang w:val="en-US"/>
        </w:rPr>
      </w:r>
      <w:r w:rsidRPr="00873C4C">
        <w:rPr>
          <w:color w:val="000000"/>
          <w:lang w:val="en-US"/>
        </w:rPr>
        <w:fldChar w:fldCharType="separate"/>
      </w:r>
      <w:r w:rsidR="006F41FE">
        <w:rPr>
          <w:noProof/>
          <w:color w:val="000000"/>
          <w:lang w:val="en-US"/>
        </w:rPr>
        <w:t>(</w:t>
      </w:r>
      <w:hyperlink w:anchor="_ENREF_204" w:tooltip="Kawaguchi, 2009 #1" w:history="1">
        <w:r w:rsidR="004A784D">
          <w:rPr>
            <w:noProof/>
            <w:color w:val="000000"/>
            <w:lang w:val="en-US"/>
          </w:rPr>
          <w:t>Kawaguchi and Nosaka, 2009</w:t>
        </w:r>
      </w:hyperlink>
      <w:r w:rsidR="006F41FE">
        <w:rPr>
          <w:noProof/>
          <w:color w:val="000000"/>
          <w:lang w:val="en-US"/>
        </w:rPr>
        <w:t xml:space="preserve">, </w:t>
      </w:r>
      <w:hyperlink w:anchor="_ENREF_103" w:tooltip="Dispenzieri, 2009 #3872" w:history="1">
        <w:r w:rsidR="004A784D">
          <w:rPr>
            <w:noProof/>
            <w:color w:val="000000"/>
            <w:lang w:val="en-US"/>
          </w:rPr>
          <w:t>Dispenzieri et al., 2009</w:t>
        </w:r>
      </w:hyperlink>
      <w:r w:rsidR="006F41FE">
        <w:rPr>
          <w:noProof/>
          <w:color w:val="000000"/>
          <w:lang w:val="en-US"/>
        </w:rPr>
        <w:t>)</w:t>
      </w:r>
      <w:r w:rsidRPr="00873C4C">
        <w:rPr>
          <w:color w:val="000000"/>
          <w:lang w:val="en-US"/>
        </w:rPr>
        <w:fldChar w:fldCharType="end"/>
      </w:r>
      <w:r w:rsidRPr="00873C4C">
        <w:rPr>
          <w:color w:val="000000"/>
          <w:lang w:val="en-US"/>
        </w:rPr>
        <w:t xml:space="preserve">. </w:t>
      </w:r>
      <w:r w:rsidRPr="00873C4C">
        <w:rPr>
          <w:color w:val="000000"/>
        </w:rPr>
        <w:lastRenderedPageBreak/>
        <w:t xml:space="preserve">Measurement of sFLC at diagnosis of MM can be </w:t>
      </w:r>
      <w:r w:rsidR="00095179">
        <w:rPr>
          <w:color w:val="000000"/>
        </w:rPr>
        <w:t xml:space="preserve">an </w:t>
      </w:r>
      <w:r w:rsidRPr="00873C4C">
        <w:rPr>
          <w:color w:val="000000"/>
        </w:rPr>
        <w:t xml:space="preserve">important predictor of prognosis, and can be incorporated into the ISS for improved risk stratification </w:t>
      </w:r>
      <w:r w:rsidRPr="00873C4C">
        <w:rPr>
          <w:color w:val="000000"/>
        </w:rPr>
        <w:fldChar w:fldCharType="begin">
          <w:fldData xml:space="preserve">PEVuZE5vdGU+PENpdGU+PEF1dGhvcj5Tbm96ZWs8L0F1dGhvcj48WWVhcj4yMDA4PC9ZZWFyPjxS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</w:fldData>
        </w:fldChar>
      </w:r>
      <w:r w:rsidR="00857D49">
        <w:rPr>
          <w:color w:val="000000"/>
        </w:rPr>
        <w:instrText xml:space="preserve"> ADDIN EN.CITE </w:instrText>
      </w:r>
      <w:r w:rsidR="00857D49">
        <w:rPr>
          <w:color w:val="000000"/>
        </w:rPr>
        <w:fldChar w:fldCharType="begin">
          <w:fldData xml:space="preserve">PEVuZE5vdGU+PENpdGU+PEF1dGhvcj5Tbm96ZWs8L0F1dGhvcj48WWVhcj4yMDA4PC9ZZWFyPjxS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</w:fldData>
        </w:fldChar>
      </w:r>
      <w:r w:rsidR="00857D49">
        <w:rPr>
          <w:color w:val="000000"/>
        </w:rPr>
        <w:instrText xml:space="preserve"> ADDIN EN.CITE.DATA </w:instrText>
      </w:r>
      <w:r w:rsidR="00857D49">
        <w:rPr>
          <w:color w:val="000000"/>
        </w:rPr>
      </w:r>
      <w:r w:rsidR="00857D49">
        <w:rPr>
          <w:color w:val="000000"/>
        </w:rPr>
        <w:fldChar w:fldCharType="end"/>
      </w:r>
      <w:r w:rsidRPr="00873C4C">
        <w:rPr>
          <w:color w:val="000000"/>
        </w:rPr>
      </w:r>
      <w:r w:rsidRPr="00873C4C">
        <w:rPr>
          <w:color w:val="000000"/>
        </w:rPr>
        <w:fldChar w:fldCharType="separate"/>
      </w:r>
      <w:r w:rsidR="000F0D6C">
        <w:rPr>
          <w:noProof/>
          <w:color w:val="000000"/>
        </w:rPr>
        <w:t>(</w:t>
      </w:r>
      <w:hyperlink w:anchor="_ENREF_392" w:tooltip="Snozek, 2008 #7173" w:history="1">
        <w:r w:rsidR="004A784D">
          <w:rPr>
            <w:noProof/>
            <w:color w:val="000000"/>
          </w:rPr>
          <w:t>Snozek et al., 2008</w:t>
        </w:r>
      </w:hyperlink>
      <w:r w:rsidR="000F0D6C">
        <w:rPr>
          <w:noProof/>
          <w:color w:val="000000"/>
        </w:rPr>
        <w:t xml:space="preserve">, </w:t>
      </w:r>
      <w:hyperlink w:anchor="_ENREF_74" w:tooltip="Choi, 2007 #4972" w:history="1">
        <w:r w:rsidR="004A784D">
          <w:rPr>
            <w:noProof/>
            <w:color w:val="000000"/>
          </w:rPr>
          <w:t>Choi et al., 2007</w:t>
        </w:r>
      </w:hyperlink>
      <w:r w:rsidR="000F0D6C">
        <w:rPr>
          <w:noProof/>
          <w:color w:val="000000"/>
        </w:rPr>
        <w:t>)</w:t>
      </w:r>
      <w:r w:rsidRPr="00873C4C">
        <w:rPr>
          <w:color w:val="000000"/>
        </w:rPr>
        <w:fldChar w:fldCharType="end"/>
      </w:r>
      <w:r w:rsidRPr="00873C4C">
        <w:rPr>
          <w:color w:val="000000"/>
        </w:rPr>
        <w:t>.</w:t>
      </w:r>
    </w:p>
    <w:p w:rsidR="003B1225" w:rsidRPr="00873C4C" w:rsidRDefault="003B1225" w:rsidP="00057B42">
      <w:pPr>
        <w:spacing w:line="360" w:lineRule="auto"/>
        <w:jc w:val="both"/>
        <w:rPr>
          <w:color w:val="000000"/>
          <w:lang w:val="en-US"/>
        </w:rPr>
      </w:pPr>
    </w:p>
    <w:p w:rsidR="00FE70C8" w:rsidRPr="00873C4C" w:rsidRDefault="003B1225" w:rsidP="00057B42">
      <w:pPr>
        <w:pStyle w:val="Heading6"/>
        <w:spacing w:line="360" w:lineRule="auto"/>
        <w:rPr>
          <w:color w:val="000000"/>
        </w:rPr>
      </w:pPr>
      <w:r w:rsidRPr="00873C4C">
        <w:rPr>
          <w:color w:val="000000"/>
        </w:rPr>
        <w:tab/>
      </w:r>
      <w:r w:rsidR="00E33E35">
        <w:rPr>
          <w:color w:val="000000"/>
        </w:rPr>
        <w:tab/>
      </w:r>
      <w:r w:rsidR="00FC6CD4" w:rsidRPr="00873C4C">
        <w:rPr>
          <w:color w:val="000000"/>
        </w:rPr>
        <w:t>Bone marrow aspirate and trephine biopsy</w:t>
      </w:r>
    </w:p>
    <w:p w:rsidR="003B1225" w:rsidRPr="00873C4C" w:rsidRDefault="00FC6CD4" w:rsidP="00095179">
      <w:pPr>
        <w:spacing w:before="240" w:line="360" w:lineRule="auto"/>
        <w:jc w:val="both"/>
        <w:rPr>
          <w:rFonts w:eastAsia="Times New Roman"/>
          <w:color w:val="000000"/>
          <w:lang w:val="en-GB" w:eastAsia="en-GB"/>
        </w:rPr>
      </w:pPr>
      <w:r w:rsidRPr="00873C4C">
        <w:rPr>
          <w:rFonts w:eastAsia="Times New Roman"/>
          <w:color w:val="000000"/>
          <w:lang w:val="en-GB" w:eastAsia="en-GB"/>
        </w:rPr>
        <w:t>In most individuals with MM, a bone marrow aspiration and biopsy (usually taken from the hip</w:t>
      </w:r>
      <w:r w:rsidR="00921694" w:rsidRPr="00873C4C">
        <w:rPr>
          <w:rFonts w:eastAsia="Times New Roman"/>
          <w:color w:val="000000"/>
          <w:lang w:val="en-GB" w:eastAsia="en-GB"/>
        </w:rPr>
        <w:t xml:space="preserve"> bone</w:t>
      </w:r>
      <w:r w:rsidRPr="00873C4C">
        <w:rPr>
          <w:rFonts w:eastAsia="Times New Roman"/>
          <w:color w:val="000000"/>
          <w:lang w:val="en-GB" w:eastAsia="en-GB"/>
        </w:rPr>
        <w:t>) shows that plasma cells comprise an abnormally high percentage of bone marrow cells (more than 10 percent)</w:t>
      </w:r>
      <w:r w:rsidR="00921694" w:rsidRPr="00873C4C">
        <w:rPr>
          <w:rFonts w:eastAsia="Times New Roman"/>
          <w:color w:val="000000"/>
          <w:lang w:val="en-GB" w:eastAsia="en-GB"/>
        </w:rPr>
        <w:t xml:space="preserve"> </w:t>
      </w:r>
      <w:r w:rsidR="00492984" w:rsidRPr="00873C4C">
        <w:rPr>
          <w:rFonts w:eastAsia="Times New Roman"/>
          <w:color w:val="000000"/>
          <w:lang w:eastAsia="en-GB"/>
        </w:rPr>
        <w:fldChar w:fldCharType="begin"/>
      </w:r>
      <w:r w:rsidR="006F41FE">
        <w:rPr>
          <w:rFonts w:eastAsia="Times New Roman"/>
          <w:color w:val="000000"/>
          <w:lang w:eastAsia="en-GB"/>
        </w:rPr>
        <w:instrText xml:space="preserve"> ADDIN EN.CITE &lt;EndNote&gt;&lt;Cite&gt;&lt;Author&gt;Subramanian&lt;/Author&gt;&lt;Year&gt;2009&lt;/Year&gt;&lt;RecNum&gt;34&lt;/RecNum&gt;&lt;DisplayText&gt;(Subramanian et al., 2009)&lt;/DisplayText&gt;&lt;record&gt;&lt;rec-number&gt;34&lt;/rec-number&gt;&lt;ref-type name="Journal Article"&gt;17&lt;/ref-type&gt;&lt;contributors&gt;&lt;authors&gt;&lt;author&gt;Subramanian, R.&lt;/author&gt;&lt;author&gt;Basu, D.&lt;/author&gt;&lt;author&gt;Dutta, T. K.&lt;/author&gt;&lt;/authors&gt;&lt;/contributors&gt;&lt;auth-address&gt;Department of Pathology, Jawaharlal Institute of Postgraduate Medical Education and Research (JIPMER), Pondicherry, India. dr.s.rajiv@gmail.com&lt;/auth-address&gt;&lt;titles&gt;&lt;title&gt;Prognostic significance of bone marrow histology in multiple myeloma&lt;/title&gt;&lt;secondary-title&gt;Indian J Cancer&lt;/secondary-title&gt;&lt;/titles&gt;&lt;periodical&gt;&lt;full-title&gt;Indian J Cancer&lt;/full-title&gt;&lt;/periodical&gt;&lt;pages&gt;40-5&lt;/pages&gt;&lt;volume&gt;46&lt;/volume&gt;&lt;number&gt;1&lt;/number&gt;&lt;keywords&gt;&lt;keyword&gt;Adult&lt;/keyword&gt;&lt;keyword&gt;Aged&lt;/keyword&gt;&lt;keyword&gt;Bone Marrow/*pathology&lt;/keyword&gt;&lt;keyword&gt;Female&lt;/keyword&gt;&lt;keyword&gt;Fibrosis/mortality/*pathology&lt;/keyword&gt;&lt;keyword&gt;Humans&lt;/keyword&gt;&lt;keyword&gt;Male&lt;/keyword&gt;&lt;keyword&gt;Middle Aged&lt;/keyword&gt;&lt;keyword&gt;Multiple Myeloma/mortality/*pathology&lt;/keyword&gt;&lt;keyword&gt;Neoplasm Staging&lt;/keyword&gt;&lt;keyword&gt;Plasma Cells/*pathology&lt;/keyword&gt;&lt;keyword&gt;Prognosis&lt;/keyword&gt;&lt;keyword&gt;Survival Rate&lt;/keyword&gt;&lt;/keywords&gt;&lt;dates&gt;&lt;year&gt;2009&lt;/year&gt;&lt;pub-dates&gt;&lt;date&gt;Jan-Mar&lt;/date&gt;&lt;/pub-dates&gt;&lt;/dates&gt;&lt;accession-num&gt;19282565&lt;/accession-num&gt;&lt;urls&gt;&lt;related-urls&gt;&lt;url&gt;http://www.ncbi.nlm.nih.gov/entrez/query.fcgi?cmd=Retrieve&amp;amp;db=PubMed&amp;amp;dopt=Citation&amp;amp;list_uids=19282565 &lt;/url&gt;&lt;/related-urls&gt;&lt;/urls&gt;&lt;/record&gt;&lt;/Cite&gt;&lt;/EndNote&gt;</w:instrText>
      </w:r>
      <w:r w:rsidR="00492984" w:rsidRPr="00873C4C">
        <w:rPr>
          <w:rFonts w:eastAsia="Times New Roman"/>
          <w:color w:val="000000"/>
          <w:lang w:eastAsia="en-GB"/>
        </w:rPr>
        <w:fldChar w:fldCharType="separate"/>
      </w:r>
      <w:r w:rsidR="006F41FE">
        <w:rPr>
          <w:rFonts w:eastAsia="Times New Roman"/>
          <w:noProof/>
          <w:color w:val="000000"/>
          <w:lang w:eastAsia="en-GB"/>
        </w:rPr>
        <w:t>(</w:t>
      </w:r>
      <w:hyperlink w:anchor="_ENREF_406" w:tooltip="Subramanian, 2009 #34" w:history="1">
        <w:r w:rsidR="004A784D">
          <w:rPr>
            <w:rFonts w:eastAsia="Times New Roman"/>
            <w:noProof/>
            <w:color w:val="000000"/>
            <w:lang w:eastAsia="en-GB"/>
          </w:rPr>
          <w:t>Subramanian et al., 2009</w:t>
        </w:r>
      </w:hyperlink>
      <w:r w:rsidR="006F41FE">
        <w:rPr>
          <w:rFonts w:eastAsia="Times New Roman"/>
          <w:noProof/>
          <w:color w:val="000000"/>
          <w:lang w:eastAsia="en-GB"/>
        </w:rPr>
        <w:t>)</w:t>
      </w:r>
      <w:r w:rsidR="00492984" w:rsidRPr="00873C4C">
        <w:rPr>
          <w:rFonts w:eastAsia="Times New Roman"/>
          <w:color w:val="000000"/>
          <w:lang w:val="en-GB" w:eastAsia="en-GB"/>
        </w:rPr>
        <w:fldChar w:fldCharType="end"/>
      </w:r>
      <w:r w:rsidR="00410436" w:rsidRPr="00873C4C">
        <w:rPr>
          <w:rFonts w:eastAsia="Times New Roman"/>
          <w:color w:val="000000"/>
          <w:lang w:val="en-GB" w:eastAsia="en-GB"/>
        </w:rPr>
        <w:t>.</w:t>
      </w:r>
      <w:r w:rsidR="00492984" w:rsidRPr="00873C4C">
        <w:rPr>
          <w:rFonts w:eastAsia="Times New Roman"/>
          <w:color w:val="000000"/>
          <w:lang w:val="en-GB" w:eastAsia="en-GB"/>
        </w:rPr>
        <w:t xml:space="preserve"> </w:t>
      </w:r>
    </w:p>
    <w:p w:rsidR="00C32EB1" w:rsidRDefault="00C32EB1" w:rsidP="00057B42">
      <w:pPr>
        <w:spacing w:line="360" w:lineRule="auto"/>
        <w:jc w:val="both"/>
        <w:rPr>
          <w:color w:val="000000"/>
        </w:rPr>
      </w:pPr>
    </w:p>
    <w:p w:rsidR="00FC6CD4" w:rsidRDefault="003B1225" w:rsidP="00057B42">
      <w:pPr>
        <w:spacing w:line="360" w:lineRule="auto"/>
        <w:jc w:val="both"/>
        <w:rPr>
          <w:color w:val="000000"/>
        </w:rPr>
      </w:pPr>
      <w:r w:rsidRPr="00873C4C">
        <w:rPr>
          <w:color w:val="000000"/>
        </w:rPr>
        <w:t xml:space="preserve">Baseline </w:t>
      </w:r>
      <w:r w:rsidR="00647448" w:rsidRPr="00873C4C">
        <w:rPr>
          <w:color w:val="000000"/>
        </w:rPr>
        <w:t>Cytogenetic</w:t>
      </w:r>
      <w:r w:rsidRPr="00873C4C">
        <w:rPr>
          <w:color w:val="000000"/>
        </w:rPr>
        <w:t>: Numerous correlations exist between chromosome abnormalities and prognosis or different patterns of disease. Chromosome 13 deletion is widely recognized as a poor prognostic factor. However, there is no consensus as to whether or not cytogenetic testing is a mandatory baseline procedure. This is because standardized bone marrow cytogenetic testing is not universally available. However, in clinical practice, availability of cytogenetic information is helpful to guide potential treatment selection and future clinical trial eligibility</w:t>
      </w:r>
      <w:r w:rsidR="00267DBF">
        <w:rPr>
          <w:color w:val="000000"/>
        </w:rPr>
        <w:t>.</w:t>
      </w:r>
    </w:p>
    <w:p w:rsidR="00267DBF" w:rsidRDefault="00267DBF" w:rsidP="00057B42">
      <w:pPr>
        <w:spacing w:line="360" w:lineRule="auto"/>
        <w:jc w:val="both"/>
        <w:rPr>
          <w:color w:val="000000"/>
        </w:rPr>
      </w:pPr>
    </w:p>
    <w:p w:rsidR="00267DBF" w:rsidRDefault="00267DBF" w:rsidP="00057B42">
      <w:pPr>
        <w:spacing w:line="360" w:lineRule="auto"/>
        <w:jc w:val="both"/>
        <w:rPr>
          <w:color w:val="000000"/>
        </w:rPr>
      </w:pPr>
    </w:p>
    <w:p w:rsidR="00FE70C8" w:rsidRPr="00873C4C" w:rsidRDefault="00FE70C8" w:rsidP="00057B42">
      <w:pPr>
        <w:pStyle w:val="Heading6"/>
        <w:spacing w:line="360" w:lineRule="auto"/>
        <w:rPr>
          <w:color w:val="000000"/>
        </w:rPr>
      </w:pPr>
      <w:r w:rsidRPr="00873C4C">
        <w:rPr>
          <w:color w:val="000000"/>
        </w:rPr>
        <w:tab/>
      </w:r>
      <w:r w:rsidR="00E33E35">
        <w:rPr>
          <w:color w:val="000000"/>
        </w:rPr>
        <w:tab/>
      </w:r>
      <w:r w:rsidRPr="00873C4C">
        <w:rPr>
          <w:color w:val="000000"/>
        </w:rPr>
        <w:t>Radiological tests</w:t>
      </w:r>
    </w:p>
    <w:p w:rsidR="00FE70C8" w:rsidRPr="00873C4C" w:rsidRDefault="00095179" w:rsidP="00095179">
      <w:pPr>
        <w:pStyle w:val="Heading6"/>
        <w:numPr>
          <w:ilvl w:val="0"/>
          <w:numId w:val="0"/>
        </w:numPr>
        <w:spacing w:line="360" w:lineRule="auto"/>
        <w:rPr>
          <w:color w:val="000000"/>
        </w:rPr>
      </w:pPr>
      <w:r w:rsidRPr="00AB7283">
        <w:rPr>
          <w:color w:val="000000"/>
        </w:rPr>
        <w:t>1.1.2.</w:t>
      </w:r>
      <w:bookmarkStart w:id="95" w:name="_GoBack"/>
      <w:bookmarkEnd w:id="95"/>
      <w:r w:rsidRPr="00AB7283">
        <w:rPr>
          <w:color w:val="000000"/>
        </w:rPr>
        <w:t>4.8.3.1</w:t>
      </w:r>
      <w:r w:rsidR="00FE70C8" w:rsidRPr="00AB7283">
        <w:rPr>
          <w:color w:val="000000"/>
        </w:rPr>
        <w:tab/>
      </w:r>
      <w:r w:rsidR="00E33E35" w:rsidRPr="00AB7283">
        <w:rPr>
          <w:color w:val="000000"/>
        </w:rPr>
        <w:tab/>
      </w:r>
      <w:r w:rsidR="00FC6CD4" w:rsidRPr="00873C4C">
        <w:rPr>
          <w:color w:val="000000"/>
        </w:rPr>
        <w:t>Skeletal Survey</w:t>
      </w:r>
    </w:p>
    <w:p w:rsidR="003E6E43" w:rsidRPr="00873C4C" w:rsidRDefault="007C0AB2" w:rsidP="00095179">
      <w:pPr>
        <w:spacing w:before="240" w:line="360" w:lineRule="auto"/>
        <w:jc w:val="both"/>
        <w:rPr>
          <w:color w:val="000000"/>
        </w:rPr>
      </w:pPr>
      <w:r w:rsidRPr="00873C4C">
        <w:rPr>
          <w:color w:val="000000"/>
        </w:rPr>
        <w:t xml:space="preserve"> </w:t>
      </w:r>
      <w:r w:rsidR="003E6E43" w:rsidRPr="00873C4C">
        <w:rPr>
          <w:color w:val="000000"/>
        </w:rPr>
        <w:t xml:space="preserve">In </w:t>
      </w:r>
      <w:r w:rsidR="00297E60" w:rsidRPr="00873C4C">
        <w:rPr>
          <w:color w:val="000000"/>
        </w:rPr>
        <w:t xml:space="preserve">the </w:t>
      </w:r>
      <w:r w:rsidR="003E6E43" w:rsidRPr="00873C4C">
        <w:rPr>
          <w:color w:val="000000"/>
        </w:rPr>
        <w:t xml:space="preserve">majority of </w:t>
      </w:r>
      <w:r w:rsidR="00297E60" w:rsidRPr="00873C4C">
        <w:rPr>
          <w:color w:val="000000"/>
        </w:rPr>
        <w:t>MM</w:t>
      </w:r>
      <w:r w:rsidR="003E6E43" w:rsidRPr="00873C4C">
        <w:rPr>
          <w:color w:val="000000"/>
        </w:rPr>
        <w:t xml:space="preserve"> centres, the skeletal survey remains the standard method for radiological screening at diagnosis; there is a clear association between the extent of disease (in terms of the number of lytic lesions at presentation) and tumour load at </w:t>
      </w:r>
      <w:r w:rsidR="003009A7" w:rsidRPr="00873C4C">
        <w:rPr>
          <w:color w:val="000000"/>
        </w:rPr>
        <w:t>diagnosis</w:t>
      </w:r>
      <w:r w:rsidR="003E6E43" w:rsidRPr="00873C4C">
        <w:rPr>
          <w:color w:val="000000"/>
        </w:rPr>
        <w:t xml:space="preserve">. Plain </w:t>
      </w:r>
      <w:r w:rsidR="00EA0A27" w:rsidRPr="00873C4C">
        <w:rPr>
          <w:color w:val="000000"/>
        </w:rPr>
        <w:t>x-rays</w:t>
      </w:r>
      <w:r w:rsidR="003E6E43" w:rsidRPr="00873C4C">
        <w:rPr>
          <w:color w:val="000000"/>
        </w:rPr>
        <w:t xml:space="preserve"> </w:t>
      </w:r>
      <w:r w:rsidR="00EA0A27" w:rsidRPr="00873C4C">
        <w:rPr>
          <w:color w:val="000000"/>
        </w:rPr>
        <w:t>are</w:t>
      </w:r>
      <w:r w:rsidR="003E6E43" w:rsidRPr="00873C4C">
        <w:rPr>
          <w:color w:val="000000"/>
        </w:rPr>
        <w:t xml:space="preserve"> universally available, allows large areas of the skeleton to be visualised and may </w:t>
      </w:r>
      <w:r w:rsidR="00EA0A27" w:rsidRPr="00873C4C">
        <w:rPr>
          <w:color w:val="000000"/>
        </w:rPr>
        <w:t xml:space="preserve">also </w:t>
      </w:r>
      <w:r w:rsidR="003E6E43" w:rsidRPr="00873C4C">
        <w:rPr>
          <w:color w:val="000000"/>
        </w:rPr>
        <w:t>identify long bones at risk of impending fracture. Almost 80% of patients with myeloma will have radiological evidence of skeletal involvement on the skeletal survey, most commonly affecting the following sites: vertebrae in 66% of patients, ribs in 45%, skull in 40%, shoulder in 40%, pelvis in 30% and long bones in 25%</w:t>
      </w:r>
      <w:r w:rsidR="003009A7">
        <w:rPr>
          <w:color w:val="000000"/>
        </w:rPr>
        <w:t xml:space="preserve"> </w:t>
      </w:r>
      <w:r w:rsidR="003009A7">
        <w:rPr>
          <w:color w:val="000000"/>
        </w:rPr>
        <w:fldChar w:fldCharType="begin">
          <w:fldData xml:space="preserve">PEVuZE5vdGU+PENpdGU+PEF1dGhvcj5EdXJpZTwvQXV0aG9yPjxZZWFyPjE5NzU8L1llYXI+PFJl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</w:fldData>
        </w:fldChar>
      </w:r>
      <w:r w:rsidR="003009A7">
        <w:rPr>
          <w:color w:val="000000"/>
        </w:rPr>
        <w:instrText xml:space="preserve"> ADDIN EN.CITE </w:instrText>
      </w:r>
      <w:r w:rsidR="003009A7">
        <w:rPr>
          <w:color w:val="000000"/>
        </w:rPr>
        <w:fldChar w:fldCharType="begin">
          <w:fldData xml:space="preserve">PEVuZE5vdGU+PENpdGU+PEF1dGhvcj5EdXJpZTwvQXV0aG9yPjxZZWFyPjE5NzU8L1llYXI+PFJl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</w:fldData>
        </w:fldChar>
      </w:r>
      <w:r w:rsidR="003009A7">
        <w:rPr>
          <w:color w:val="000000"/>
        </w:rPr>
        <w:instrText xml:space="preserve"> ADDIN EN.CITE.DATA </w:instrText>
      </w:r>
      <w:r w:rsidR="003009A7">
        <w:rPr>
          <w:color w:val="000000"/>
        </w:rPr>
      </w:r>
      <w:r w:rsidR="003009A7">
        <w:rPr>
          <w:color w:val="000000"/>
        </w:rPr>
        <w:fldChar w:fldCharType="end"/>
      </w:r>
      <w:r w:rsidR="003009A7">
        <w:rPr>
          <w:color w:val="000000"/>
        </w:rPr>
      </w:r>
      <w:r w:rsidR="003009A7">
        <w:rPr>
          <w:color w:val="000000"/>
        </w:rPr>
        <w:fldChar w:fldCharType="separate"/>
      </w:r>
      <w:r w:rsidR="003009A7">
        <w:rPr>
          <w:noProof/>
          <w:color w:val="000000"/>
        </w:rPr>
        <w:t>(</w:t>
      </w:r>
      <w:hyperlink w:anchor="_ENREF_113" w:tooltip="Durie, 1975 #5032" w:history="1">
        <w:r w:rsidR="004A784D">
          <w:rPr>
            <w:noProof/>
            <w:color w:val="000000"/>
          </w:rPr>
          <w:t>Durie and Salmon, 1975</w:t>
        </w:r>
      </w:hyperlink>
      <w:r w:rsidR="003009A7">
        <w:rPr>
          <w:noProof/>
          <w:color w:val="000000"/>
        </w:rPr>
        <w:t xml:space="preserve">, </w:t>
      </w:r>
      <w:hyperlink w:anchor="_ENREF_178" w:tooltip="Hokamp, 1983 #5030" w:history="1">
        <w:r w:rsidR="004A784D">
          <w:rPr>
            <w:noProof/>
            <w:color w:val="000000"/>
          </w:rPr>
          <w:t>Hokamp and Grundmann, 1983</w:t>
        </w:r>
      </w:hyperlink>
      <w:r w:rsidR="003009A7">
        <w:rPr>
          <w:noProof/>
          <w:color w:val="000000"/>
        </w:rPr>
        <w:t>)</w:t>
      </w:r>
      <w:r w:rsidR="003009A7">
        <w:rPr>
          <w:color w:val="000000"/>
        </w:rPr>
        <w:fldChar w:fldCharType="end"/>
      </w:r>
      <w:r w:rsidR="003009A7">
        <w:rPr>
          <w:color w:val="000000"/>
        </w:rPr>
        <w:t>.</w:t>
      </w:r>
      <w:r w:rsidR="003E6E43" w:rsidRPr="00873C4C">
        <w:rPr>
          <w:color w:val="000000"/>
        </w:rPr>
        <w:tab/>
      </w:r>
    </w:p>
    <w:p w:rsidR="00FE70C8" w:rsidRPr="00873C4C" w:rsidRDefault="00095179" w:rsidP="004B395A">
      <w:pPr>
        <w:pStyle w:val="Heading6"/>
        <w:numPr>
          <w:ilvl w:val="0"/>
          <w:numId w:val="0"/>
        </w:numPr>
        <w:spacing w:line="276" w:lineRule="auto"/>
        <w:jc w:val="both"/>
        <w:rPr>
          <w:color w:val="000000"/>
        </w:rPr>
      </w:pPr>
      <w:r>
        <w:rPr>
          <w:color w:val="000000"/>
        </w:rPr>
        <w:lastRenderedPageBreak/>
        <w:t>1.1.2.4.8.3.2</w:t>
      </w:r>
      <w:r w:rsidRPr="00873C4C">
        <w:rPr>
          <w:color w:val="000000"/>
        </w:rPr>
        <w:tab/>
      </w:r>
      <w:r w:rsidR="00E33E35">
        <w:rPr>
          <w:color w:val="000000"/>
        </w:rPr>
        <w:tab/>
      </w:r>
      <w:r w:rsidR="00BE2ECE" w:rsidRPr="00873C4C">
        <w:rPr>
          <w:color w:val="000000"/>
        </w:rPr>
        <w:t>FDG</w:t>
      </w:r>
      <w:r w:rsidR="00980AFE">
        <w:rPr>
          <w:color w:val="000000"/>
        </w:rPr>
        <w:t xml:space="preserve"> </w:t>
      </w:r>
      <w:r w:rsidR="00BE2ECE" w:rsidRPr="00873C4C">
        <w:rPr>
          <w:color w:val="000000"/>
        </w:rPr>
        <w:t>(fluorine-18-fluorodeoxyglucose</w:t>
      </w:r>
      <w:r>
        <w:rPr>
          <w:color w:val="000000"/>
        </w:rPr>
        <w:t>)</w:t>
      </w:r>
      <w:r w:rsidR="00C56417" w:rsidRPr="00873C4C">
        <w:rPr>
          <w:color w:val="000000"/>
        </w:rPr>
        <w:t>-</w:t>
      </w:r>
      <w:r w:rsidR="00BE2ECE" w:rsidRPr="00873C4C">
        <w:rPr>
          <w:color w:val="000000"/>
        </w:rPr>
        <w:t>PET (Positron E</w:t>
      </w:r>
      <w:r w:rsidR="00A07720">
        <w:rPr>
          <w:color w:val="000000"/>
        </w:rPr>
        <w:t xml:space="preserve">mission </w:t>
      </w:r>
      <w:r w:rsidR="00BE2ECE" w:rsidRPr="00873C4C">
        <w:rPr>
          <w:color w:val="000000"/>
        </w:rPr>
        <w:t xml:space="preserve">Tomography) </w:t>
      </w:r>
      <w:r w:rsidR="009400AC" w:rsidRPr="00873C4C">
        <w:rPr>
          <w:color w:val="000000"/>
        </w:rPr>
        <w:t>/</w:t>
      </w:r>
      <w:r w:rsidR="00A07720">
        <w:rPr>
          <w:color w:val="000000"/>
        </w:rPr>
        <w:t xml:space="preserve"> </w:t>
      </w:r>
      <w:r w:rsidR="003873DC" w:rsidRPr="00873C4C">
        <w:rPr>
          <w:color w:val="000000"/>
        </w:rPr>
        <w:t>CT</w:t>
      </w:r>
      <w:r w:rsidR="000A3F16" w:rsidRPr="00873C4C">
        <w:rPr>
          <w:color w:val="000000"/>
        </w:rPr>
        <w:t xml:space="preserve"> scan</w:t>
      </w:r>
    </w:p>
    <w:p w:rsidR="004C2D3A" w:rsidRDefault="00BE2ECE" w:rsidP="004B395A">
      <w:pPr>
        <w:spacing w:before="240" w:line="276" w:lineRule="auto"/>
        <w:jc w:val="both"/>
        <w:rPr>
          <w:color w:val="000000"/>
        </w:rPr>
      </w:pPr>
      <w:r w:rsidRPr="00873C4C">
        <w:rPr>
          <w:color w:val="000000"/>
        </w:rPr>
        <w:t xml:space="preserve">This scan was first used for </w:t>
      </w:r>
      <w:r w:rsidR="009400AC" w:rsidRPr="00873C4C">
        <w:rPr>
          <w:color w:val="000000"/>
        </w:rPr>
        <w:t>MM</w:t>
      </w:r>
      <w:r w:rsidR="00980AFE">
        <w:rPr>
          <w:color w:val="000000"/>
        </w:rPr>
        <w:t xml:space="preserve"> in the late 1990s. </w:t>
      </w:r>
      <w:r w:rsidR="0046493F" w:rsidRPr="00873C4C">
        <w:rPr>
          <w:color w:val="000000"/>
        </w:rPr>
        <w:t>T</w:t>
      </w:r>
      <w:r w:rsidR="009400AC" w:rsidRPr="00873C4C">
        <w:rPr>
          <w:color w:val="000000"/>
        </w:rPr>
        <w:t xml:space="preserve">he FDG scan identifies "hot spots", that is, areas of active tumour activity (in </w:t>
      </w:r>
      <w:r w:rsidR="0046493F" w:rsidRPr="00873C4C">
        <w:rPr>
          <w:color w:val="000000"/>
        </w:rPr>
        <w:t xml:space="preserve">our </w:t>
      </w:r>
      <w:r w:rsidR="009400AC" w:rsidRPr="00873C4C">
        <w:rPr>
          <w:color w:val="000000"/>
        </w:rPr>
        <w:t xml:space="preserve">case active myeloma activity). It can actually indicate the level of disease activity, not just a reading of the damage that has occurred. </w:t>
      </w:r>
      <w:r w:rsidR="00FC6CD4" w:rsidRPr="00873C4C">
        <w:rPr>
          <w:color w:val="000000"/>
        </w:rPr>
        <w:t xml:space="preserve">This </w:t>
      </w:r>
      <w:r w:rsidR="009400AC" w:rsidRPr="00873C4C">
        <w:rPr>
          <w:color w:val="000000"/>
        </w:rPr>
        <w:t xml:space="preserve">scan </w:t>
      </w:r>
      <w:r w:rsidR="00FC6CD4" w:rsidRPr="00873C4C">
        <w:rPr>
          <w:color w:val="000000"/>
        </w:rPr>
        <w:t xml:space="preserve">can </w:t>
      </w:r>
      <w:r w:rsidR="009400AC" w:rsidRPr="00873C4C">
        <w:rPr>
          <w:color w:val="000000"/>
        </w:rPr>
        <w:t xml:space="preserve">also </w:t>
      </w:r>
      <w:r w:rsidR="00FC6CD4" w:rsidRPr="00873C4C">
        <w:rPr>
          <w:color w:val="000000"/>
        </w:rPr>
        <w:t xml:space="preserve">clarify prognostic and diagnostic category (e.g., demonstration </w:t>
      </w:r>
      <w:r w:rsidR="009400AC" w:rsidRPr="00873C4C">
        <w:rPr>
          <w:color w:val="000000"/>
        </w:rPr>
        <w:t>of extra-medullary plasmacytoma</w:t>
      </w:r>
      <w:r w:rsidR="00FC6CD4" w:rsidRPr="00873C4C">
        <w:rPr>
          <w:color w:val="000000"/>
        </w:rPr>
        <w:t>)</w:t>
      </w:r>
      <w:r w:rsidR="0046493F" w:rsidRPr="00873C4C">
        <w:rPr>
          <w:color w:val="000000"/>
        </w:rPr>
        <w:t xml:space="preserve">. </w:t>
      </w:r>
    </w:p>
    <w:p w:rsidR="004C2D3A" w:rsidRDefault="004C2D3A" w:rsidP="00057B42">
      <w:pPr>
        <w:spacing w:line="360" w:lineRule="auto"/>
        <w:jc w:val="both"/>
        <w:rPr>
          <w:color w:val="000000"/>
        </w:rPr>
      </w:pPr>
    </w:p>
    <w:p w:rsidR="00366C44" w:rsidRDefault="0046493F" w:rsidP="00057B42">
      <w:pPr>
        <w:spacing w:line="360" w:lineRule="auto"/>
        <w:jc w:val="both"/>
        <w:rPr>
          <w:color w:val="000000"/>
        </w:rPr>
      </w:pPr>
      <w:r w:rsidRPr="00873C4C">
        <w:rPr>
          <w:color w:val="000000"/>
        </w:rPr>
        <w:t xml:space="preserve">Therefore </w:t>
      </w:r>
      <w:r w:rsidR="004C2D3A">
        <w:rPr>
          <w:color w:val="000000"/>
        </w:rPr>
        <w:t>PET scan</w:t>
      </w:r>
      <w:r w:rsidRPr="00873C4C">
        <w:rPr>
          <w:color w:val="000000"/>
        </w:rPr>
        <w:t xml:space="preserve"> is </w:t>
      </w:r>
      <w:r w:rsidR="00FC6CD4" w:rsidRPr="00873C4C">
        <w:rPr>
          <w:color w:val="000000"/>
        </w:rPr>
        <w:t xml:space="preserve">also recommended for staging, restaging, and/or serial monitoring of </w:t>
      </w:r>
      <w:r w:rsidRPr="00873C4C">
        <w:rPr>
          <w:color w:val="000000"/>
        </w:rPr>
        <w:t>MM patients</w:t>
      </w:r>
      <w:r w:rsidR="003E6E43" w:rsidRPr="00873C4C">
        <w:rPr>
          <w:color w:val="000000"/>
        </w:rPr>
        <w:t xml:space="preserve">. </w:t>
      </w:r>
      <w:r w:rsidR="00A9758F" w:rsidRPr="00873C4C">
        <w:rPr>
          <w:color w:val="000000"/>
        </w:rPr>
        <w:t>It</w:t>
      </w:r>
      <w:r w:rsidR="003E6E43" w:rsidRPr="00873C4C">
        <w:rPr>
          <w:color w:val="000000"/>
        </w:rPr>
        <w:t xml:space="preserve"> has higher sensitivity than plain radiographs at detecting small lytic lesions</w:t>
      </w:r>
      <w:r w:rsidR="00A9758F" w:rsidRPr="00873C4C">
        <w:rPr>
          <w:color w:val="000000"/>
        </w:rPr>
        <w:t xml:space="preserve">, solitary </w:t>
      </w:r>
      <w:r w:rsidRPr="00873C4C">
        <w:rPr>
          <w:color w:val="000000"/>
        </w:rPr>
        <w:t>plasmacytoma and</w:t>
      </w:r>
      <w:r w:rsidR="003E6E43" w:rsidRPr="00873C4C">
        <w:rPr>
          <w:color w:val="000000"/>
        </w:rPr>
        <w:t xml:space="preserve"> can </w:t>
      </w:r>
      <w:r w:rsidRPr="00873C4C">
        <w:rPr>
          <w:color w:val="000000"/>
        </w:rPr>
        <w:t xml:space="preserve">also </w:t>
      </w:r>
      <w:r w:rsidR="003E6E43" w:rsidRPr="00873C4C">
        <w:rPr>
          <w:color w:val="000000"/>
        </w:rPr>
        <w:t xml:space="preserve">accurately </w:t>
      </w:r>
      <w:r w:rsidR="00A9758F" w:rsidRPr="00873C4C">
        <w:rPr>
          <w:color w:val="000000"/>
        </w:rPr>
        <w:t>detect</w:t>
      </w:r>
      <w:r w:rsidR="003E6E43" w:rsidRPr="00873C4C">
        <w:rPr>
          <w:color w:val="000000"/>
        </w:rPr>
        <w:t xml:space="preserve"> the presence and extent of associated soft tissue disease</w:t>
      </w:r>
      <w:r w:rsidR="00A9758F" w:rsidRPr="00873C4C">
        <w:rPr>
          <w:color w:val="000000"/>
        </w:rPr>
        <w:t>.</w:t>
      </w:r>
      <w:r w:rsidR="003E6E43" w:rsidRPr="00873C4C">
        <w:rPr>
          <w:color w:val="000000"/>
        </w:rPr>
        <w:t xml:space="preserve"> It frequently clarifies the significance of suspicious areas on plain films, symptomatic areas that do not show abnormalities on plain films or parts of the skeleton that cannot be accurately visualised by plain radiography, e.g. scapulae, ribs and sternum</w:t>
      </w:r>
      <w:r w:rsidR="00366C44" w:rsidRPr="00873C4C">
        <w:rPr>
          <w:color w:val="000000"/>
        </w:rPr>
        <w:t xml:space="preserve"> </w:t>
      </w:r>
      <w:r w:rsidR="00366C44" w:rsidRPr="00873C4C">
        <w:rPr>
          <w:color w:val="000000"/>
        </w:rPr>
        <w:fldChar w:fldCharType="begin"/>
      </w:r>
      <w:r w:rsidR="006F41FE">
        <w:rPr>
          <w:color w:val="000000"/>
        </w:rPr>
        <w:instrText xml:space="preserve"> ADDIN EN.CITE &lt;EndNote&gt;&lt;Cite&gt;&lt;Author&gt;Caers&lt;/Author&gt;&lt;Year&gt;2008&lt;/Year&gt;&lt;RecNum&gt;7&lt;/RecNum&gt;&lt;DisplayText&gt;(Caers et al., 2008)&lt;/DisplayText&gt;&lt;record&gt;&lt;rec-number&gt;7&lt;/rec-number&gt;&lt;ref-type name="Journal Article"&gt;17&lt;/ref-type&gt;&lt;contributors&gt;&lt;authors&gt;&lt;author&gt;Caers, J.&lt;/author&gt;&lt;author&gt;Vande broek, I.&lt;/author&gt;&lt;author&gt;De Raeve, H.&lt;/author&gt;&lt;author&gt;Michaux, L.&lt;/author&gt;&lt;author&gt;Trullemans, F.&lt;/author&gt;&lt;author&gt;Schots, R.&lt;/author&gt;&lt;author&gt;Van Camp, B.&lt;/author&gt;&lt;author&gt;Vanderkerken, K.&lt;/author&gt;&lt;/authors&gt;&lt;/contributors&gt;&lt;auth-address&gt;Department of Clinical Hematology, Cliniques Universitaires St-Luc, Brussels, Belgium.&lt;/auth-address&gt;&lt;titles&gt;&lt;title&gt;Multiple myeloma--an update on diagnosis and treatment&lt;/title&gt;&lt;secondary-title&gt;Eur J Haematol&lt;/secondary-title&gt;&lt;/titles&gt;&lt;periodical&gt;&lt;full-title&gt;Eur J Haematol&lt;/full-title&gt;&lt;/periodical&gt;&lt;pages&gt;329-43&lt;/pages&gt;&lt;volume&gt;81&lt;/volume&gt;&lt;number&gt;5&lt;/number&gt;&lt;keywords&gt;&lt;keyword&gt;Antibodies, Monoclonal/metabolism&lt;/keyword&gt;&lt;keyword&gt;Antineoplastic Agents/therapeutic use&lt;/keyword&gt;&lt;keyword&gt;Disease-Free Survival&lt;/keyword&gt;&lt;keyword&gt;Gene Expression Regulation, Neoplastic/drug effects&lt;/keyword&gt;&lt;keyword&gt;Hematopoietic Stem Cell Transplantation/methods&lt;/keyword&gt;&lt;keyword&gt;Humans&lt;/keyword&gt;&lt;keyword&gt;Multiple Myeloma/*diagnosis/metabolism/mortality/*therapy&lt;/keyword&gt;&lt;keyword&gt;Paraproteins&lt;/keyword&gt;&lt;keyword&gt;Plasma Cells/metabolism&lt;/keyword&gt;&lt;keyword&gt;Risk Factors&lt;/keyword&gt;&lt;/keywords&gt;&lt;dates&gt;&lt;year&gt;2008&lt;/year&gt;&lt;pub-dates&gt;&lt;date&gt;Nov&lt;/date&gt;&lt;/pub-dates&gt;&lt;/dates&gt;&lt;accession-num&gt;18637123&lt;/accession-num&gt;&lt;urls&gt;&lt;related-urls&gt;&lt;url&gt;http://www.ncbi.nlm.nih.gov/entrez/query.fcgi?cmd=Retrieve&amp;amp;db=PubMed&amp;amp;dopt=Citation&amp;amp;list_uids=18637123 &lt;/url&gt;&lt;/related-urls&gt;&lt;/urls&gt;&lt;/record&gt;&lt;/Cite&gt;&lt;/EndNote&gt;</w:instrText>
      </w:r>
      <w:r w:rsidR="00366C44" w:rsidRPr="00873C4C">
        <w:rPr>
          <w:color w:val="000000"/>
        </w:rPr>
        <w:fldChar w:fldCharType="separate"/>
      </w:r>
      <w:r w:rsidR="006F41FE">
        <w:rPr>
          <w:noProof/>
          <w:color w:val="000000"/>
        </w:rPr>
        <w:t>(</w:t>
      </w:r>
      <w:hyperlink w:anchor="_ENREF_62" w:tooltip="Caers, 2008 #7" w:history="1">
        <w:r w:rsidR="004A784D">
          <w:rPr>
            <w:noProof/>
            <w:color w:val="000000"/>
          </w:rPr>
          <w:t>Caers et al., 2008</w:t>
        </w:r>
      </w:hyperlink>
      <w:r w:rsidR="006F41FE">
        <w:rPr>
          <w:noProof/>
          <w:color w:val="000000"/>
        </w:rPr>
        <w:t>)</w:t>
      </w:r>
      <w:r w:rsidR="00366C44" w:rsidRPr="00873C4C">
        <w:rPr>
          <w:color w:val="000000"/>
        </w:rPr>
        <w:fldChar w:fldCharType="end"/>
      </w:r>
      <w:r w:rsidR="00EA0A27" w:rsidRPr="00873C4C">
        <w:rPr>
          <w:color w:val="000000"/>
        </w:rPr>
        <w:t xml:space="preserve"> </w:t>
      </w:r>
      <w:r w:rsidR="003E6E43" w:rsidRPr="00873C4C">
        <w:rPr>
          <w:color w:val="000000"/>
        </w:rPr>
        <w:t xml:space="preserve">. </w:t>
      </w:r>
    </w:p>
    <w:p w:rsidR="004C2D3A" w:rsidRDefault="004C2D3A" w:rsidP="00057B42">
      <w:pPr>
        <w:spacing w:line="360" w:lineRule="auto"/>
        <w:jc w:val="both"/>
        <w:rPr>
          <w:color w:val="000000"/>
        </w:rPr>
      </w:pPr>
    </w:p>
    <w:p w:rsidR="00FE70C8" w:rsidRPr="00873C4C" w:rsidRDefault="00095179" w:rsidP="00095179">
      <w:pPr>
        <w:pStyle w:val="Heading6"/>
        <w:numPr>
          <w:ilvl w:val="0"/>
          <w:numId w:val="0"/>
        </w:numPr>
        <w:tabs>
          <w:tab w:val="left" w:pos="2127"/>
        </w:tabs>
        <w:spacing w:before="0" w:line="360" w:lineRule="auto"/>
        <w:rPr>
          <w:color w:val="000000"/>
        </w:rPr>
      </w:pPr>
      <w:r>
        <w:rPr>
          <w:color w:val="000000"/>
        </w:rPr>
        <w:t>1.1.2.4.8.3.3</w:t>
      </w:r>
      <w:r w:rsidRPr="00873C4C">
        <w:rPr>
          <w:color w:val="000000"/>
        </w:rPr>
        <w:tab/>
      </w:r>
      <w:r w:rsidR="00FE70C8" w:rsidRPr="00873C4C">
        <w:rPr>
          <w:color w:val="000000"/>
        </w:rPr>
        <w:tab/>
        <w:t>Whole-body MRI</w:t>
      </w:r>
    </w:p>
    <w:p w:rsidR="00410436" w:rsidRPr="00873C4C" w:rsidRDefault="003873DC" w:rsidP="00095179">
      <w:pPr>
        <w:spacing w:before="240" w:line="360" w:lineRule="auto"/>
        <w:jc w:val="both"/>
        <w:rPr>
          <w:color w:val="000000"/>
        </w:rPr>
      </w:pPr>
      <w:r w:rsidRPr="00873C4C">
        <w:rPr>
          <w:color w:val="000000"/>
        </w:rPr>
        <w:t>Has a higher sensitivity and specificity comparing with PET / CT and Skeletal Survey. The positive predictive value of whole-body MRI in the assessment of active disease is high at 88%. When used in combination and with concordant findings, PET / CT and whole-body MRI is found to have a specificity and positive predictive value of 100%, which may be of value to clinicians assessing the effectiveness of aggressive and expensive treatment regimens</w:t>
      </w:r>
      <w:r w:rsidR="00087806" w:rsidRPr="00873C4C">
        <w:rPr>
          <w:color w:val="000000"/>
        </w:rPr>
        <w:t xml:space="preserve"> </w:t>
      </w:r>
      <w:r w:rsidR="00087806" w:rsidRPr="00873C4C">
        <w:rPr>
          <w:color w:val="000000"/>
        </w:rPr>
        <w:fldChar w:fldCharType="begin">
          <w:fldData xml:space="preserve">PEVuZE5vdGU+PENpdGU+PEF1dGhvcj5HbGVlc29uPC9BdXRob3I+PFllYXI+MjAwOTwvWWVhcj48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</w:fldData>
        </w:fldChar>
      </w:r>
      <w:r w:rsidR="006F41FE">
        <w:rPr>
          <w:color w:val="000000"/>
        </w:rPr>
        <w:instrText xml:space="preserve"> ADDIN EN.CITE </w:instrText>
      </w:r>
      <w:r w:rsidR="006F41FE">
        <w:rPr>
          <w:color w:val="000000"/>
        </w:rPr>
        <w:fldChar w:fldCharType="begin">
          <w:fldData xml:space="preserve">PEVuZE5vdGU+PENpdGU+PEF1dGhvcj5HbGVlc29uPC9BdXRob3I+PFllYXI+MjAwOTwvWWVhcj48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</w:fldData>
        </w:fldChar>
      </w:r>
      <w:r w:rsidR="006F41FE">
        <w:rPr>
          <w:color w:val="000000"/>
        </w:rPr>
        <w:instrText xml:space="preserve"> ADDIN EN.CITE.DATA </w:instrText>
      </w:r>
      <w:r w:rsidR="006F41FE">
        <w:rPr>
          <w:color w:val="000000"/>
        </w:rPr>
      </w:r>
      <w:r w:rsidR="006F41FE">
        <w:rPr>
          <w:color w:val="000000"/>
        </w:rPr>
        <w:fldChar w:fldCharType="end"/>
      </w:r>
      <w:r w:rsidR="00087806" w:rsidRPr="00873C4C">
        <w:rPr>
          <w:color w:val="000000"/>
        </w:rPr>
      </w:r>
      <w:r w:rsidR="00087806" w:rsidRPr="00873C4C">
        <w:rPr>
          <w:color w:val="000000"/>
        </w:rPr>
        <w:fldChar w:fldCharType="separate"/>
      </w:r>
      <w:r w:rsidR="006F41FE">
        <w:rPr>
          <w:noProof/>
          <w:color w:val="000000"/>
        </w:rPr>
        <w:t>(</w:t>
      </w:r>
      <w:hyperlink w:anchor="_ENREF_146" w:tooltip="Gleeson, 2009 #2" w:history="1">
        <w:r w:rsidR="004A784D">
          <w:rPr>
            <w:noProof/>
            <w:color w:val="000000"/>
          </w:rPr>
          <w:t>Gleeson et al., 2009</w:t>
        </w:r>
      </w:hyperlink>
      <w:r w:rsidR="006F41FE">
        <w:rPr>
          <w:noProof/>
          <w:color w:val="000000"/>
        </w:rPr>
        <w:t xml:space="preserve">, </w:t>
      </w:r>
      <w:hyperlink w:anchor="_ENREF_385" w:tooltip="Shortt, 2009 #1" w:history="1">
        <w:r w:rsidR="004A784D">
          <w:rPr>
            <w:noProof/>
            <w:color w:val="000000"/>
          </w:rPr>
          <w:t>Shortt et al., 2009</w:t>
        </w:r>
      </w:hyperlink>
      <w:r w:rsidR="006F41FE">
        <w:rPr>
          <w:noProof/>
          <w:color w:val="000000"/>
        </w:rPr>
        <w:t>)</w:t>
      </w:r>
      <w:r w:rsidR="00087806" w:rsidRPr="00873C4C">
        <w:rPr>
          <w:color w:val="000000"/>
        </w:rPr>
        <w:fldChar w:fldCharType="end"/>
      </w:r>
      <w:r w:rsidRPr="00873C4C">
        <w:rPr>
          <w:color w:val="000000"/>
        </w:rPr>
        <w:t>.</w:t>
      </w:r>
      <w:r w:rsidR="00087806" w:rsidRPr="00873C4C">
        <w:rPr>
          <w:color w:val="000000"/>
        </w:rPr>
        <w:t xml:space="preserve"> In addition Diffuse marrow replacement on Whole body MRI adds to the evaluation of MM patients and their management </w:t>
      </w:r>
      <w:r w:rsidR="00087806" w:rsidRPr="00873C4C">
        <w:rPr>
          <w:color w:val="000000"/>
        </w:rPr>
        <w:fldChar w:fldCharType="begin"/>
      </w:r>
      <w:r w:rsidR="000F0D6C">
        <w:rPr>
          <w:color w:val="000000"/>
        </w:rPr>
        <w:instrText xml:space="preserve"> ADDIN EN.CITE &lt;EndNote&gt;&lt;Cite&gt;&lt;Author&gt;Moulopoulos&lt;/Author&gt;&lt;Year&gt;2005&lt;/Year&gt;&lt;RecNum&gt;4975&lt;/RecNum&gt;&lt;DisplayText&gt;(Moulopoulos et al., 2005)&lt;/DisplayText&gt;&lt;record&gt;&lt;rec-number&gt;4975&lt;/rec-number&gt;&lt;foreign-keys&gt;&lt;key app="EN" db-id="zf0awxsaczrdd3eft5qvw9wrtxxawdfrvw2a"&gt;4975&lt;/key&gt;&lt;/foreign-keys&gt;&lt;ref-type name="Journal Article"&gt;17&lt;/ref-type&gt;&lt;contributors&gt;&lt;authors&gt;&lt;author&gt;Moulopoulos, L. A.&lt;/author&gt;&lt;author&gt;Gika, D.&lt;/author&gt;&lt;author&gt;Anagnostopoulos, A.&lt;/author&gt;&lt;author&gt;Delasalle, K.&lt;/author&gt;&lt;author&gt;Weber, D.&lt;/author&gt;&lt;author&gt;Alexanian, R.&lt;/author&gt;&lt;author&gt;Dimopoulos, M. A.&lt;/author&gt;&lt;/authors&gt;&lt;/contributors&gt;&lt;auth-address&gt;Department of Radiology and Department of Clinical Therapeutics, University of Athens School of Medicine, Athens, Greece.&lt;/auth-address&gt;&lt;titles&gt;&lt;title&gt;Prognostic significance of magnetic resonance imaging of bone marrow in previously untreated patients with multiple myeloma&lt;/title&gt;&lt;secondary-title&gt;Ann Oncol&lt;/secondary-title&gt;&lt;/titles&gt;&lt;periodical&gt;&lt;full-title&gt;Ann Oncol&lt;/full-title&gt;&lt;/periodical&gt;&lt;pages&gt;1824-8&lt;/pages&gt;&lt;volume&gt;16&lt;/volume&gt;&lt;number&gt;11&lt;/number&gt;&lt;edition&gt;2005/08/10&lt;/edition&gt;&lt;keywords&gt;&lt;keyword&gt;Aged&lt;/keyword&gt;&lt;keyword&gt;Bone Marrow/*pathology&lt;/keyword&gt;&lt;keyword&gt;Combined Modality Therapy&lt;/keyword&gt;&lt;keyword&gt;Female&lt;/keyword&gt;&lt;keyword&gt;Humans&lt;/keyword&gt;&lt;keyword&gt;*Magnetic Resonance Imaging&lt;/keyword&gt;&lt;keyword&gt;Male&lt;/keyword&gt;&lt;keyword&gt;Multiple Myeloma/mortality/*pathology/therapy&lt;/keyword&gt;&lt;keyword&gt;Neoplasm Staging&lt;/keyword&gt;&lt;keyword&gt;Prognosis&lt;/keyword&gt;&lt;keyword&gt;Survival Rate&lt;/keyword&gt;&lt;/keywords&gt;&lt;dates&gt;&lt;year&gt;2005&lt;/year&gt;&lt;pub-dates&gt;&lt;date&gt;Nov&lt;/date&gt;&lt;/pub-dates&gt;&lt;/dates&gt;&lt;isbn&gt;0923-7534 (Print)&amp;#xD;0923-7534 (Linking)&lt;/isbn&gt;&lt;accession-num&gt;16087694&lt;/accession-num&gt;&lt;urls&gt;&lt;related-urls&gt;&lt;url&gt;http://www.ncbi.nlm.nih.gov/pubmed/16087694&lt;/url&gt;&lt;/related-urls&gt;&lt;/urls&gt;&lt;electronic-resource-num&gt;mdi362 [pii]&amp;#xD;10.1093/annonc/mdi362&lt;/electronic-resource-num&gt;&lt;language&gt;eng&lt;/language&gt;&lt;/record&gt;&lt;/Cite&gt;&lt;/EndNote&gt;</w:instrText>
      </w:r>
      <w:r w:rsidR="00087806" w:rsidRPr="00873C4C">
        <w:rPr>
          <w:color w:val="000000"/>
        </w:rPr>
        <w:fldChar w:fldCharType="separate"/>
      </w:r>
      <w:r w:rsidR="006F41FE">
        <w:rPr>
          <w:noProof/>
          <w:color w:val="000000"/>
        </w:rPr>
        <w:t>(</w:t>
      </w:r>
      <w:hyperlink w:anchor="_ENREF_280" w:tooltip="Moulopoulos, 2005 #4975" w:history="1">
        <w:r w:rsidR="004A784D">
          <w:rPr>
            <w:noProof/>
            <w:color w:val="000000"/>
          </w:rPr>
          <w:t>Moulopoulos et al., 2005</w:t>
        </w:r>
      </w:hyperlink>
      <w:r w:rsidR="006F41FE">
        <w:rPr>
          <w:noProof/>
          <w:color w:val="000000"/>
        </w:rPr>
        <w:t>)</w:t>
      </w:r>
      <w:r w:rsidR="00087806" w:rsidRPr="00873C4C">
        <w:rPr>
          <w:color w:val="000000"/>
        </w:rPr>
        <w:fldChar w:fldCharType="end"/>
      </w:r>
      <w:r w:rsidR="00087806" w:rsidRPr="00873C4C">
        <w:rPr>
          <w:color w:val="000000"/>
        </w:rPr>
        <w:t>.</w:t>
      </w:r>
    </w:p>
    <w:p w:rsidR="008E48A4" w:rsidRPr="00873C4C" w:rsidRDefault="008E48A4" w:rsidP="00057B42">
      <w:pPr>
        <w:spacing w:line="360" w:lineRule="auto"/>
        <w:jc w:val="both"/>
        <w:rPr>
          <w:color w:val="000000"/>
        </w:rPr>
      </w:pPr>
    </w:p>
    <w:p w:rsidR="00095179" w:rsidRDefault="00095179">
      <w:pPr>
        <w:rPr>
          <w:b/>
          <w:bCs/>
          <w:iCs/>
          <w:sz w:val="26"/>
          <w:szCs w:val="26"/>
          <w:lang w:val="en-GB" w:eastAsia="en-US"/>
        </w:rPr>
      </w:pPr>
      <w:bookmarkStart w:id="96" w:name="_Toc260495781"/>
      <w:bookmarkStart w:id="97" w:name="_Toc260496032"/>
      <w:bookmarkStart w:id="98" w:name="_Toc260500425"/>
      <w:bookmarkStart w:id="99" w:name="_Toc261098451"/>
      <w:r>
        <w:rPr>
          <w:lang w:val="en-GB"/>
        </w:rPr>
        <w:br w:type="page"/>
      </w:r>
    </w:p>
    <w:p w:rsidR="00E22914" w:rsidRDefault="003B1225" w:rsidP="00057B42">
      <w:pPr>
        <w:pStyle w:val="Heading5"/>
        <w:spacing w:before="0" w:line="360" w:lineRule="auto"/>
      </w:pPr>
      <w:r w:rsidRPr="00873C4C">
        <w:rPr>
          <w:lang w:val="en-GB"/>
        </w:rPr>
        <w:lastRenderedPageBreak/>
        <w:tab/>
      </w:r>
      <w:bookmarkStart w:id="100" w:name="_Toc305759103"/>
      <w:r w:rsidR="00095179">
        <w:rPr>
          <w:lang w:val="en-GB"/>
        </w:rPr>
        <w:tab/>
      </w:r>
      <w:r w:rsidR="00E22914" w:rsidRPr="00873C4C">
        <w:rPr>
          <w:lang w:val="en-GB"/>
        </w:rPr>
        <w:t>Cr</w:t>
      </w:r>
      <w:r w:rsidR="00E22914" w:rsidRPr="00873C4C">
        <w:t xml:space="preserve">iteria for diagnosis of </w:t>
      </w:r>
      <w:r w:rsidR="0087174D" w:rsidRPr="00873C4C">
        <w:t>MM</w:t>
      </w:r>
      <w:r w:rsidR="00E22914" w:rsidRPr="00873C4C">
        <w:t xml:space="preserve"> requires </w:t>
      </w:r>
      <w:r w:rsidR="00907576">
        <w:t xml:space="preserve">the </w:t>
      </w:r>
      <w:r w:rsidR="00E22914" w:rsidRPr="00873C4C">
        <w:t>following</w:t>
      </w:r>
      <w:bookmarkEnd w:id="96"/>
      <w:bookmarkEnd w:id="97"/>
      <w:bookmarkEnd w:id="98"/>
      <w:bookmarkEnd w:id="99"/>
      <w:bookmarkEnd w:id="100"/>
    </w:p>
    <w:p w:rsidR="007F7A1B" w:rsidRPr="00873C4C" w:rsidRDefault="00FC6CD4" w:rsidP="00057B42">
      <w:pPr>
        <w:spacing w:before="100" w:beforeAutospacing="1" w:after="100" w:afterAutospacing="1" w:line="360" w:lineRule="auto"/>
        <w:jc w:val="both"/>
        <w:rPr>
          <w:rFonts w:eastAsia="Times New Roman"/>
          <w:color w:val="000000"/>
          <w:lang w:val="en-GB" w:eastAsia="en-GB"/>
        </w:rPr>
      </w:pPr>
      <w:r w:rsidRPr="00873C4C">
        <w:rPr>
          <w:rFonts w:eastAsia="Times New Roman"/>
          <w:color w:val="000000"/>
          <w:lang w:val="en-GB" w:eastAsia="en-GB"/>
        </w:rPr>
        <w:t xml:space="preserve">A bone marrow aspirate or biopsy showing that at least 10 percent of the cells are plasma cells or the presence of a </w:t>
      </w:r>
      <w:r w:rsidR="007F7A1B" w:rsidRPr="00873C4C">
        <w:rPr>
          <w:rFonts w:eastAsia="Times New Roman"/>
          <w:bCs/>
          <w:color w:val="000000"/>
          <w:lang w:eastAsia="en-GB"/>
        </w:rPr>
        <w:t xml:space="preserve">biopsy-proven </w:t>
      </w:r>
      <w:r w:rsidR="00410436" w:rsidRPr="00873C4C">
        <w:rPr>
          <w:rFonts w:eastAsia="Times New Roman"/>
          <w:color w:val="000000"/>
          <w:lang w:val="en-GB" w:eastAsia="en-GB"/>
        </w:rPr>
        <w:t xml:space="preserve">plasma cell </w:t>
      </w:r>
      <w:r w:rsidR="007F7A1B" w:rsidRPr="00873C4C">
        <w:rPr>
          <w:rFonts w:eastAsia="Times New Roman"/>
          <w:color w:val="000000"/>
          <w:lang w:val="en-GB" w:eastAsia="en-GB"/>
        </w:rPr>
        <w:t>tumour</w:t>
      </w:r>
      <w:r w:rsidR="00410436" w:rsidRPr="00873C4C">
        <w:rPr>
          <w:rFonts w:eastAsia="Times New Roman"/>
          <w:color w:val="000000"/>
          <w:lang w:val="en-GB" w:eastAsia="en-GB"/>
        </w:rPr>
        <w:t xml:space="preserve"> (called a p</w:t>
      </w:r>
      <w:r w:rsidR="007F7A1B" w:rsidRPr="00873C4C">
        <w:rPr>
          <w:rFonts w:eastAsia="Times New Roman"/>
          <w:color w:val="000000"/>
          <w:lang w:val="en-GB" w:eastAsia="en-GB"/>
        </w:rPr>
        <w:t>lasmacytoma).</w:t>
      </w:r>
      <w:r w:rsidR="003B1225" w:rsidRPr="00873C4C">
        <w:rPr>
          <w:rFonts w:eastAsia="Times New Roman"/>
          <w:color w:val="000000"/>
          <w:lang w:val="en-GB" w:eastAsia="en-GB"/>
        </w:rPr>
        <w:t xml:space="preserve"> </w:t>
      </w:r>
      <w:r w:rsidR="007F7A1B" w:rsidRPr="00873C4C">
        <w:rPr>
          <w:rFonts w:eastAsia="Times New Roman"/>
          <w:bCs/>
          <w:color w:val="000000"/>
          <w:lang w:eastAsia="en-GB"/>
        </w:rPr>
        <w:t>Monoclonal protein present in the serum and/or urine</w:t>
      </w:r>
      <w:r w:rsidR="007F7A1B" w:rsidRPr="00873C4C">
        <w:rPr>
          <w:rFonts w:eastAsia="Times New Roman"/>
          <w:color w:val="000000"/>
          <w:lang w:val="en-GB" w:eastAsia="en-GB"/>
        </w:rPr>
        <w:t xml:space="preserve"> (</w:t>
      </w:r>
      <w:r w:rsidR="007F7A1B" w:rsidRPr="00873C4C">
        <w:rPr>
          <w:rFonts w:eastAsia="Times New Roman"/>
          <w:color w:val="000000"/>
          <w:lang w:eastAsia="en-GB"/>
        </w:rPr>
        <w:t xml:space="preserve">If no </w:t>
      </w:r>
      <w:r w:rsidR="0046493F" w:rsidRPr="00873C4C">
        <w:rPr>
          <w:rFonts w:eastAsia="Times New Roman"/>
          <w:color w:val="000000"/>
          <w:lang w:eastAsia="en-GB"/>
        </w:rPr>
        <w:t>monoclonal protein is detected that is non-secretary disease</w:t>
      </w:r>
      <w:r w:rsidR="007F7A1B" w:rsidRPr="00873C4C">
        <w:rPr>
          <w:rFonts w:eastAsia="Times New Roman"/>
          <w:color w:val="000000"/>
          <w:lang w:eastAsia="en-GB"/>
        </w:rPr>
        <w:t xml:space="preserve">, then &gt; 30% monoclonal bone marrow plasma cells and/or a biopsy-proven plasmacytoma required) </w:t>
      </w:r>
    </w:p>
    <w:p w:rsidR="00501B8A" w:rsidRPr="00873C4C" w:rsidRDefault="003009A7" w:rsidP="00057B42">
      <w:pPr>
        <w:spacing w:before="100" w:beforeAutospacing="1" w:after="100" w:afterAutospacing="1" w:line="360" w:lineRule="auto"/>
        <w:jc w:val="both"/>
        <w:rPr>
          <w:color w:val="000000"/>
        </w:rPr>
      </w:pPr>
      <w:r>
        <w:rPr>
          <w:rFonts w:eastAsia="Times New Roman"/>
          <w:bCs/>
          <w:color w:val="000000"/>
          <w:lang w:eastAsia="en-GB"/>
        </w:rPr>
        <w:t>In addition</w:t>
      </w:r>
      <w:r w:rsidR="00866411" w:rsidRPr="00873C4C">
        <w:rPr>
          <w:rFonts w:eastAsia="Times New Roman"/>
          <w:bCs/>
          <w:color w:val="000000"/>
          <w:lang w:eastAsia="en-GB"/>
        </w:rPr>
        <w:t xml:space="preserve"> one or more of the following </w:t>
      </w:r>
      <w:r w:rsidR="007F7A1B" w:rsidRPr="00873C4C">
        <w:rPr>
          <w:rFonts w:eastAsia="Times New Roman"/>
          <w:bCs/>
          <w:color w:val="000000"/>
          <w:lang w:eastAsia="en-GB"/>
        </w:rPr>
        <w:t xml:space="preserve">Myeloma-related organ dysfunction </w:t>
      </w:r>
      <w:r>
        <w:rPr>
          <w:rFonts w:eastAsia="Times New Roman"/>
          <w:bCs/>
          <w:color w:val="000000"/>
          <w:lang w:eastAsia="en-GB"/>
        </w:rPr>
        <w:t>are required:</w:t>
      </w:r>
      <w:r w:rsidR="003E5573" w:rsidRPr="00873C4C">
        <w:rPr>
          <w:color w:val="000000"/>
        </w:rPr>
        <w:t xml:space="preserve"> </w:t>
      </w:r>
      <w:r w:rsidR="007F7A1B" w:rsidRPr="00873C4C">
        <w:rPr>
          <w:rFonts w:eastAsia="Times New Roman"/>
          <w:bCs/>
          <w:color w:val="000000"/>
          <w:lang w:eastAsia="en-GB"/>
        </w:rPr>
        <w:t xml:space="preserve">[C] Calcium elevation in the </w:t>
      </w:r>
      <w:r w:rsidR="003B1225" w:rsidRPr="00873C4C">
        <w:rPr>
          <w:rFonts w:eastAsia="Times New Roman"/>
          <w:bCs/>
          <w:color w:val="000000"/>
          <w:lang w:eastAsia="en-GB"/>
        </w:rPr>
        <w:t xml:space="preserve">blood, </w:t>
      </w:r>
      <w:r w:rsidR="007F7A1B" w:rsidRPr="00873C4C">
        <w:rPr>
          <w:rFonts w:eastAsia="Times New Roman"/>
          <w:bCs/>
          <w:color w:val="000000"/>
          <w:lang w:eastAsia="en-GB"/>
        </w:rPr>
        <w:t>[R] Renal insufficiency</w:t>
      </w:r>
      <w:r w:rsidR="003B1225" w:rsidRPr="00873C4C">
        <w:rPr>
          <w:rFonts w:eastAsia="Times New Roman"/>
          <w:bCs/>
          <w:color w:val="000000"/>
          <w:lang w:eastAsia="en-GB"/>
        </w:rPr>
        <w:t xml:space="preserve">, </w:t>
      </w:r>
      <w:r w:rsidR="007F7A1B" w:rsidRPr="00873C4C">
        <w:rPr>
          <w:rFonts w:eastAsia="Times New Roman"/>
          <w:bCs/>
          <w:color w:val="000000"/>
          <w:lang w:eastAsia="en-GB"/>
        </w:rPr>
        <w:t xml:space="preserve">[A] </w:t>
      </w:r>
      <w:r w:rsidR="0046493F" w:rsidRPr="00873C4C">
        <w:rPr>
          <w:rFonts w:eastAsia="Times New Roman"/>
          <w:bCs/>
          <w:color w:val="000000"/>
          <w:lang w:eastAsia="en-GB"/>
        </w:rPr>
        <w:t>Anaemia</w:t>
      </w:r>
      <w:r w:rsidR="003B1225" w:rsidRPr="00873C4C">
        <w:rPr>
          <w:rFonts w:eastAsia="Times New Roman"/>
          <w:bCs/>
          <w:color w:val="000000"/>
          <w:lang w:eastAsia="en-GB"/>
        </w:rPr>
        <w:t xml:space="preserve">, </w:t>
      </w:r>
      <w:r w:rsidR="007F7A1B" w:rsidRPr="00873C4C">
        <w:rPr>
          <w:color w:val="000000"/>
          <w:lang w:eastAsia="en-GB"/>
        </w:rPr>
        <w:t>[B] Lytic bone lesions or osteoporosis</w:t>
      </w:r>
      <w:r w:rsidR="008F448C" w:rsidRPr="00873C4C">
        <w:rPr>
          <w:color w:val="000000"/>
          <w:lang w:eastAsia="en-GB"/>
        </w:rPr>
        <w:t>,</w:t>
      </w:r>
      <w:r w:rsidRPr="003009A7">
        <w:rPr>
          <w:rFonts w:eastAsia="Times New Roman"/>
          <w:bCs/>
          <w:color w:val="000000"/>
          <w:lang w:eastAsia="en-GB"/>
        </w:rPr>
        <w:t xml:space="preserve"> </w:t>
      </w:r>
      <w:r w:rsidRPr="00596A14">
        <w:rPr>
          <w:rFonts w:eastAsia="Times New Roman"/>
          <w:bCs/>
          <w:color w:val="000000"/>
          <w:lang w:eastAsia="en-GB"/>
        </w:rPr>
        <w:t>(CRAB)</w:t>
      </w:r>
      <w:r w:rsidRPr="00873C4C">
        <w:rPr>
          <w:rFonts w:eastAsia="Times New Roman"/>
          <w:b/>
          <w:bCs/>
          <w:color w:val="000000"/>
          <w:lang w:eastAsia="en-GB"/>
        </w:rPr>
        <w:t xml:space="preserve"> </w:t>
      </w:r>
      <w:r w:rsidRPr="00873C4C">
        <w:rPr>
          <w:color w:val="000000"/>
        </w:rPr>
        <w:fldChar w:fldCharType="begin">
          <w:fldData xml:space="preserve">PEVuZE5vdGU+PENpdGU+PEF1dGhvcj5LdW1hcjwvQXV0aG9yPjxZZWFyPjIwMDk8L1llYXI+PFJl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=
</w:fldData>
        </w:fldChar>
      </w:r>
      <w:r>
        <w:rPr>
          <w:color w:val="000000"/>
        </w:rPr>
        <w:instrText xml:space="preserve"> ADDIN EN.CITE </w:instrText>
      </w:r>
      <w:r>
        <w:rPr>
          <w:color w:val="000000"/>
        </w:rPr>
        <w:fldChar w:fldCharType="begin">
          <w:fldData xml:space="preserve">PEVuZE5vdGU+PENpdGU+PEF1dGhvcj5LdW1hcjwvQXV0aG9yPjxZZWFyPjIwMDk8L1llYXI+PFJl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=
</w:fldData>
        </w:fldChar>
      </w:r>
      <w:r>
        <w:rPr>
          <w:color w:val="000000"/>
        </w:rPr>
        <w:instrText xml:space="preserve"> ADDIN EN.CITE.DATA </w:instrText>
      </w:r>
      <w:r>
        <w:rPr>
          <w:color w:val="000000"/>
        </w:rPr>
      </w:r>
      <w:r>
        <w:rPr>
          <w:color w:val="000000"/>
        </w:rPr>
        <w:fldChar w:fldCharType="end"/>
      </w:r>
      <w:r w:rsidRPr="00873C4C">
        <w:rPr>
          <w:color w:val="000000"/>
        </w:rPr>
      </w:r>
      <w:r w:rsidRPr="00873C4C">
        <w:rPr>
          <w:color w:val="000000"/>
        </w:rPr>
        <w:fldChar w:fldCharType="separate"/>
      </w:r>
      <w:r>
        <w:rPr>
          <w:noProof/>
          <w:color w:val="000000"/>
        </w:rPr>
        <w:t>(</w:t>
      </w:r>
      <w:hyperlink w:anchor="_ENREF_227" w:tooltip="Kumar, 2009 #5" w:history="1">
        <w:r w:rsidR="004A784D">
          <w:rPr>
            <w:noProof/>
            <w:color w:val="000000"/>
          </w:rPr>
          <w:t>Kumar et al., 2009</w:t>
        </w:r>
      </w:hyperlink>
      <w:r>
        <w:rPr>
          <w:noProof/>
          <w:color w:val="000000"/>
        </w:rPr>
        <w:t xml:space="preserve">, </w:t>
      </w:r>
      <w:hyperlink w:anchor="_ENREF_112" w:tooltip="Durie, 2003 #141" w:history="1">
        <w:r w:rsidR="004A784D">
          <w:rPr>
            <w:noProof/>
            <w:color w:val="000000"/>
          </w:rPr>
          <w:t>Durie et al., 2003</w:t>
        </w:r>
      </w:hyperlink>
      <w:r>
        <w:rPr>
          <w:noProof/>
          <w:color w:val="000000"/>
        </w:rPr>
        <w:t xml:space="preserve">, </w:t>
      </w:r>
      <w:hyperlink w:anchor="_ENREF_232" w:tooltip="Kyle, 2009 #40" w:history="1">
        <w:r w:rsidR="004A784D">
          <w:rPr>
            <w:noProof/>
            <w:color w:val="000000"/>
          </w:rPr>
          <w:t>Kyle and Rajkumar, 2009a</w:t>
        </w:r>
      </w:hyperlink>
      <w:r>
        <w:rPr>
          <w:noProof/>
          <w:color w:val="000000"/>
        </w:rPr>
        <w:t>)</w:t>
      </w:r>
      <w:r w:rsidRPr="00873C4C">
        <w:rPr>
          <w:color w:val="000000"/>
        </w:rPr>
        <w:fldChar w:fldCharType="end"/>
      </w:r>
      <w:r w:rsidRPr="00873C4C">
        <w:rPr>
          <w:color w:val="000000"/>
        </w:rPr>
        <w:t>.</w:t>
      </w:r>
      <w:r w:rsidR="008F448C" w:rsidRPr="00873C4C">
        <w:rPr>
          <w:color w:val="000000"/>
          <w:lang w:eastAsia="en-GB"/>
        </w:rPr>
        <w:t xml:space="preserve"> </w:t>
      </w:r>
    </w:p>
    <w:p w:rsidR="00B933E7" w:rsidRDefault="00B933E7" w:rsidP="00057B42">
      <w:pPr>
        <w:spacing w:line="360" w:lineRule="auto"/>
        <w:rPr>
          <w:color w:val="000000"/>
          <w:sz w:val="26"/>
          <w:szCs w:val="26"/>
          <w:lang w:eastAsia="en-US"/>
        </w:rPr>
      </w:pPr>
      <w:bookmarkStart w:id="101" w:name="_Toc260495783"/>
      <w:bookmarkStart w:id="102" w:name="_Toc260496034"/>
      <w:bookmarkStart w:id="103" w:name="_Toc260500427"/>
      <w:bookmarkStart w:id="104" w:name="_Toc261098453"/>
      <w:bookmarkStart w:id="105" w:name="_Toc305759104"/>
      <w:bookmarkStart w:id="106" w:name="_Toc306570533"/>
    </w:p>
    <w:p w:rsidR="003175C6" w:rsidRDefault="00895BAB" w:rsidP="00645687">
      <w:pPr>
        <w:pStyle w:val="Heading3"/>
      </w:pPr>
      <w:r>
        <w:tab/>
      </w:r>
      <w:bookmarkStart w:id="107" w:name="_Toc307067598"/>
      <w:bookmarkStart w:id="108" w:name="_Toc312169157"/>
      <w:bookmarkStart w:id="109" w:name="_Toc312172084"/>
      <w:bookmarkStart w:id="110" w:name="_Toc312257633"/>
      <w:r w:rsidR="003175C6" w:rsidRPr="00873C4C">
        <w:t>Staging of Multiple Myeloma</w:t>
      </w:r>
      <w:bookmarkEnd w:id="101"/>
      <w:bookmarkEnd w:id="102"/>
      <w:bookmarkEnd w:id="103"/>
      <w:bookmarkEnd w:id="104"/>
      <w:bookmarkEnd w:id="105"/>
      <w:bookmarkEnd w:id="106"/>
      <w:bookmarkEnd w:id="107"/>
      <w:bookmarkEnd w:id="108"/>
      <w:bookmarkEnd w:id="109"/>
      <w:bookmarkEnd w:id="110"/>
    </w:p>
    <w:p w:rsidR="003175C6" w:rsidRDefault="008F448C" w:rsidP="00645687">
      <w:pPr>
        <w:pStyle w:val="Heading4"/>
      </w:pPr>
      <w:r w:rsidRPr="00873C4C">
        <w:tab/>
      </w:r>
      <w:bookmarkStart w:id="111" w:name="_Toc305759105"/>
      <w:bookmarkStart w:id="112" w:name="_Toc306570534"/>
      <w:bookmarkStart w:id="113" w:name="_Toc307067599"/>
      <w:bookmarkStart w:id="114" w:name="_Toc312169158"/>
      <w:bookmarkStart w:id="115" w:name="_Toc312172085"/>
      <w:bookmarkStart w:id="116" w:name="_Toc312257634"/>
      <w:r w:rsidR="003175C6" w:rsidRPr="00873C4C">
        <w:t>The International Staging System</w:t>
      </w:r>
      <w:r w:rsidR="00C11657" w:rsidRPr="00873C4C">
        <w:t xml:space="preserve"> (ISS)</w:t>
      </w:r>
      <w:bookmarkEnd w:id="111"/>
      <w:bookmarkEnd w:id="112"/>
      <w:bookmarkEnd w:id="113"/>
      <w:bookmarkEnd w:id="114"/>
      <w:bookmarkEnd w:id="115"/>
      <w:bookmarkEnd w:id="116"/>
    </w:p>
    <w:p w:rsidR="003175C6" w:rsidRDefault="003175C6" w:rsidP="00095179">
      <w:pPr>
        <w:keepNext/>
        <w:keepLines/>
        <w:widowControl w:val="0"/>
        <w:tabs>
          <w:tab w:val="center" w:pos="4680"/>
        </w:tabs>
        <w:spacing w:before="240" w:line="360" w:lineRule="auto"/>
        <w:jc w:val="both"/>
        <w:rPr>
          <w:rFonts w:eastAsia="Times New Roman"/>
          <w:color w:val="000000"/>
          <w:lang w:eastAsia="en-US"/>
        </w:rPr>
      </w:pPr>
      <w:r w:rsidRPr="00873C4C">
        <w:rPr>
          <w:rFonts w:eastAsia="Times New Roman"/>
          <w:color w:val="000000"/>
          <w:lang w:eastAsia="en-US"/>
        </w:rPr>
        <w:t xml:space="preserve">This system divides MM cases into 3 stages based on the serum </w:t>
      </w:r>
      <w:r w:rsidR="00974085" w:rsidRPr="00873C4C">
        <w:rPr>
          <w:color w:val="000000"/>
        </w:rPr>
        <w:t>B</w:t>
      </w:r>
      <w:r w:rsidR="00525E0D" w:rsidRPr="00873C4C">
        <w:rPr>
          <w:color w:val="000000"/>
        </w:rPr>
        <w:t>2M</w:t>
      </w:r>
      <w:r w:rsidR="00525E0D" w:rsidRPr="00873C4C">
        <w:rPr>
          <w:rFonts w:eastAsia="Times New Roman"/>
          <w:color w:val="000000"/>
          <w:lang w:eastAsia="en-US"/>
        </w:rPr>
        <w:t xml:space="preserve"> </w:t>
      </w:r>
      <w:r w:rsidRPr="00873C4C">
        <w:rPr>
          <w:rFonts w:eastAsia="Times New Roman"/>
          <w:color w:val="000000"/>
          <w:lang w:eastAsia="en-US"/>
        </w:rPr>
        <w:t>and serum albumin levels</w:t>
      </w:r>
      <w:r w:rsidR="00366C44" w:rsidRPr="00873C4C">
        <w:rPr>
          <w:rFonts w:eastAsia="Times New Roman"/>
          <w:color w:val="000000"/>
          <w:lang w:eastAsia="en-US"/>
        </w:rPr>
        <w:t xml:space="preserve"> </w:t>
      </w:r>
      <w:r w:rsidR="00366C44" w:rsidRPr="00873C4C">
        <w:rPr>
          <w:rFonts w:eastAsia="Times New Roman"/>
          <w:color w:val="000000"/>
          <w:lang w:eastAsia="en-US"/>
        </w:rPr>
        <w:fldChar w:fldCharType="begin">
          <w:fldData xml:space="preserve">PEVuZE5vdGU+PENpdGU+PEF1dGhvcj5DYWVyczwvQXV0aG9yPjxZZWFyPjIwMDg8L1llYXI+PFJl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</w:fldData>
        </w:fldChar>
      </w:r>
      <w:r w:rsidR="006F41FE">
        <w:rPr>
          <w:rFonts w:eastAsia="Times New Roman"/>
          <w:color w:val="000000"/>
          <w:lang w:eastAsia="en-US"/>
        </w:rPr>
        <w:instrText xml:space="preserve"> ADDIN EN.CITE </w:instrText>
      </w:r>
      <w:r w:rsidR="006F41FE">
        <w:rPr>
          <w:rFonts w:eastAsia="Times New Roman"/>
          <w:color w:val="000000"/>
          <w:lang w:eastAsia="en-US"/>
        </w:rPr>
        <w:fldChar w:fldCharType="begin">
          <w:fldData xml:space="preserve">PEVuZE5vdGU+PENpdGU+PEF1dGhvcj5DYWVyczwvQXV0aG9yPjxZZWFyPjIwMDg8L1llYXI+PFJl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</w:fldData>
        </w:fldChar>
      </w:r>
      <w:r w:rsidR="006F41FE">
        <w:rPr>
          <w:rFonts w:eastAsia="Times New Roman"/>
          <w:color w:val="000000"/>
          <w:lang w:eastAsia="en-US"/>
        </w:rPr>
        <w:instrText xml:space="preserve"> ADDIN EN.CITE.DATA </w:instrText>
      </w:r>
      <w:r w:rsidR="006F41FE">
        <w:rPr>
          <w:rFonts w:eastAsia="Times New Roman"/>
          <w:color w:val="000000"/>
          <w:lang w:eastAsia="en-US"/>
        </w:rPr>
      </w:r>
      <w:r w:rsidR="006F41FE">
        <w:rPr>
          <w:rFonts w:eastAsia="Times New Roman"/>
          <w:color w:val="000000"/>
          <w:lang w:eastAsia="en-US"/>
        </w:rPr>
        <w:fldChar w:fldCharType="end"/>
      </w:r>
      <w:r w:rsidR="00366C44" w:rsidRPr="00873C4C">
        <w:rPr>
          <w:rFonts w:eastAsia="Times New Roman"/>
          <w:color w:val="000000"/>
          <w:lang w:eastAsia="en-US"/>
        </w:rPr>
      </w:r>
      <w:r w:rsidR="00366C44" w:rsidRPr="00873C4C">
        <w:rPr>
          <w:rFonts w:eastAsia="Times New Roman"/>
          <w:color w:val="000000"/>
          <w:lang w:eastAsia="en-US"/>
        </w:rPr>
        <w:fldChar w:fldCharType="separate"/>
      </w:r>
      <w:r w:rsidR="006F41FE">
        <w:rPr>
          <w:rFonts w:eastAsia="Times New Roman"/>
          <w:noProof/>
          <w:color w:val="000000"/>
          <w:lang w:eastAsia="en-US"/>
        </w:rPr>
        <w:t>(</w:t>
      </w:r>
      <w:hyperlink w:anchor="_ENREF_62" w:tooltip="Caers, 2008 #7" w:history="1">
        <w:r w:rsidR="004A784D">
          <w:rPr>
            <w:rFonts w:eastAsia="Times New Roman"/>
            <w:noProof/>
            <w:color w:val="000000"/>
            <w:lang w:eastAsia="en-US"/>
          </w:rPr>
          <w:t>Caers et al., 2008</w:t>
        </w:r>
      </w:hyperlink>
      <w:r w:rsidR="006F41FE">
        <w:rPr>
          <w:rFonts w:eastAsia="Times New Roman"/>
          <w:noProof/>
          <w:color w:val="000000"/>
          <w:lang w:eastAsia="en-US"/>
        </w:rPr>
        <w:t xml:space="preserve">, </w:t>
      </w:r>
      <w:hyperlink w:anchor="_ENREF_460" w:tooltip="Yun, 2006 #124" w:history="1">
        <w:r w:rsidR="004A784D">
          <w:rPr>
            <w:rFonts w:eastAsia="Times New Roman"/>
            <w:noProof/>
            <w:color w:val="000000"/>
            <w:lang w:eastAsia="en-US"/>
          </w:rPr>
          <w:t>Yun et al., 2006</w:t>
        </w:r>
      </w:hyperlink>
      <w:r w:rsidR="006F41FE">
        <w:rPr>
          <w:rFonts w:eastAsia="Times New Roman"/>
          <w:noProof/>
          <w:color w:val="000000"/>
          <w:lang w:eastAsia="en-US"/>
        </w:rPr>
        <w:t>)</w:t>
      </w:r>
      <w:r w:rsidR="00366C44" w:rsidRPr="00873C4C">
        <w:rPr>
          <w:rFonts w:eastAsia="Times New Roman"/>
          <w:color w:val="000000"/>
          <w:lang w:eastAsia="en-US"/>
        </w:rPr>
        <w:fldChar w:fldCharType="end"/>
      </w:r>
      <w:r w:rsidR="003364BB" w:rsidRPr="00873C4C">
        <w:rPr>
          <w:color w:val="000000"/>
        </w:rPr>
        <w:t>.</w:t>
      </w:r>
      <w:r w:rsidR="008F448C" w:rsidRPr="00873C4C">
        <w:rPr>
          <w:color w:val="000000"/>
        </w:rPr>
        <w:t xml:space="preserve"> </w:t>
      </w:r>
      <w:r w:rsidRPr="00873C4C">
        <w:rPr>
          <w:rFonts w:eastAsia="Times New Roman"/>
          <w:color w:val="000000"/>
          <w:lang w:eastAsia="en-US"/>
        </w:rPr>
        <w:t xml:space="preserve">Stage I: Serum </w:t>
      </w:r>
      <w:r w:rsidR="00974085" w:rsidRPr="00873C4C">
        <w:rPr>
          <w:color w:val="000000"/>
        </w:rPr>
        <w:t>B</w:t>
      </w:r>
      <w:r w:rsidR="00525E0D" w:rsidRPr="00873C4C">
        <w:rPr>
          <w:color w:val="000000"/>
        </w:rPr>
        <w:t>2M</w:t>
      </w:r>
      <w:r w:rsidR="00525E0D" w:rsidRPr="00873C4C">
        <w:rPr>
          <w:rFonts w:eastAsia="Times New Roman"/>
          <w:color w:val="000000"/>
          <w:lang w:eastAsia="en-US"/>
        </w:rPr>
        <w:t xml:space="preserve"> </w:t>
      </w:r>
      <w:r w:rsidRPr="00873C4C">
        <w:rPr>
          <w:rFonts w:eastAsia="Times New Roman"/>
          <w:color w:val="000000"/>
          <w:lang w:eastAsia="en-US"/>
        </w:rPr>
        <w:t xml:space="preserve">is less than 3.5 (mg/L) and the albumin level is 3.5 (g/dL) or higher. Stage II: Neither stage I or III, meaning that either: the </w:t>
      </w:r>
      <w:r w:rsidR="00974085" w:rsidRPr="00873C4C">
        <w:rPr>
          <w:color w:val="000000"/>
        </w:rPr>
        <w:t>B</w:t>
      </w:r>
      <w:r w:rsidR="00525E0D" w:rsidRPr="00873C4C">
        <w:rPr>
          <w:color w:val="000000"/>
        </w:rPr>
        <w:t>2M</w:t>
      </w:r>
      <w:r w:rsidR="00525E0D" w:rsidRPr="00873C4C">
        <w:rPr>
          <w:rFonts w:eastAsia="Times New Roman"/>
          <w:color w:val="000000"/>
          <w:lang w:eastAsia="en-US"/>
        </w:rPr>
        <w:t xml:space="preserve"> </w:t>
      </w:r>
      <w:r w:rsidRPr="00873C4C">
        <w:rPr>
          <w:rFonts w:eastAsia="Times New Roman"/>
          <w:color w:val="000000"/>
          <w:lang w:eastAsia="en-US"/>
        </w:rPr>
        <w:t xml:space="preserve">level is between 3.5 and 5.5 (g/dL) with any albumin level or the albumin is below 3.5 (g/dL) while the </w:t>
      </w:r>
      <w:r w:rsidR="00974085" w:rsidRPr="00873C4C">
        <w:rPr>
          <w:color w:val="000000"/>
        </w:rPr>
        <w:t>B</w:t>
      </w:r>
      <w:r w:rsidR="00525E0D" w:rsidRPr="00873C4C">
        <w:rPr>
          <w:color w:val="000000"/>
        </w:rPr>
        <w:t>2M</w:t>
      </w:r>
      <w:r w:rsidR="00525E0D" w:rsidRPr="00873C4C">
        <w:rPr>
          <w:rFonts w:eastAsia="Times New Roman"/>
          <w:color w:val="000000"/>
          <w:lang w:eastAsia="en-US"/>
        </w:rPr>
        <w:t xml:space="preserve"> </w:t>
      </w:r>
      <w:r w:rsidRPr="00873C4C">
        <w:rPr>
          <w:rFonts w:eastAsia="Times New Roman"/>
          <w:color w:val="000000"/>
          <w:lang w:eastAsia="en-US"/>
        </w:rPr>
        <w:t>is less than 3.5 (g/dL)</w:t>
      </w:r>
      <w:r w:rsidR="008F448C" w:rsidRPr="00873C4C">
        <w:rPr>
          <w:rFonts w:eastAsia="Times New Roman"/>
          <w:color w:val="000000"/>
          <w:lang w:eastAsia="en-US"/>
        </w:rPr>
        <w:t xml:space="preserve">. </w:t>
      </w:r>
      <w:r w:rsidRPr="00873C4C">
        <w:rPr>
          <w:rFonts w:eastAsia="Times New Roman"/>
          <w:color w:val="000000"/>
          <w:lang w:eastAsia="en-US"/>
        </w:rPr>
        <w:t xml:space="preserve">Stage III: Serum </w:t>
      </w:r>
      <w:r w:rsidR="00974085" w:rsidRPr="00873C4C">
        <w:rPr>
          <w:color w:val="000000"/>
        </w:rPr>
        <w:t>B</w:t>
      </w:r>
      <w:r w:rsidR="00525E0D" w:rsidRPr="00873C4C">
        <w:rPr>
          <w:color w:val="000000"/>
        </w:rPr>
        <w:t>2M</w:t>
      </w:r>
      <w:r w:rsidR="00525E0D" w:rsidRPr="00873C4C">
        <w:rPr>
          <w:rFonts w:eastAsia="Times New Roman"/>
          <w:color w:val="000000"/>
          <w:lang w:eastAsia="en-US"/>
        </w:rPr>
        <w:t xml:space="preserve"> </w:t>
      </w:r>
      <w:r w:rsidRPr="00873C4C">
        <w:rPr>
          <w:rFonts w:eastAsia="Times New Roman"/>
          <w:color w:val="000000"/>
          <w:lang w:eastAsia="en-US"/>
        </w:rPr>
        <w:t>is greater than 5.5 (g/dL)</w:t>
      </w:r>
      <w:r w:rsidR="000F0D6C">
        <w:rPr>
          <w:rFonts w:eastAsia="Times New Roman"/>
          <w:color w:val="000000"/>
          <w:lang w:eastAsia="en-US"/>
        </w:rPr>
        <w:t xml:space="preserve"> </w:t>
      </w:r>
      <w:r w:rsidR="000F0D6C">
        <w:rPr>
          <w:rFonts w:eastAsia="Times New Roman"/>
          <w:color w:val="000000"/>
          <w:lang w:eastAsia="en-US"/>
        </w:rPr>
        <w:fldChar w:fldCharType="begin">
          <w:fldData xml:space="preserve">PEVuZE5vdGU+PENpdGU+PEF1dGhvcj5HcmVpcHA8L0F1dGhvcj48WWVhcj4yMDA1PC9ZZWFyPjxS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</w:fldData>
        </w:fldChar>
      </w:r>
      <w:r w:rsidR="000F0D6C">
        <w:rPr>
          <w:rFonts w:eastAsia="Times New Roman"/>
          <w:color w:val="000000"/>
          <w:lang w:eastAsia="en-US"/>
        </w:rPr>
        <w:instrText xml:space="preserve"> ADDIN EN.CITE </w:instrText>
      </w:r>
      <w:r w:rsidR="000F0D6C">
        <w:rPr>
          <w:rFonts w:eastAsia="Times New Roman"/>
          <w:color w:val="000000"/>
          <w:lang w:eastAsia="en-US"/>
        </w:rPr>
        <w:fldChar w:fldCharType="begin">
          <w:fldData xml:space="preserve">PEVuZE5vdGU+PENpdGU+PEF1dGhvcj5HcmVpcHA8L0F1dGhvcj48WWVhcj4yMDA1PC9ZZWFyPjxS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</w:fldData>
        </w:fldChar>
      </w:r>
      <w:r w:rsidR="000F0D6C">
        <w:rPr>
          <w:rFonts w:eastAsia="Times New Roman"/>
          <w:color w:val="000000"/>
          <w:lang w:eastAsia="en-US"/>
        </w:rPr>
        <w:instrText xml:space="preserve"> ADDIN EN.CITE.DATA </w:instrText>
      </w:r>
      <w:r w:rsidR="000F0D6C">
        <w:rPr>
          <w:rFonts w:eastAsia="Times New Roman"/>
          <w:color w:val="000000"/>
          <w:lang w:eastAsia="en-US"/>
        </w:rPr>
      </w:r>
      <w:r w:rsidR="000F0D6C">
        <w:rPr>
          <w:rFonts w:eastAsia="Times New Roman"/>
          <w:color w:val="000000"/>
          <w:lang w:eastAsia="en-US"/>
        </w:rPr>
        <w:fldChar w:fldCharType="end"/>
      </w:r>
      <w:r w:rsidR="000F0D6C">
        <w:rPr>
          <w:rFonts w:eastAsia="Times New Roman"/>
          <w:color w:val="000000"/>
          <w:lang w:eastAsia="en-US"/>
        </w:rPr>
      </w:r>
      <w:r w:rsidR="000F0D6C">
        <w:rPr>
          <w:rFonts w:eastAsia="Times New Roman"/>
          <w:color w:val="000000"/>
          <w:lang w:eastAsia="en-US"/>
        </w:rPr>
        <w:fldChar w:fldCharType="separate"/>
      </w:r>
      <w:r w:rsidR="000F0D6C">
        <w:rPr>
          <w:rFonts w:eastAsia="Times New Roman"/>
          <w:noProof/>
          <w:color w:val="000000"/>
          <w:lang w:eastAsia="en-US"/>
        </w:rPr>
        <w:t>(</w:t>
      </w:r>
      <w:hyperlink w:anchor="_ENREF_151" w:tooltip="Greipp, 2005 #4976" w:history="1">
        <w:r w:rsidR="004A784D">
          <w:rPr>
            <w:rFonts w:eastAsia="Times New Roman"/>
            <w:noProof/>
            <w:color w:val="000000"/>
            <w:lang w:eastAsia="en-US"/>
          </w:rPr>
          <w:t>Greipp et al., 2005</w:t>
        </w:r>
      </w:hyperlink>
      <w:r w:rsidR="000F0D6C">
        <w:rPr>
          <w:rFonts w:eastAsia="Times New Roman"/>
          <w:noProof/>
          <w:color w:val="000000"/>
          <w:lang w:eastAsia="en-US"/>
        </w:rPr>
        <w:t xml:space="preserve">, </w:t>
      </w:r>
      <w:hyperlink w:anchor="_ENREF_210" w:tooltip="Kim, 2006 #4973" w:history="1">
        <w:r w:rsidR="004A784D">
          <w:rPr>
            <w:rFonts w:eastAsia="Times New Roman"/>
            <w:noProof/>
            <w:color w:val="000000"/>
            <w:lang w:eastAsia="en-US"/>
          </w:rPr>
          <w:t>Kim et al., 2006</w:t>
        </w:r>
      </w:hyperlink>
      <w:r w:rsidR="000F0D6C">
        <w:rPr>
          <w:rFonts w:eastAsia="Times New Roman"/>
          <w:noProof/>
          <w:color w:val="000000"/>
          <w:lang w:eastAsia="en-US"/>
        </w:rPr>
        <w:t>)</w:t>
      </w:r>
      <w:r w:rsidR="000F0D6C">
        <w:rPr>
          <w:rFonts w:eastAsia="Times New Roman"/>
          <w:color w:val="000000"/>
          <w:lang w:eastAsia="en-US"/>
        </w:rPr>
        <w:fldChar w:fldCharType="end"/>
      </w:r>
      <w:r w:rsidR="000F0D6C">
        <w:rPr>
          <w:rFonts w:eastAsia="Times New Roman"/>
          <w:color w:val="000000"/>
          <w:lang w:eastAsia="en-US"/>
        </w:rPr>
        <w:t>.</w:t>
      </w:r>
    </w:p>
    <w:p w:rsidR="00596A14" w:rsidRPr="00873C4C" w:rsidRDefault="00596A14" w:rsidP="00057B42">
      <w:pPr>
        <w:keepNext/>
        <w:keepLines/>
        <w:widowControl w:val="0"/>
        <w:tabs>
          <w:tab w:val="center" w:pos="4680"/>
        </w:tabs>
        <w:spacing w:line="360" w:lineRule="auto"/>
        <w:jc w:val="both"/>
        <w:rPr>
          <w:rFonts w:eastAsia="Times New Roman"/>
          <w:color w:val="000000"/>
          <w:lang w:eastAsia="en-US"/>
        </w:rPr>
      </w:pPr>
    </w:p>
    <w:p w:rsidR="00EF2F47" w:rsidRPr="00873C4C" w:rsidRDefault="008F448C" w:rsidP="00645687">
      <w:pPr>
        <w:pStyle w:val="Heading4"/>
      </w:pPr>
      <w:r w:rsidRPr="00873C4C">
        <w:tab/>
      </w:r>
      <w:bookmarkStart w:id="117" w:name="_Toc305759106"/>
      <w:bookmarkStart w:id="118" w:name="_Toc306570535"/>
      <w:bookmarkStart w:id="119" w:name="_Toc307067600"/>
      <w:bookmarkStart w:id="120" w:name="_Toc312169159"/>
      <w:bookmarkStart w:id="121" w:name="_Toc312172086"/>
      <w:bookmarkStart w:id="122" w:name="_Toc312257635"/>
      <w:r w:rsidRPr="00873C4C">
        <w:t>Durie-Salmon Staging System</w:t>
      </w:r>
      <w:bookmarkEnd w:id="117"/>
      <w:bookmarkEnd w:id="118"/>
      <w:bookmarkEnd w:id="119"/>
      <w:bookmarkEnd w:id="120"/>
      <w:bookmarkEnd w:id="121"/>
      <w:bookmarkEnd w:id="122"/>
    </w:p>
    <w:p w:rsidR="00C11657" w:rsidRPr="00873C4C" w:rsidRDefault="00EF2F47" w:rsidP="00095179">
      <w:pPr>
        <w:spacing w:before="240" w:line="360" w:lineRule="auto"/>
        <w:jc w:val="both"/>
        <w:rPr>
          <w:rFonts w:eastAsia="Times New Roman"/>
          <w:color w:val="000000"/>
          <w:lang w:eastAsia="en-US"/>
        </w:rPr>
      </w:pPr>
      <w:r w:rsidRPr="00873C4C">
        <w:rPr>
          <w:rFonts w:eastAsia="Times New Roman"/>
          <w:color w:val="000000"/>
          <w:lang w:eastAsia="en-US"/>
        </w:rPr>
        <w:t>This system also divides MM cases into 3 stages (stage I, II, or III), Based on four measurements</w:t>
      </w:r>
      <w:r w:rsidR="00974085" w:rsidRPr="00873C4C">
        <w:rPr>
          <w:rStyle w:val="ThesisHeading412ptCharChar"/>
          <w:color w:val="000000"/>
        </w:rPr>
        <w:t xml:space="preserve"> </w:t>
      </w:r>
      <w:r w:rsidR="00974085" w:rsidRPr="00873C4C">
        <w:rPr>
          <w:color w:val="000000"/>
        </w:rPr>
        <w:fldChar w:fldCharType="begin">
          <w:fldData xml:space="preserve">PEVuZE5vdGU+PENpdGU+PEF1dGhvcj5Pbmc8L0F1dGhvcj48WWVhcj4xOTk1PC9ZZWFyPjxSZWNO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</w:fldData>
        </w:fldChar>
      </w:r>
      <w:r w:rsidR="00857D49">
        <w:rPr>
          <w:color w:val="000000"/>
        </w:rPr>
        <w:instrText xml:space="preserve"> ADDIN EN.CITE </w:instrText>
      </w:r>
      <w:r w:rsidR="00857D49">
        <w:rPr>
          <w:color w:val="000000"/>
        </w:rPr>
        <w:fldChar w:fldCharType="begin">
          <w:fldData xml:space="preserve">PEVuZE5vdGU+PENpdGU+PEF1dGhvcj5Pbmc8L0F1dGhvcj48WWVhcj4xOTk1PC9ZZWFyPjxSZWNO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</w:fldData>
        </w:fldChar>
      </w:r>
      <w:r w:rsidR="00857D49">
        <w:rPr>
          <w:color w:val="000000"/>
        </w:rPr>
        <w:instrText xml:space="preserve"> ADDIN EN.CITE.DATA </w:instrText>
      </w:r>
      <w:r w:rsidR="00857D49">
        <w:rPr>
          <w:color w:val="000000"/>
        </w:rPr>
      </w:r>
      <w:r w:rsidR="00857D49">
        <w:rPr>
          <w:color w:val="000000"/>
        </w:rPr>
        <w:fldChar w:fldCharType="end"/>
      </w:r>
      <w:r w:rsidR="00974085" w:rsidRPr="00873C4C">
        <w:rPr>
          <w:color w:val="000000"/>
        </w:rPr>
      </w:r>
      <w:r w:rsidR="00974085" w:rsidRPr="00873C4C">
        <w:rPr>
          <w:color w:val="000000"/>
        </w:rPr>
        <w:fldChar w:fldCharType="separate"/>
      </w:r>
      <w:r w:rsidR="006F41FE">
        <w:rPr>
          <w:noProof/>
          <w:color w:val="000000"/>
        </w:rPr>
        <w:t>(</w:t>
      </w:r>
      <w:hyperlink w:anchor="_ENREF_302" w:tooltip="Ong, 1995 #7001" w:history="1">
        <w:r w:rsidR="004A784D">
          <w:rPr>
            <w:noProof/>
            <w:color w:val="000000"/>
          </w:rPr>
          <w:t>Ong et al., 1995</w:t>
        </w:r>
      </w:hyperlink>
      <w:r w:rsidR="006F41FE">
        <w:rPr>
          <w:noProof/>
          <w:color w:val="000000"/>
        </w:rPr>
        <w:t xml:space="preserve">, </w:t>
      </w:r>
      <w:hyperlink w:anchor="_ENREF_62" w:tooltip="Caers, 2008 #7" w:history="1">
        <w:r w:rsidR="004A784D">
          <w:rPr>
            <w:noProof/>
            <w:color w:val="000000"/>
          </w:rPr>
          <w:t>Caers et al., 2008</w:t>
        </w:r>
      </w:hyperlink>
      <w:r w:rsidR="006F41FE">
        <w:rPr>
          <w:noProof/>
          <w:color w:val="000000"/>
        </w:rPr>
        <w:t>)</w:t>
      </w:r>
      <w:r w:rsidR="00974085" w:rsidRPr="00873C4C">
        <w:rPr>
          <w:color w:val="000000"/>
        </w:rPr>
        <w:fldChar w:fldCharType="end"/>
      </w:r>
      <w:r w:rsidRPr="00873C4C">
        <w:rPr>
          <w:rFonts w:eastAsia="Times New Roman"/>
          <w:color w:val="000000"/>
          <w:lang w:eastAsia="en-US"/>
        </w:rPr>
        <w:t xml:space="preserve">: </w:t>
      </w:r>
      <w:r w:rsidR="00D839FC">
        <w:rPr>
          <w:rFonts w:eastAsia="Times New Roman"/>
          <w:color w:val="000000"/>
          <w:lang w:eastAsia="en-US"/>
        </w:rPr>
        <w:t>levels of m</w:t>
      </w:r>
      <w:r w:rsidR="00974085" w:rsidRPr="00873C4C">
        <w:rPr>
          <w:rFonts w:eastAsia="Times New Roman"/>
          <w:color w:val="000000"/>
          <w:lang w:eastAsia="en-US"/>
        </w:rPr>
        <w:t>ono clonal protein</w:t>
      </w:r>
      <w:r w:rsidR="008F448C" w:rsidRPr="00873C4C">
        <w:rPr>
          <w:rFonts w:eastAsia="Times New Roman"/>
          <w:color w:val="000000"/>
          <w:lang w:eastAsia="en-US"/>
        </w:rPr>
        <w:t xml:space="preserve">, </w:t>
      </w:r>
      <w:r w:rsidRPr="00873C4C">
        <w:rPr>
          <w:rFonts w:eastAsia="Times New Roman"/>
          <w:color w:val="000000"/>
          <w:lang w:eastAsia="en-US"/>
        </w:rPr>
        <w:t>th</w:t>
      </w:r>
      <w:r w:rsidR="00974085" w:rsidRPr="00873C4C">
        <w:rPr>
          <w:rFonts w:eastAsia="Times New Roman"/>
          <w:color w:val="000000"/>
          <w:lang w:eastAsia="en-US"/>
        </w:rPr>
        <w:t>e number of lytic bone lesions</w:t>
      </w:r>
      <w:r w:rsidR="008F448C" w:rsidRPr="00873C4C">
        <w:rPr>
          <w:rFonts w:eastAsia="Times New Roman"/>
          <w:color w:val="000000"/>
          <w:lang w:eastAsia="en-US"/>
        </w:rPr>
        <w:t xml:space="preserve">, </w:t>
      </w:r>
      <w:r w:rsidR="00974085" w:rsidRPr="00873C4C">
        <w:rPr>
          <w:rFonts w:eastAsia="Times New Roman"/>
          <w:color w:val="000000"/>
          <w:lang w:eastAsia="en-US"/>
        </w:rPr>
        <w:t>haemoglobin values</w:t>
      </w:r>
      <w:r w:rsidR="008F448C" w:rsidRPr="00873C4C">
        <w:rPr>
          <w:rFonts w:eastAsia="Times New Roman"/>
          <w:color w:val="000000"/>
          <w:lang w:eastAsia="en-US"/>
        </w:rPr>
        <w:t xml:space="preserve">, </w:t>
      </w:r>
      <w:r w:rsidR="00974085" w:rsidRPr="00873C4C">
        <w:rPr>
          <w:rFonts w:eastAsia="Times New Roman"/>
          <w:color w:val="000000"/>
          <w:lang w:eastAsia="en-US"/>
        </w:rPr>
        <w:t>serum calcium levels</w:t>
      </w:r>
      <w:r w:rsidR="008F448C" w:rsidRPr="00873C4C">
        <w:rPr>
          <w:rFonts w:eastAsia="Times New Roman"/>
          <w:color w:val="000000"/>
          <w:lang w:eastAsia="en-US"/>
        </w:rPr>
        <w:t xml:space="preserve">, </w:t>
      </w:r>
      <w:r w:rsidRPr="00873C4C">
        <w:rPr>
          <w:rFonts w:eastAsia="Times New Roman"/>
          <w:color w:val="000000"/>
          <w:lang w:eastAsia="en-US"/>
        </w:rPr>
        <w:t>In addition, stages are further divided according to renal function. ‘A’ when the Renal Function is normal and ‘B’, when the renal function is abnormal</w:t>
      </w:r>
      <w:r w:rsidRPr="00873C4C">
        <w:rPr>
          <w:color w:val="000000"/>
        </w:rPr>
        <w:t>.</w:t>
      </w:r>
      <w:r w:rsidR="007972EA" w:rsidRPr="00873C4C">
        <w:rPr>
          <w:rFonts w:eastAsia="Times New Roman"/>
          <w:color w:val="000000"/>
          <w:lang w:val="en-GB" w:eastAsia="en-US"/>
        </w:rPr>
        <w:t xml:space="preserve">The </w:t>
      </w:r>
      <w:r w:rsidR="007972EA" w:rsidRPr="00873C4C">
        <w:rPr>
          <w:color w:val="000000"/>
        </w:rPr>
        <w:t xml:space="preserve">Durie-Salmon </w:t>
      </w:r>
      <w:r w:rsidR="007972EA" w:rsidRPr="00873C4C">
        <w:rPr>
          <w:rFonts w:eastAsia="Times New Roman"/>
          <w:color w:val="000000"/>
          <w:lang w:val="en-GB" w:eastAsia="en-US"/>
        </w:rPr>
        <w:t xml:space="preserve">staging system has proven to be an effective and informative prognostic tool, but the </w:t>
      </w:r>
      <w:r w:rsidR="007972EA" w:rsidRPr="00873C4C">
        <w:rPr>
          <w:rFonts w:eastAsia="Times New Roman"/>
          <w:color w:val="000000"/>
          <w:lang w:val="en-GB" w:eastAsia="en-US"/>
        </w:rPr>
        <w:lastRenderedPageBreak/>
        <w:t>complexity of the criteria made its implementation more difficult</w:t>
      </w:r>
      <w:r w:rsidR="00095179">
        <w:rPr>
          <w:rFonts w:eastAsia="Times New Roman"/>
          <w:color w:val="000000"/>
          <w:lang w:val="en-GB" w:eastAsia="en-US"/>
        </w:rPr>
        <w:t xml:space="preserve"> </w:t>
      </w:r>
      <w:r w:rsidR="003009A7">
        <w:rPr>
          <w:rFonts w:eastAsia="Times New Roman"/>
          <w:color w:val="000000"/>
          <w:lang w:val="en-GB" w:eastAsia="en-US"/>
        </w:rPr>
        <w:fldChar w:fldCharType="begin"/>
      </w:r>
      <w:r w:rsidR="003009A7">
        <w:rPr>
          <w:rFonts w:eastAsia="Times New Roman"/>
          <w:color w:val="000000"/>
          <w:lang w:val="en-GB" w:eastAsia="en-US"/>
        </w:rPr>
        <w:instrText xml:space="preserve"> ADDIN EN.CITE &lt;EndNote&gt;&lt;Cite&gt;&lt;Author&gt;Durie&lt;/Author&gt;&lt;Year&gt;1975&lt;/Year&gt;&lt;RecNum&gt;5032&lt;/RecNum&gt;&lt;DisplayText&gt;(Durie and Salmon, 1975)&lt;/DisplayText&gt;&lt;record&gt;&lt;rec-number&gt;5032&lt;/rec-number&gt;&lt;foreign-keys&gt;&lt;key app="EN" db-id="zf0awxsaczrdd3eft5qvw9wrtxxawdfrvw2a"&gt;5032&lt;/key&gt;&lt;/foreign-keys&gt;&lt;ref-type name="Journal Article"&gt;17&lt;/ref-type&gt;&lt;contributors&gt;&lt;authors&gt;&lt;author&gt;Durie, B. G.&lt;/author&gt;&lt;author&gt;Salmon, S. E.&lt;/author&gt;&lt;/authors&gt;&lt;/contributors&gt;&lt;titles&gt;&lt;title&gt;A clinical staging system for multiple myeloma. Correlation of measured myeloma cell mass with presenting clinical features, response to treatment, and survival&lt;/title&gt;&lt;secondary-title&gt;Cancer&lt;/secondary-title&gt;&lt;/titles&gt;&lt;periodical&gt;&lt;full-title&gt;Cancer&lt;/full-title&gt;&lt;/periodical&gt;&lt;pages&gt;842-54&lt;/pages&gt;&lt;volume&gt;36&lt;/volume&gt;&lt;number&gt;3&lt;/number&gt;&lt;edition&gt;1975/09/01&lt;/edition&gt;&lt;keywords&gt;&lt;keyword&gt;Adult&lt;/keyword&gt;&lt;keyword&gt;Aged&lt;/keyword&gt;&lt;keyword&gt;Bone and Bones/pathology&lt;/keyword&gt;&lt;keyword&gt;Calcium/blood&lt;/keyword&gt;&lt;keyword&gt;Creatinine/blood&lt;/keyword&gt;&lt;keyword&gt;Female&lt;/keyword&gt;&lt;keyword&gt;Follow-Up Studies&lt;/keyword&gt;&lt;keyword&gt;Hemoglobins/analysis&lt;/keyword&gt;&lt;keyword&gt;Humans&lt;/keyword&gt;&lt;keyword&gt;Immunoglobulin M/biosynthesis/urine&lt;/keyword&gt;&lt;keyword&gt;Male&lt;/keyword&gt;&lt;keyword&gt;Middle Aged&lt;/keyword&gt;&lt;keyword&gt;Multiple Myeloma/immunology/metabolism/*pathology&lt;/keyword&gt;&lt;/keywords&gt;&lt;dates&gt;&lt;year&gt;1975&lt;/year&gt;&lt;pub-dates&gt;&lt;date&gt;Sep&lt;/date&gt;&lt;/pub-dates&gt;&lt;/dates&gt;&lt;isbn&gt;0008-543X (Print)&amp;#xD;0008-543X (Linking)&lt;/isbn&gt;&lt;accession-num&gt;1182674&lt;/accession-num&gt;&lt;urls&gt;&lt;related-urls&gt;&lt;url&gt;http://www.ncbi.nlm.nih.gov/pubmed/1182674&lt;/url&gt;&lt;/related-urls&gt;&lt;/urls&gt;&lt;language&gt;eng&lt;/language&gt;&lt;/record&gt;&lt;/Cite&gt;&lt;/EndNote&gt;</w:instrText>
      </w:r>
      <w:r w:rsidR="003009A7">
        <w:rPr>
          <w:rFonts w:eastAsia="Times New Roman"/>
          <w:color w:val="000000"/>
          <w:lang w:val="en-GB" w:eastAsia="en-US"/>
        </w:rPr>
        <w:fldChar w:fldCharType="separate"/>
      </w:r>
      <w:r w:rsidR="003009A7">
        <w:rPr>
          <w:rFonts w:eastAsia="Times New Roman"/>
          <w:noProof/>
          <w:color w:val="000000"/>
          <w:lang w:val="en-GB" w:eastAsia="en-US"/>
        </w:rPr>
        <w:t>(</w:t>
      </w:r>
      <w:hyperlink w:anchor="_ENREF_113" w:tooltip="Durie, 1975 #5032" w:history="1">
        <w:r w:rsidR="004A784D">
          <w:rPr>
            <w:rFonts w:eastAsia="Times New Roman"/>
            <w:noProof/>
            <w:color w:val="000000"/>
            <w:lang w:val="en-GB" w:eastAsia="en-US"/>
          </w:rPr>
          <w:t>Durie and Salmon, 1975</w:t>
        </w:r>
      </w:hyperlink>
      <w:r w:rsidR="003009A7">
        <w:rPr>
          <w:rFonts w:eastAsia="Times New Roman"/>
          <w:noProof/>
          <w:color w:val="000000"/>
          <w:lang w:val="en-GB" w:eastAsia="en-US"/>
        </w:rPr>
        <w:t>)</w:t>
      </w:r>
      <w:r w:rsidR="003009A7">
        <w:rPr>
          <w:rFonts w:eastAsia="Times New Roman"/>
          <w:color w:val="000000"/>
          <w:lang w:val="en-GB" w:eastAsia="en-US"/>
        </w:rPr>
        <w:fldChar w:fldCharType="end"/>
      </w:r>
      <w:r w:rsidR="00974085" w:rsidRPr="00873C4C">
        <w:rPr>
          <w:rFonts w:eastAsia="Times New Roman"/>
          <w:color w:val="000000"/>
          <w:lang w:val="en-GB" w:eastAsia="en-US"/>
        </w:rPr>
        <w:t xml:space="preserve"> (Table </w:t>
      </w:r>
      <w:r w:rsidR="006F4903">
        <w:rPr>
          <w:rFonts w:eastAsia="Times New Roman"/>
          <w:color w:val="000000"/>
          <w:lang w:val="en-GB" w:eastAsia="en-US"/>
        </w:rPr>
        <w:t>1-</w:t>
      </w:r>
      <w:r w:rsidR="00974085" w:rsidRPr="00873C4C">
        <w:rPr>
          <w:rFonts w:eastAsia="Times New Roman"/>
          <w:color w:val="000000"/>
          <w:lang w:val="en-GB" w:eastAsia="en-US"/>
        </w:rPr>
        <w:t>1)</w:t>
      </w:r>
      <w:r w:rsidR="00366C44" w:rsidRPr="00873C4C">
        <w:rPr>
          <w:rFonts w:eastAsia="Times New Roman"/>
          <w:color w:val="000000"/>
          <w:lang w:val="en-GB" w:eastAsia="en-US"/>
        </w:rPr>
        <w:t>.</w:t>
      </w:r>
    </w:p>
    <w:p w:rsidR="00974085" w:rsidRPr="00873C4C" w:rsidRDefault="00ED7D82" w:rsidP="00057B42">
      <w:pPr>
        <w:keepNext/>
        <w:spacing w:line="360" w:lineRule="auto"/>
        <w:jc w:val="center"/>
        <w:rPr>
          <w:color w:val="000000"/>
        </w:rPr>
      </w:pPr>
      <w:r>
        <w:rPr>
          <w:noProof/>
          <w:color w:val="000000"/>
          <w:lang w:eastAsia="en-IE"/>
        </w:rPr>
        <w:drawing>
          <wp:inline distT="0" distB="0" distL="0" distR="0" wp14:anchorId="0A98C31E" wp14:editId="2181FEF6">
            <wp:extent cx="4104000" cy="3628838"/>
            <wp:effectExtent l="0" t="0" r="0" b="0"/>
            <wp:docPr id="9" name="Picture 9" descr="http://imaging.ubmmedica.com/cancernetwork/cmhb11/11_31_Tab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ing.ubmmedica.com/cancernetwork/cmhb11/11_31_Tab_3.gif"/>
                    <pic:cNvPicPr>
                      <a:picLocks noChangeAspect="1" noChangeArrowheads="1"/>
                    </pic:cNvPicPr>
                  </pic:nvPicPr>
                  <pic:blipFill>
                    <a:blip r:embed="rId13">
                      <a:extLst>
                        <a:ext uri="{28A0092B-C50C-407E-A947-70E740481C1C}">
                          <a14:useLocalDpi xmlns:a14="http://schemas.microsoft.com/office/drawing/2010/main" val="0"/>
                        </a:ext>
                      </a:extLst>
                    </a:blip>
                    <a:srcRect t="12999" b="1981"/>
                    <a:stretch>
                      <a:fillRect/>
                    </a:stretch>
                  </pic:blipFill>
                  <pic:spPr bwMode="auto">
                    <a:xfrm>
                      <a:off x="0" y="0"/>
                      <a:ext cx="4104000" cy="3628838"/>
                    </a:xfrm>
                    <a:prstGeom prst="rect">
                      <a:avLst/>
                    </a:prstGeom>
                    <a:noFill/>
                    <a:ln>
                      <a:noFill/>
                    </a:ln>
                  </pic:spPr>
                </pic:pic>
              </a:graphicData>
            </a:graphic>
          </wp:inline>
        </w:drawing>
      </w:r>
    </w:p>
    <w:p w:rsidR="00A86673" w:rsidRDefault="00A86673" w:rsidP="00057B42">
      <w:pPr>
        <w:pStyle w:val="Caption"/>
        <w:keepNext/>
        <w:pBdr>
          <w:bottom w:val="single" w:sz="12" w:space="1" w:color="auto"/>
        </w:pBdr>
        <w:jc w:val="both"/>
        <w:rPr>
          <w:color w:val="000000"/>
        </w:rPr>
      </w:pPr>
      <w:bookmarkStart w:id="123" w:name="_Toc304195955"/>
    </w:p>
    <w:p w:rsidR="002A4A43" w:rsidRPr="00873C4C" w:rsidRDefault="00974085" w:rsidP="00057B42">
      <w:pPr>
        <w:pStyle w:val="Caption"/>
        <w:keepNext/>
        <w:pBdr>
          <w:bottom w:val="single" w:sz="12" w:space="1" w:color="auto"/>
        </w:pBdr>
        <w:jc w:val="both"/>
        <w:rPr>
          <w:color w:val="000000"/>
        </w:rPr>
      </w:pPr>
      <w:r w:rsidRPr="00873C4C">
        <w:rPr>
          <w:color w:val="000000"/>
        </w:rPr>
        <w:t xml:space="preserve">Table </w:t>
      </w:r>
      <w:r w:rsidR="00B55EFC">
        <w:rPr>
          <w:color w:val="000000"/>
        </w:rPr>
        <w:fldChar w:fldCharType="begin"/>
      </w:r>
      <w:r w:rsidR="00B55EFC">
        <w:rPr>
          <w:color w:val="000000"/>
        </w:rPr>
        <w:instrText xml:space="preserve"> STYLEREF 1 \s </w:instrText>
      </w:r>
      <w:r w:rsidR="00B55EFC">
        <w:rPr>
          <w:color w:val="000000"/>
        </w:rPr>
        <w:fldChar w:fldCharType="separate"/>
      </w:r>
      <w:r w:rsidR="0081644B">
        <w:rPr>
          <w:noProof/>
          <w:color w:val="000000"/>
        </w:rPr>
        <w:t>1</w:t>
      </w:r>
      <w:r w:rsidR="00B55EFC">
        <w:rPr>
          <w:color w:val="000000"/>
        </w:rPr>
        <w:fldChar w:fldCharType="end"/>
      </w:r>
      <w:r w:rsidR="00B55EFC">
        <w:rPr>
          <w:color w:val="000000"/>
        </w:rPr>
        <w:noBreakHyphen/>
      </w:r>
      <w:r w:rsidR="00B55EFC">
        <w:rPr>
          <w:color w:val="000000"/>
        </w:rPr>
        <w:fldChar w:fldCharType="begin"/>
      </w:r>
      <w:r w:rsidR="00B55EFC">
        <w:rPr>
          <w:color w:val="000000"/>
        </w:rPr>
        <w:instrText xml:space="preserve"> SEQ Table \* ARABIC \s 1 </w:instrText>
      </w:r>
      <w:r w:rsidR="00B55EFC">
        <w:rPr>
          <w:color w:val="000000"/>
        </w:rPr>
        <w:fldChar w:fldCharType="separate"/>
      </w:r>
      <w:r w:rsidR="0081644B">
        <w:rPr>
          <w:noProof/>
          <w:color w:val="000000"/>
        </w:rPr>
        <w:t>1</w:t>
      </w:r>
      <w:r w:rsidR="00B55EFC">
        <w:rPr>
          <w:color w:val="000000"/>
        </w:rPr>
        <w:fldChar w:fldCharType="end"/>
      </w:r>
      <w:r w:rsidR="0092498C" w:rsidRPr="00873C4C">
        <w:rPr>
          <w:color w:val="000000"/>
        </w:rPr>
        <w:t xml:space="preserve"> </w:t>
      </w:r>
      <w:r w:rsidRPr="00873C4C">
        <w:rPr>
          <w:color w:val="000000"/>
        </w:rPr>
        <w:t xml:space="preserve"> </w:t>
      </w:r>
      <w:r w:rsidR="007972EA" w:rsidRPr="00873C4C">
        <w:rPr>
          <w:color w:val="000000"/>
        </w:rPr>
        <w:t xml:space="preserve">Durie-Salmon </w:t>
      </w:r>
      <w:r w:rsidR="007972EA" w:rsidRPr="00873C4C">
        <w:rPr>
          <w:rFonts w:eastAsia="Times New Roman"/>
          <w:color w:val="000000"/>
          <w:lang w:val="en-GB" w:eastAsia="en-US"/>
        </w:rPr>
        <w:t>staging system</w:t>
      </w:r>
      <w:r w:rsidR="007972EA" w:rsidRPr="00873C4C">
        <w:rPr>
          <w:color w:val="000000"/>
          <w:lang w:val="en-GB"/>
        </w:rPr>
        <w:t>, taking into account a combination of clinical factors: amount of M-protein, serum haemoglobin level, serum calcium level, number of lytic bone lesions, and renal function (</w:t>
      </w:r>
      <w:r w:rsidR="007972EA" w:rsidRPr="00873C4C">
        <w:rPr>
          <w:color w:val="000000"/>
        </w:rPr>
        <w:t>adopted from Cancer</w:t>
      </w:r>
      <w:r w:rsidR="00DD6E62" w:rsidRPr="00873C4C">
        <w:rPr>
          <w:color w:val="000000"/>
        </w:rPr>
        <w:t>-</w:t>
      </w:r>
      <w:r w:rsidR="007972EA" w:rsidRPr="00873C4C">
        <w:rPr>
          <w:color w:val="000000"/>
        </w:rPr>
        <w:t xml:space="preserve">Network </w:t>
      </w:r>
      <w:r w:rsidR="00DD6E62" w:rsidRPr="00873C4C">
        <w:rPr>
          <w:color w:val="000000"/>
        </w:rPr>
        <w:t>website</w:t>
      </w:r>
      <w:r w:rsidR="007972EA" w:rsidRPr="00873C4C">
        <w:rPr>
          <w:color w:val="000000"/>
        </w:rPr>
        <w:t>)</w:t>
      </w:r>
      <w:bookmarkEnd w:id="123"/>
      <w:r w:rsidR="002A4A43" w:rsidRPr="00873C4C">
        <w:rPr>
          <w:color w:val="000000"/>
        </w:rPr>
        <w:t>.</w:t>
      </w:r>
    </w:p>
    <w:p w:rsidR="00C11657" w:rsidRPr="00873C4C" w:rsidRDefault="00C11657" w:rsidP="00057B42">
      <w:pPr>
        <w:pStyle w:val="Caption"/>
        <w:keepNext/>
        <w:pBdr>
          <w:bottom w:val="single" w:sz="12" w:space="1" w:color="auto"/>
        </w:pBdr>
        <w:jc w:val="both"/>
        <w:rPr>
          <w:color w:val="000000"/>
        </w:rPr>
      </w:pPr>
    </w:p>
    <w:p w:rsidR="002A4A43" w:rsidRPr="00873C4C" w:rsidRDefault="002A4A43" w:rsidP="00057B42">
      <w:pPr>
        <w:spacing w:line="360" w:lineRule="auto"/>
        <w:rPr>
          <w:color w:val="000000"/>
        </w:rPr>
      </w:pPr>
    </w:p>
    <w:p w:rsidR="00C11657" w:rsidRPr="00873C4C" w:rsidRDefault="00C11657" w:rsidP="00057B42">
      <w:pPr>
        <w:spacing w:line="360" w:lineRule="auto"/>
        <w:rPr>
          <w:color w:val="000000"/>
        </w:rPr>
      </w:pPr>
    </w:p>
    <w:p w:rsidR="00794A4B" w:rsidRPr="00873C4C" w:rsidRDefault="00895BAB" w:rsidP="00645687">
      <w:pPr>
        <w:pStyle w:val="Heading3"/>
      </w:pPr>
      <w:bookmarkStart w:id="124" w:name="_Toc260495784"/>
      <w:bookmarkStart w:id="125" w:name="_Toc260496035"/>
      <w:bookmarkStart w:id="126" w:name="_Toc260500428"/>
      <w:bookmarkStart w:id="127" w:name="_Toc261098454"/>
      <w:bookmarkStart w:id="128" w:name="_Toc305759107"/>
      <w:bookmarkStart w:id="129" w:name="_Toc306570536"/>
      <w:r>
        <w:tab/>
      </w:r>
      <w:bookmarkStart w:id="130" w:name="_Toc307067601"/>
      <w:bookmarkStart w:id="131" w:name="_Toc312169160"/>
      <w:bookmarkStart w:id="132" w:name="_Toc312172087"/>
      <w:bookmarkStart w:id="133" w:name="_Toc312257636"/>
      <w:r w:rsidR="00794A4B" w:rsidRPr="00873C4C">
        <w:t>Treatment</w:t>
      </w:r>
      <w:bookmarkEnd w:id="124"/>
      <w:bookmarkEnd w:id="125"/>
      <w:bookmarkEnd w:id="126"/>
      <w:bookmarkEnd w:id="127"/>
      <w:bookmarkEnd w:id="128"/>
      <w:bookmarkEnd w:id="129"/>
      <w:bookmarkEnd w:id="130"/>
      <w:bookmarkEnd w:id="131"/>
      <w:bookmarkEnd w:id="132"/>
      <w:bookmarkEnd w:id="133"/>
    </w:p>
    <w:p w:rsidR="009F2888" w:rsidRPr="00873C4C" w:rsidRDefault="009F2888" w:rsidP="00057B42">
      <w:pPr>
        <w:spacing w:line="360" w:lineRule="auto"/>
        <w:jc w:val="both"/>
        <w:rPr>
          <w:b/>
          <w:color w:val="000000"/>
          <w:u w:val="single"/>
        </w:rPr>
      </w:pPr>
      <w:r w:rsidRPr="00873C4C">
        <w:rPr>
          <w:color w:val="000000"/>
        </w:rPr>
        <w:t xml:space="preserve">Currently, while the response versus lack of response to therapy can be detected and monitored on an </w:t>
      </w:r>
      <w:r w:rsidR="00647448" w:rsidRPr="00873C4C">
        <w:rPr>
          <w:color w:val="000000"/>
        </w:rPr>
        <w:t>on-going</w:t>
      </w:r>
      <w:r w:rsidRPr="00873C4C">
        <w:rPr>
          <w:color w:val="000000"/>
        </w:rPr>
        <w:t xml:space="preserve"> basis (e.g. by measuring serum M-protein, serum free light chain assay, B2M, assessment of percentage of plasma cell in the bone marrow, whole body MRI </w:t>
      </w:r>
      <w:r w:rsidR="0010315E">
        <w:rPr>
          <w:color w:val="000000"/>
        </w:rPr>
        <w:t>and</w:t>
      </w:r>
      <w:r w:rsidRPr="00873C4C">
        <w:rPr>
          <w:color w:val="000000"/>
        </w:rPr>
        <w:t xml:space="preserve"> skeletal</w:t>
      </w:r>
      <w:r w:rsidR="007805D4">
        <w:rPr>
          <w:color w:val="000000"/>
        </w:rPr>
        <w:t xml:space="preserve"> survey to monitor bony lesions)</w:t>
      </w:r>
      <w:r w:rsidRPr="00873C4C">
        <w:rPr>
          <w:color w:val="000000"/>
        </w:rPr>
        <w:t xml:space="preserve"> unfortunately, however, there is no way of predicting response to given therapies. Therefore such information would, undoubtedly aid in choosing the best possible treatment</w:t>
      </w:r>
      <w:r w:rsidR="007805D4">
        <w:rPr>
          <w:color w:val="000000"/>
        </w:rPr>
        <w:t>.</w:t>
      </w:r>
    </w:p>
    <w:p w:rsidR="00C32EB1" w:rsidRDefault="00C32EB1" w:rsidP="00057B42">
      <w:pPr>
        <w:spacing w:line="360" w:lineRule="auto"/>
        <w:jc w:val="both"/>
        <w:rPr>
          <w:color w:val="000000"/>
        </w:rPr>
      </w:pPr>
    </w:p>
    <w:p w:rsidR="00974085" w:rsidRPr="00873C4C" w:rsidRDefault="00974085" w:rsidP="00057B42">
      <w:pPr>
        <w:spacing w:line="360" w:lineRule="auto"/>
        <w:jc w:val="both"/>
        <w:rPr>
          <w:color w:val="000000"/>
        </w:rPr>
      </w:pPr>
      <w:r w:rsidRPr="00873C4C">
        <w:rPr>
          <w:color w:val="000000"/>
        </w:rPr>
        <w:lastRenderedPageBreak/>
        <w:t xml:space="preserve">Treatment strategies for multiple myeloma have changed substantially over the past 10 years following the introduction of </w:t>
      </w:r>
      <w:r w:rsidR="00095179">
        <w:rPr>
          <w:color w:val="000000"/>
        </w:rPr>
        <w:t xml:space="preserve">the </w:t>
      </w:r>
      <w:r w:rsidRPr="00873C4C">
        <w:rPr>
          <w:color w:val="000000"/>
        </w:rPr>
        <w:t>immunomodulatory drugs</w:t>
      </w:r>
      <w:r w:rsidR="00095179">
        <w:rPr>
          <w:color w:val="000000"/>
        </w:rPr>
        <w:t>,</w:t>
      </w:r>
      <w:r w:rsidRPr="00873C4C">
        <w:rPr>
          <w:color w:val="000000"/>
        </w:rPr>
        <w:t xml:space="preserve"> thalidomide, lenalidomide and a proteasome inhibitor; bortezomib</w:t>
      </w:r>
      <w:r w:rsidR="00095179">
        <w:rPr>
          <w:color w:val="000000"/>
        </w:rPr>
        <w:t xml:space="preserve"> </w:t>
      </w:r>
      <w:r w:rsidR="00095179" w:rsidRPr="00095179">
        <w:rPr>
          <w:color w:val="000000"/>
        </w:rPr>
        <w:t>(Tosi et al., Niparuck et al. 2010)</w:t>
      </w:r>
      <w:r w:rsidR="00095179">
        <w:rPr>
          <w:color w:val="000000"/>
        </w:rPr>
        <w:t xml:space="preserve">. </w:t>
      </w:r>
      <w:r w:rsidR="009F2888" w:rsidRPr="00873C4C">
        <w:rPr>
          <w:color w:val="000000"/>
        </w:rPr>
        <w:t>The 5-year survival rate reported in the Surveillance Epidemiology and End Results database has increased from approximately 20% in 1975 to 34% in 2003 owing to newer and more effective treatment options available</w:t>
      </w:r>
      <w:r w:rsidRPr="00873C4C">
        <w:rPr>
          <w:color w:val="000000"/>
        </w:rPr>
        <w:t xml:space="preserve"> </w:t>
      </w:r>
      <w:r w:rsidRPr="00873C4C">
        <w:rPr>
          <w:color w:val="000000"/>
        </w:rPr>
        <w:fldChar w:fldCharType="begin"/>
      </w:r>
      <w:r w:rsidR="006F41FE">
        <w:rPr>
          <w:color w:val="000000"/>
        </w:rPr>
        <w:instrText xml:space="preserve"> ADDIN EN.CITE &lt;EndNote&gt;&lt;Cite&gt;&lt;Author&gt;Ozaki&lt;/Author&gt;&lt;Year&gt;2009&lt;/Year&gt;&lt;RecNum&gt;86&lt;/RecNum&gt;&lt;DisplayText&gt;(Ozaki, 2009)&lt;/DisplayText&gt;&lt;record&gt;&lt;rec-number&gt;86&lt;/rec-number&gt;&lt;ref-type name="Journal Article"&gt;17&lt;/ref-type&gt;&lt;contributors&gt;&lt;authors&gt;&lt;author&gt;Ozaki, S.&lt;/author&gt;&lt;/authors&gt;&lt;/contributors&gt;&lt;titles&gt;&lt;title&gt;[New treatment strategies for multiple myeloma]&lt;/title&gt;&lt;secondary-title&gt;Rinsho Ketsueki&lt;/secondary-title&gt;&lt;/titles&gt;&lt;periodical&gt;&lt;full-title&gt;Rinsho Ketsueki&lt;/full-title&gt;&lt;/periodical&gt;&lt;pages&gt;1506-17&lt;/pages&gt;&lt;volume&gt;50&lt;/volume&gt;&lt;number&gt;10&lt;/number&gt;&lt;keywords&gt;&lt;keyword&gt;Antineoplastic Combined Chemotherapy Protocols/administration &amp;amp;&lt;/keyword&gt;&lt;keyword&gt;dosage/*therapeutic use&lt;/keyword&gt;&lt;keyword&gt;Boronic Acids/administration &amp;amp; dosage&lt;/keyword&gt;&lt;keyword&gt;Clinical Trials, Phase III as Topic&lt;/keyword&gt;&lt;keyword&gt;Dexamethasone/administration &amp;amp; dosage&lt;/keyword&gt;&lt;keyword&gt;Diagnosis, Differential&lt;/keyword&gt;&lt;keyword&gt;Doxorubicin/administration &amp;amp; dosage&lt;/keyword&gt;&lt;keyword&gt;Drug Discovery&lt;/keyword&gt;&lt;keyword&gt;Female&lt;/keyword&gt;&lt;keyword&gt;Humans&lt;/keyword&gt;&lt;keyword&gt;Male&lt;/keyword&gt;&lt;keyword&gt;Melphalan/administration &amp;amp; dosage&lt;/keyword&gt;&lt;keyword&gt;Multiple Myeloma/classification/diagnosis/genetics/*therapy&lt;/keyword&gt;&lt;keyword&gt;Peripheral Blood Stem Cell Transplantation&lt;/keyword&gt;&lt;keyword&gt;Prednisolone/administration &amp;amp; dosage&lt;/keyword&gt;&lt;keyword&gt;Pyrazines/administration &amp;amp; dosage&lt;/keyword&gt;&lt;keyword&gt;Remission Induction&lt;/keyword&gt;&lt;keyword&gt;Salvage Therapy&lt;/keyword&gt;&lt;keyword&gt;Thalidomide/administration &amp;amp; dosage/analogs &amp;amp; derivatives&lt;/keyword&gt;&lt;keyword&gt;Vincristine/administration &amp;amp; dosage&lt;/keyword&gt;&lt;/keywords&gt;&lt;dates&gt;&lt;year&gt;2009&lt;/year&gt;&lt;pub-dates&gt;&lt;date&gt;Oct&lt;/date&gt;&lt;/pub-dates&gt;&lt;/dates&gt;&lt;accession-num&gt;19915360&lt;/accession-num&gt;&lt;urls&gt;&lt;related-urls&gt;&lt;url&gt;http://www.ncbi.nlm.nih.gov/entrez/query.fcgi?cmd=Retrieve&amp;amp;db=PubMed&amp;amp;dopt=Citation&amp;amp;list_uids=19915360 &lt;/url&gt;&lt;/related-urls&gt;&lt;/urls&gt;&lt;/record&gt;&lt;/Cite&gt;&lt;/EndNote&gt;</w:instrText>
      </w:r>
      <w:r w:rsidRPr="00873C4C">
        <w:rPr>
          <w:color w:val="000000"/>
        </w:rPr>
        <w:fldChar w:fldCharType="separate"/>
      </w:r>
      <w:r w:rsidR="006F41FE">
        <w:rPr>
          <w:noProof/>
          <w:color w:val="000000"/>
        </w:rPr>
        <w:t>(</w:t>
      </w:r>
      <w:hyperlink w:anchor="_ENREF_306" w:tooltip="Ozaki, 2009 #1" w:history="1">
        <w:r w:rsidR="004A784D">
          <w:rPr>
            <w:noProof/>
            <w:color w:val="000000"/>
          </w:rPr>
          <w:t>Ozaki, 2009</w:t>
        </w:r>
      </w:hyperlink>
      <w:r w:rsidR="006F41FE">
        <w:rPr>
          <w:noProof/>
          <w:color w:val="000000"/>
        </w:rPr>
        <w:t>)</w:t>
      </w:r>
      <w:r w:rsidRPr="00873C4C">
        <w:rPr>
          <w:color w:val="000000"/>
        </w:rPr>
        <w:fldChar w:fldCharType="end"/>
      </w:r>
      <w:r w:rsidR="009F2888" w:rsidRPr="00873C4C">
        <w:rPr>
          <w:color w:val="000000"/>
        </w:rPr>
        <w:t xml:space="preserve">. </w:t>
      </w:r>
    </w:p>
    <w:p w:rsidR="00C32EB1" w:rsidRDefault="00C32EB1" w:rsidP="00057B42">
      <w:pPr>
        <w:spacing w:line="360" w:lineRule="auto"/>
        <w:jc w:val="both"/>
        <w:rPr>
          <w:color w:val="000000"/>
        </w:rPr>
      </w:pPr>
    </w:p>
    <w:p w:rsidR="009F2888" w:rsidRDefault="009F2888" w:rsidP="00057B42">
      <w:pPr>
        <w:spacing w:line="360" w:lineRule="auto"/>
        <w:jc w:val="both"/>
        <w:rPr>
          <w:color w:val="000000"/>
        </w:rPr>
      </w:pPr>
      <w:r w:rsidRPr="00873C4C">
        <w:rPr>
          <w:color w:val="000000"/>
        </w:rPr>
        <w:t>In the front-line setting, combination chemotherapy regimens incorporating these novel agents are demonstrating substantial activity, which is translating into improved outcomes compared with previous standards of care</w:t>
      </w:r>
      <w:r w:rsidR="003364BB" w:rsidRPr="00873C4C">
        <w:rPr>
          <w:color w:val="000000"/>
        </w:rPr>
        <w:t xml:space="preserve">. </w:t>
      </w:r>
      <w:r w:rsidRPr="00873C4C">
        <w:rPr>
          <w:color w:val="000000"/>
        </w:rPr>
        <w:t xml:space="preserve"> </w:t>
      </w:r>
    </w:p>
    <w:p w:rsidR="003009A7" w:rsidRPr="00873C4C" w:rsidRDefault="003009A7" w:rsidP="00057B42">
      <w:pPr>
        <w:spacing w:line="360" w:lineRule="auto"/>
        <w:jc w:val="both"/>
        <w:rPr>
          <w:color w:val="000000"/>
        </w:rPr>
      </w:pPr>
    </w:p>
    <w:p w:rsidR="003364BB" w:rsidRPr="00873C4C" w:rsidRDefault="009122FA" w:rsidP="00057B42">
      <w:pPr>
        <w:spacing w:line="360" w:lineRule="auto"/>
        <w:jc w:val="both"/>
        <w:rPr>
          <w:color w:val="000000"/>
          <w:lang w:val="en-GB"/>
        </w:rPr>
      </w:pPr>
      <w:r w:rsidRPr="00873C4C">
        <w:rPr>
          <w:color w:val="000000"/>
        </w:rPr>
        <w:t>MM</w:t>
      </w:r>
      <w:r w:rsidR="009F2888" w:rsidRPr="00873C4C">
        <w:rPr>
          <w:color w:val="000000"/>
        </w:rPr>
        <w:t xml:space="preserve"> is typically sensitive to a variety of cytotoxic drugs, both as initial treatment or as treatment of relapsed disease. </w:t>
      </w:r>
      <w:r w:rsidR="003364BB" w:rsidRPr="00873C4C">
        <w:rPr>
          <w:color w:val="000000"/>
          <w:lang w:val="en-GB"/>
        </w:rPr>
        <w:t xml:space="preserve">Selecting optimal front-line therapy can be difficult, as there </w:t>
      </w:r>
      <w:r w:rsidR="00676041" w:rsidRPr="00873C4C">
        <w:rPr>
          <w:color w:val="000000"/>
          <w:lang w:val="en-GB"/>
        </w:rPr>
        <w:t>is no</w:t>
      </w:r>
      <w:r w:rsidR="003364BB" w:rsidRPr="00873C4C">
        <w:rPr>
          <w:color w:val="000000"/>
          <w:lang w:val="en-GB"/>
        </w:rPr>
        <w:t xml:space="preserve"> head-to-head trial data. Therefore selection of optimal treatment in newly diagnosed patients is based on available clinical evidence and the </w:t>
      </w:r>
      <w:r w:rsidR="00676041" w:rsidRPr="00873C4C">
        <w:rPr>
          <w:color w:val="000000"/>
          <w:lang w:val="en-GB"/>
        </w:rPr>
        <w:t>risk: benefit</w:t>
      </w:r>
      <w:r w:rsidR="003364BB" w:rsidRPr="00873C4C">
        <w:rPr>
          <w:color w:val="000000"/>
          <w:lang w:val="en-GB"/>
        </w:rPr>
        <w:t xml:space="preserve"> profiles of the various therapies assessed according to key presenting features, such as age, co-morbidities, eligibility for stem cell transplant, impaired renal function, or a history of thrombosis</w:t>
      </w:r>
      <w:r w:rsidR="003009A7">
        <w:rPr>
          <w:color w:val="000000"/>
          <w:lang w:val="en-GB"/>
        </w:rPr>
        <w:t xml:space="preserve"> </w:t>
      </w:r>
      <w:r w:rsidR="003009A7">
        <w:rPr>
          <w:color w:val="000000"/>
          <w:lang w:val="en-GB"/>
        </w:rPr>
        <w:fldChar w:fldCharType="begin"/>
      </w:r>
      <w:r w:rsidR="003009A7">
        <w:rPr>
          <w:color w:val="000000"/>
          <w:lang w:val="en-GB"/>
        </w:rPr>
        <w:instrText xml:space="preserve"> ADDIN EN.CITE &lt;EndNote&gt;&lt;Cite&gt;&lt;Author&gt;Dimopoulos&lt;/Author&gt;&lt;Year&gt;2008&lt;/Year&gt;&lt;RecNum&gt;4998&lt;/RecNum&gt;&lt;DisplayText&gt;(Dimopoulos and Kastritis, 2008)&lt;/DisplayText&gt;&lt;record&gt;&lt;rec-number&gt;4998&lt;/rec-number&gt;&lt;foreign-keys&gt;&lt;key app="EN" db-id="zf0awxsaczrdd3eft5qvw9wrtxxawdfrvw2a"&gt;4998&lt;/key&gt;&lt;/foreign-keys&gt;&lt;ref-type name="Journal Article"&gt;17&lt;/ref-type&gt;&lt;contributors&gt;&lt;authors&gt;&lt;author&gt;Dimopoulos, M. A.&lt;/author&gt;&lt;author&gt;Kastritis, E.&lt;/author&gt;&lt;/authors&gt;&lt;/contributors&gt;&lt;auth-address&gt;Department of Clinical Therapeutics, University of Athens School of Medicine, Athens, Greece. mdimop@med.uoa.gr&lt;/auth-address&gt;&lt;titles&gt;&lt;title&gt;Thalidomide plus dexamethasone as primary therapy for newly diagnosed patients with multiple myeloma&lt;/title&gt;&lt;secondary-title&gt;Nat Clin Pract Oncol&lt;/secondary-title&gt;&lt;/titles&gt;&lt;periodical&gt;&lt;full-title&gt;Nat Clin Pract Oncol&lt;/full-title&gt;&lt;/periodical&gt;&lt;pages&gt;690-1&lt;/pages&gt;&lt;volume&gt;5&lt;/volume&gt;&lt;number&gt;12&lt;/number&gt;&lt;edition&gt;2008/09/10&lt;/edition&gt;&lt;dates&gt;&lt;year&gt;2008&lt;/year&gt;&lt;pub-dates&gt;&lt;date&gt;Dec&lt;/date&gt;&lt;/pub-dates&gt;&lt;/dates&gt;&lt;isbn&gt;1743-4262 (Electronic)&amp;#xD;1743-4254 (Linking)&lt;/isbn&gt;&lt;accession-num&gt;18779849&lt;/accession-num&gt;&lt;urls&gt;&lt;related-urls&gt;&lt;url&gt;http://www.ncbi.nlm.nih.gov/pubmed/18779849&lt;/url&gt;&lt;/related-urls&gt;&lt;/urls&gt;&lt;electronic-resource-num&gt;ncponc1223 [pii]&amp;#xD;10.1038/ncponc1223&lt;/electronic-resource-num&gt;&lt;language&gt;eng&lt;/language&gt;&lt;/record&gt;&lt;/Cite&gt;&lt;/EndNote&gt;</w:instrText>
      </w:r>
      <w:r w:rsidR="003009A7">
        <w:rPr>
          <w:color w:val="000000"/>
          <w:lang w:val="en-GB"/>
        </w:rPr>
        <w:fldChar w:fldCharType="separate"/>
      </w:r>
      <w:r w:rsidR="003009A7">
        <w:rPr>
          <w:noProof/>
          <w:color w:val="000000"/>
          <w:lang w:val="en-GB"/>
        </w:rPr>
        <w:t>(</w:t>
      </w:r>
      <w:hyperlink w:anchor="_ENREF_101" w:tooltip="Dimopoulos, 2008 #4998" w:history="1">
        <w:r w:rsidR="004A784D">
          <w:rPr>
            <w:noProof/>
            <w:color w:val="000000"/>
            <w:lang w:val="en-GB"/>
          </w:rPr>
          <w:t>Dimopoulos and Kastritis, 2008</w:t>
        </w:r>
      </w:hyperlink>
      <w:r w:rsidR="003009A7">
        <w:rPr>
          <w:noProof/>
          <w:color w:val="000000"/>
          <w:lang w:val="en-GB"/>
        </w:rPr>
        <w:t>)</w:t>
      </w:r>
      <w:r w:rsidR="003009A7">
        <w:rPr>
          <w:color w:val="000000"/>
          <w:lang w:val="en-GB"/>
        </w:rPr>
        <w:fldChar w:fldCharType="end"/>
      </w:r>
      <w:r w:rsidR="003364BB" w:rsidRPr="00873C4C">
        <w:rPr>
          <w:color w:val="000000"/>
          <w:lang w:val="en-GB"/>
        </w:rPr>
        <w:t>.</w:t>
      </w:r>
    </w:p>
    <w:p w:rsidR="00C32EB1" w:rsidRDefault="00C32EB1" w:rsidP="00057B42">
      <w:pPr>
        <w:spacing w:line="360" w:lineRule="auto"/>
        <w:jc w:val="both"/>
        <w:rPr>
          <w:color w:val="000000"/>
        </w:rPr>
      </w:pPr>
    </w:p>
    <w:p w:rsidR="00794A4B" w:rsidRPr="00873C4C" w:rsidRDefault="003364BB" w:rsidP="00057B42">
      <w:pPr>
        <w:spacing w:line="360" w:lineRule="auto"/>
        <w:jc w:val="both"/>
        <w:rPr>
          <w:color w:val="000000"/>
        </w:rPr>
      </w:pPr>
      <w:r w:rsidRPr="00873C4C">
        <w:rPr>
          <w:color w:val="000000"/>
        </w:rPr>
        <w:t xml:space="preserve">Currently, the standard treatment </w:t>
      </w:r>
      <w:r w:rsidR="009F2888" w:rsidRPr="00873C4C">
        <w:rPr>
          <w:color w:val="000000"/>
        </w:rPr>
        <w:t>for patients up to the age of 65 involves initial combination chemotherapy</w:t>
      </w:r>
      <w:r w:rsidR="00F94787" w:rsidRPr="00873C4C">
        <w:rPr>
          <w:color w:val="000000"/>
        </w:rPr>
        <w:t xml:space="preserve"> </w:t>
      </w:r>
      <w:r w:rsidR="009F2888" w:rsidRPr="00873C4C">
        <w:rPr>
          <w:color w:val="000000"/>
        </w:rPr>
        <w:fldChar w:fldCharType="begin"/>
      </w:r>
      <w:r w:rsidR="0063683C">
        <w:rPr>
          <w:color w:val="000000"/>
        </w:rPr>
        <w:instrText xml:space="preserve"> ADDIN EN.CITE &lt;EndNote&gt;&lt;Cite&gt;&lt;Author&gt;Palumbo&lt;/Author&gt;&lt;RecNum&gt;34&lt;/RecNum&gt;&lt;DisplayText&gt;(Palumbo et al.)&lt;/DisplayText&gt;&lt;record&gt;&lt;rec-number&gt;34&lt;/rec-number&gt;&lt;ref-type name="Journal Article"&gt;17&lt;/ref-type&gt;&lt;contributors&gt;&lt;authors&gt;&lt;author&gt;Palumbo, A.&lt;/author&gt;&lt;author&gt;Larocca, A.&lt;/author&gt;&lt;author&gt;Genuardi, M.&lt;/author&gt;&lt;author&gt;Kotwica, K.&lt;/author&gt;&lt;author&gt;Gay, F.&lt;/author&gt;&lt;author&gt;Rossi, D.&lt;/author&gt;&lt;author&gt;Benevolo, G.&lt;/author&gt;&lt;author&gt;Magarotto, V.&lt;/author&gt;&lt;author&gt;Cavallo, F.&lt;/author&gt;&lt;author&gt;Bringhen, S.&lt;/author&gt;&lt;author&gt;Rus, C.&lt;/author&gt;&lt;author&gt;Masini, L.&lt;/author&gt;&lt;author&gt;Iacobelli, M.&lt;/author&gt;&lt;author&gt;Gaidano, G.&lt;/author&gt;&lt;author&gt;Mitsiades, C.&lt;/author&gt;&lt;author&gt;Anderson, K.&lt;/author&gt;&lt;author&gt;Boccadoro, M.&lt;/author&gt;&lt;author&gt;Richardson, P.&lt;/author&gt;&lt;/authors&gt;&lt;/contributors&gt;&lt;auth-address&gt;Ospedale Molinette - Torino - Italy.&lt;/auth-address&gt;&lt;titles&gt;&lt;title&gt;Melphalan, prednisone, thalidomide and defibrotide in relapsed/refractory multiple myeloma: results of multicenter phase I/II trial&lt;/title&gt;&lt;secondary-title&gt;Haematologica&lt;/secondary-title&gt;&lt;/titles&gt;&lt;periodical&gt;&lt;full-title&gt;Haematologica&lt;/full-title&gt;&lt;/periodical&gt;&lt;dates&gt;&lt;pub-dates&gt;&lt;date&gt;Jan 6&lt;/date&gt;&lt;/pub-dates&gt;&lt;/dates&gt;&lt;accession-num&gt;20053869&lt;/accession-num&gt;&lt;urls&gt;&lt;related-urls&gt;&lt;url&gt;http://www.ncbi.nlm.nih.gov/entrez/query.fcgi?cmd=Retrieve&amp;amp;db=PubMed&amp;amp;dopt=Citation&amp;amp;list_uids=20053869 &lt;/url&gt;&lt;/related-urls&gt;&lt;/urls&gt;&lt;/record&gt;&lt;/Cite&gt;&lt;/EndNote&gt;</w:instrText>
      </w:r>
      <w:r w:rsidR="009F2888" w:rsidRPr="00873C4C">
        <w:rPr>
          <w:color w:val="000000"/>
        </w:rPr>
        <w:fldChar w:fldCharType="separate"/>
      </w:r>
      <w:r w:rsidR="0063683C">
        <w:rPr>
          <w:noProof/>
          <w:color w:val="000000"/>
        </w:rPr>
        <w:t>(</w:t>
      </w:r>
      <w:hyperlink w:anchor="_ENREF_314" w:tooltip="Palumbo,  #34" w:history="1">
        <w:r w:rsidR="004A784D">
          <w:rPr>
            <w:noProof/>
            <w:color w:val="000000"/>
          </w:rPr>
          <w:t>Palumbo et al.</w:t>
        </w:r>
      </w:hyperlink>
      <w:r w:rsidR="0063683C">
        <w:rPr>
          <w:noProof/>
          <w:color w:val="000000"/>
        </w:rPr>
        <w:t>)</w:t>
      </w:r>
      <w:r w:rsidR="009F2888" w:rsidRPr="00873C4C">
        <w:rPr>
          <w:color w:val="000000"/>
        </w:rPr>
        <w:fldChar w:fldCharType="end"/>
      </w:r>
      <w:r w:rsidR="009F2888" w:rsidRPr="00873C4C">
        <w:rPr>
          <w:color w:val="000000"/>
        </w:rPr>
        <w:t xml:space="preserve"> aiming to achieve rapid reduction in disease, which is then followed by collection of peripheral blood stem cells; after high dose chemotherapy the patient is ‘rescued’ by infusion of stored autologous peripheral blood stem cells; with this approach some 30–60% of patients may achieve complete remission</w:t>
      </w:r>
      <w:r w:rsidR="006F4903">
        <w:rPr>
          <w:color w:val="000000"/>
        </w:rPr>
        <w:t xml:space="preserve"> (</w:t>
      </w:r>
      <w:r w:rsidR="00E01EEF" w:rsidRPr="00873C4C">
        <w:rPr>
          <w:color w:val="000000"/>
        </w:rPr>
        <w:t xml:space="preserve">Table </w:t>
      </w:r>
      <w:r w:rsidR="006F4903">
        <w:rPr>
          <w:color w:val="000000"/>
        </w:rPr>
        <w:t>1-</w:t>
      </w:r>
      <w:r w:rsidR="00E01EEF" w:rsidRPr="00873C4C">
        <w:rPr>
          <w:color w:val="000000"/>
        </w:rPr>
        <w:t xml:space="preserve">2) </w:t>
      </w:r>
      <w:r w:rsidR="00F94787" w:rsidRPr="00873C4C">
        <w:rPr>
          <w:color w:val="000000"/>
        </w:rPr>
        <w:t xml:space="preserve"> </w:t>
      </w:r>
      <w:r w:rsidR="009F2888" w:rsidRPr="00873C4C">
        <w:rPr>
          <w:color w:val="000000"/>
        </w:rPr>
        <w:fldChar w:fldCharType="begin">
          <w:fldData xml:space="preserve">PEVuZE5vdGU+PENpdGU+PEF1dGhvcj5LdW1hcjwvQXV0aG9yPjxZZWFyPjIwMDk8L1llYXI+PFJl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==
</w:fldData>
        </w:fldChar>
      </w:r>
      <w:r w:rsidR="006F41FE">
        <w:rPr>
          <w:color w:val="000000"/>
        </w:rPr>
        <w:instrText xml:space="preserve"> ADDIN EN.CITE </w:instrText>
      </w:r>
      <w:r w:rsidR="006F41FE">
        <w:rPr>
          <w:color w:val="000000"/>
        </w:rPr>
        <w:fldChar w:fldCharType="begin">
          <w:fldData xml:space="preserve">PEVuZE5vdGU+PENpdGU+PEF1dGhvcj5LdW1hcjwvQXV0aG9yPjxZZWFyPjIwMDk8L1llYXI+PFJl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==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009F2888" w:rsidRPr="00873C4C">
        <w:rPr>
          <w:color w:val="000000"/>
        </w:rPr>
      </w:r>
      <w:r w:rsidR="009F2888" w:rsidRPr="00873C4C">
        <w:rPr>
          <w:color w:val="000000"/>
        </w:rPr>
        <w:fldChar w:fldCharType="separate"/>
      </w:r>
      <w:r w:rsidR="006F41FE">
        <w:rPr>
          <w:noProof/>
          <w:color w:val="000000"/>
        </w:rPr>
        <w:t>(</w:t>
      </w:r>
      <w:hyperlink w:anchor="_ENREF_225" w:tooltip="Kumar, 2009 #292" w:history="1">
        <w:r w:rsidR="004A784D">
          <w:rPr>
            <w:noProof/>
            <w:color w:val="000000"/>
          </w:rPr>
          <w:t>Kumar, 2009</w:t>
        </w:r>
      </w:hyperlink>
      <w:r w:rsidR="006F41FE">
        <w:rPr>
          <w:noProof/>
          <w:color w:val="000000"/>
        </w:rPr>
        <w:t xml:space="preserve">, </w:t>
      </w:r>
      <w:hyperlink w:anchor="_ENREF_164" w:tooltip="Harousseau, 2009 #3396" w:history="1">
        <w:r w:rsidR="004A784D">
          <w:rPr>
            <w:noProof/>
            <w:color w:val="000000"/>
          </w:rPr>
          <w:t>Harousseau, 2009</w:t>
        </w:r>
      </w:hyperlink>
      <w:r w:rsidR="006F41FE">
        <w:rPr>
          <w:noProof/>
          <w:color w:val="000000"/>
        </w:rPr>
        <w:t>)</w:t>
      </w:r>
      <w:r w:rsidR="009F2888" w:rsidRPr="00873C4C">
        <w:rPr>
          <w:color w:val="000000"/>
        </w:rPr>
        <w:fldChar w:fldCharType="end"/>
      </w:r>
      <w:r w:rsidR="009F2888" w:rsidRPr="00873C4C">
        <w:rPr>
          <w:color w:val="000000"/>
        </w:rPr>
        <w:t xml:space="preserve">. Although there has been a rise in the upper age limit for intensive therapy  in many countries such as USA, to 65-70 years, this approach </w:t>
      </w:r>
      <w:r w:rsidR="00E01EEF" w:rsidRPr="00873C4C">
        <w:rPr>
          <w:color w:val="000000"/>
        </w:rPr>
        <w:t>is</w:t>
      </w:r>
      <w:r w:rsidR="009F2888" w:rsidRPr="00873C4C">
        <w:rPr>
          <w:color w:val="000000"/>
        </w:rPr>
        <w:t xml:space="preserve"> considered only </w:t>
      </w:r>
      <w:r w:rsidRPr="00873C4C">
        <w:rPr>
          <w:color w:val="000000"/>
        </w:rPr>
        <w:t xml:space="preserve">for </w:t>
      </w:r>
      <w:r w:rsidR="00E01EEF" w:rsidRPr="00873C4C">
        <w:rPr>
          <w:color w:val="000000"/>
        </w:rPr>
        <w:t xml:space="preserve">the </w:t>
      </w:r>
      <w:r w:rsidRPr="00873C4C">
        <w:rPr>
          <w:color w:val="000000"/>
        </w:rPr>
        <w:t xml:space="preserve">fit and motivated patients </w:t>
      </w:r>
      <w:r w:rsidR="009F2888" w:rsidRPr="00873C4C">
        <w:rPr>
          <w:color w:val="000000"/>
        </w:rPr>
        <w:fldChar w:fldCharType="begin">
          <w:fldData xml:space="preserve">PEVuZE5vdGU+PENpdGU+PEF1dGhvcj5NdXN0bzwvQXV0aG9yPjxZZWFyPjIwMDk8L1llYXI+PFJl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</w:fldData>
        </w:fldChar>
      </w:r>
      <w:r w:rsidR="00413040">
        <w:rPr>
          <w:color w:val="000000"/>
        </w:rPr>
        <w:instrText xml:space="preserve"> ADDIN EN.CITE </w:instrText>
      </w:r>
      <w:r w:rsidR="00413040">
        <w:rPr>
          <w:color w:val="000000"/>
        </w:rPr>
        <w:fldChar w:fldCharType="begin">
          <w:fldData xml:space="preserve">PEVuZE5vdGU+PENpdGU+PEF1dGhvcj5NdXN0bzwvQXV0aG9yPjxZZWFyPjIwMDk8L1llYXI+PFJl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</w:fldData>
        </w:fldChar>
      </w:r>
      <w:r w:rsidR="00413040">
        <w:rPr>
          <w:color w:val="000000"/>
        </w:rPr>
        <w:instrText xml:space="preserve"> ADDIN EN.CITE.DATA </w:instrText>
      </w:r>
      <w:r w:rsidR="00413040">
        <w:rPr>
          <w:color w:val="000000"/>
        </w:rPr>
      </w:r>
      <w:r w:rsidR="00413040">
        <w:rPr>
          <w:color w:val="000000"/>
        </w:rPr>
        <w:fldChar w:fldCharType="end"/>
      </w:r>
      <w:r w:rsidR="009F2888" w:rsidRPr="00873C4C">
        <w:rPr>
          <w:color w:val="000000"/>
        </w:rPr>
      </w:r>
      <w:r w:rsidR="009F2888" w:rsidRPr="00873C4C">
        <w:rPr>
          <w:color w:val="000000"/>
        </w:rPr>
        <w:fldChar w:fldCharType="separate"/>
      </w:r>
      <w:r w:rsidR="00413040">
        <w:rPr>
          <w:noProof/>
          <w:color w:val="000000"/>
        </w:rPr>
        <w:t>(</w:t>
      </w:r>
      <w:hyperlink w:anchor="_ENREF_283" w:tooltip="Musto, 2009 #219" w:history="1">
        <w:r w:rsidR="004A784D">
          <w:rPr>
            <w:noProof/>
            <w:color w:val="000000"/>
          </w:rPr>
          <w:t>Musto et al., 2009</w:t>
        </w:r>
      </w:hyperlink>
      <w:r w:rsidR="00413040">
        <w:rPr>
          <w:noProof/>
          <w:color w:val="000000"/>
        </w:rPr>
        <w:t xml:space="preserve">, </w:t>
      </w:r>
      <w:hyperlink w:anchor="_ENREF_329" w:tooltip="Raab, 2009 #287" w:history="1">
        <w:r w:rsidR="004A784D">
          <w:rPr>
            <w:noProof/>
            <w:color w:val="000000"/>
          </w:rPr>
          <w:t>Raab et al., 2009</w:t>
        </w:r>
      </w:hyperlink>
      <w:r w:rsidR="00413040">
        <w:rPr>
          <w:noProof/>
          <w:color w:val="000000"/>
        </w:rPr>
        <w:t xml:space="preserve">, </w:t>
      </w:r>
      <w:hyperlink w:anchor="_ENREF_18" w:tooltip="Anagnostopoulos, 2005 #4974" w:history="1">
        <w:r w:rsidR="004A784D">
          <w:rPr>
            <w:noProof/>
            <w:color w:val="000000"/>
          </w:rPr>
          <w:t>Anagnostopoulos et al., 2005</w:t>
        </w:r>
      </w:hyperlink>
      <w:r w:rsidR="00413040">
        <w:rPr>
          <w:noProof/>
          <w:color w:val="000000"/>
        </w:rPr>
        <w:t>)</w:t>
      </w:r>
      <w:r w:rsidR="009F2888" w:rsidRPr="00873C4C">
        <w:rPr>
          <w:color w:val="000000"/>
        </w:rPr>
        <w:fldChar w:fldCharType="end"/>
      </w:r>
      <w:r w:rsidR="009F2888" w:rsidRPr="00873C4C">
        <w:rPr>
          <w:color w:val="000000"/>
        </w:rPr>
        <w:t>.</w:t>
      </w:r>
      <w:r w:rsidR="00E01EEF" w:rsidRPr="00873C4C">
        <w:rPr>
          <w:color w:val="000000"/>
        </w:rPr>
        <w:t xml:space="preserve"> </w:t>
      </w:r>
      <w:r w:rsidR="00794A4B" w:rsidRPr="00873C4C">
        <w:rPr>
          <w:color w:val="000000"/>
        </w:rPr>
        <w:t xml:space="preserve"> </w:t>
      </w:r>
      <w:r w:rsidR="00617E37" w:rsidRPr="00873C4C">
        <w:rPr>
          <w:color w:val="000000"/>
        </w:rPr>
        <w:t xml:space="preserve">Therefore test or biomarkers predictive of response to certain novel agent undoubtedly will aid in choosing the best possible treatment option for achieving rapid reduction in disease and achieving remission status. </w:t>
      </w:r>
    </w:p>
    <w:p w:rsidR="00617E37" w:rsidRPr="00873C4C" w:rsidRDefault="00617E37" w:rsidP="00057B42">
      <w:pPr>
        <w:spacing w:line="360" w:lineRule="auto"/>
        <w:jc w:val="both"/>
        <w:rPr>
          <w:color w:val="000000"/>
        </w:rPr>
      </w:pPr>
    </w:p>
    <w:p w:rsidR="0092498C" w:rsidRPr="00873C4C" w:rsidRDefault="00ED7D82" w:rsidP="00057B42">
      <w:pPr>
        <w:keepNext/>
        <w:spacing w:line="360" w:lineRule="auto"/>
        <w:jc w:val="both"/>
        <w:rPr>
          <w:color w:val="000000"/>
        </w:rPr>
      </w:pPr>
      <w:r>
        <w:rPr>
          <w:noProof/>
          <w:color w:val="000000"/>
          <w:lang w:eastAsia="en-IE"/>
        </w:rPr>
        <w:lastRenderedPageBreak/>
        <w:drawing>
          <wp:inline distT="0" distB="0" distL="0" distR="0" wp14:anchorId="131EEB87" wp14:editId="243E4A73">
            <wp:extent cx="5270500" cy="549529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0500" cy="5495290"/>
                    </a:xfrm>
                    <a:prstGeom prst="rect">
                      <a:avLst/>
                    </a:prstGeom>
                    <a:noFill/>
                    <a:ln>
                      <a:noFill/>
                    </a:ln>
                  </pic:spPr>
                </pic:pic>
              </a:graphicData>
            </a:graphic>
          </wp:inline>
        </w:drawing>
      </w:r>
    </w:p>
    <w:p w:rsidR="002A4A43" w:rsidRPr="00873C4C" w:rsidRDefault="00482D3D" w:rsidP="00057B42">
      <w:pPr>
        <w:pStyle w:val="Caption"/>
        <w:jc w:val="both"/>
        <w:rPr>
          <w:color w:val="000000"/>
          <w:lang w:val="en-US"/>
        </w:rPr>
      </w:pPr>
      <w:r>
        <w:rPr>
          <w:color w:val="000000"/>
        </w:rPr>
        <w:t xml:space="preserve">Table </w:t>
      </w:r>
      <w:r>
        <w:rPr>
          <w:color w:val="000000"/>
        </w:rPr>
        <w:tab/>
      </w:r>
      <w:r w:rsidR="00B55EFC">
        <w:rPr>
          <w:color w:val="000000"/>
        </w:rPr>
        <w:fldChar w:fldCharType="begin"/>
      </w:r>
      <w:r w:rsidR="00B55EFC">
        <w:rPr>
          <w:color w:val="000000"/>
        </w:rPr>
        <w:instrText xml:space="preserve"> STYLEREF 1 \s </w:instrText>
      </w:r>
      <w:r w:rsidR="00B55EFC">
        <w:rPr>
          <w:color w:val="000000"/>
        </w:rPr>
        <w:fldChar w:fldCharType="separate"/>
      </w:r>
      <w:r w:rsidR="0081644B">
        <w:rPr>
          <w:noProof/>
          <w:color w:val="000000"/>
        </w:rPr>
        <w:t>1</w:t>
      </w:r>
      <w:r w:rsidR="00B55EFC">
        <w:rPr>
          <w:color w:val="000000"/>
        </w:rPr>
        <w:fldChar w:fldCharType="end"/>
      </w:r>
      <w:r w:rsidR="00B55EFC">
        <w:rPr>
          <w:color w:val="000000"/>
        </w:rPr>
        <w:noBreakHyphen/>
      </w:r>
      <w:r w:rsidR="00B55EFC">
        <w:rPr>
          <w:color w:val="000000"/>
        </w:rPr>
        <w:fldChar w:fldCharType="begin"/>
      </w:r>
      <w:r w:rsidR="00B55EFC">
        <w:rPr>
          <w:color w:val="000000"/>
        </w:rPr>
        <w:instrText xml:space="preserve"> SEQ Table \* ARABIC \s 1 </w:instrText>
      </w:r>
      <w:r w:rsidR="00B55EFC">
        <w:rPr>
          <w:color w:val="000000"/>
        </w:rPr>
        <w:fldChar w:fldCharType="separate"/>
      </w:r>
      <w:r w:rsidR="0081644B">
        <w:rPr>
          <w:noProof/>
          <w:color w:val="000000"/>
        </w:rPr>
        <w:t>2</w:t>
      </w:r>
      <w:r w:rsidR="00B55EFC">
        <w:rPr>
          <w:color w:val="000000"/>
        </w:rPr>
        <w:fldChar w:fldCharType="end"/>
      </w:r>
      <w:bookmarkStart w:id="134" w:name="_Toc304195956"/>
      <w:r w:rsidR="00516E5E">
        <w:rPr>
          <w:color w:val="000000"/>
        </w:rPr>
        <w:t xml:space="preserve"> </w:t>
      </w:r>
      <w:r w:rsidR="00F55C9B" w:rsidRPr="00873C4C">
        <w:rPr>
          <w:color w:val="000000"/>
          <w:lang w:val="en-US"/>
        </w:rPr>
        <w:t xml:space="preserve">The choice of initial therapy for symptomatic patients depends on whether or not the patient is a candidate for stem cell transplantation (SCT).  Patients who are candidates for SCT receive 4-6 courses of induction therapy to determine initial response and to allow for collection of stem cells. Patients who are not </w:t>
      </w:r>
      <w:r w:rsidR="008A2331" w:rsidRPr="00873C4C">
        <w:rPr>
          <w:color w:val="000000"/>
          <w:lang w:val="en-US"/>
        </w:rPr>
        <w:t>SCT</w:t>
      </w:r>
      <w:r w:rsidR="00F55C9B" w:rsidRPr="00873C4C">
        <w:rPr>
          <w:color w:val="000000"/>
          <w:lang w:val="en-US"/>
        </w:rPr>
        <w:t xml:space="preserve"> candidates are </w:t>
      </w:r>
      <w:r w:rsidR="007E6C33" w:rsidRPr="00873C4C">
        <w:rPr>
          <w:color w:val="000000"/>
          <w:lang w:val="en-US"/>
        </w:rPr>
        <w:t>commenced on induction therapy</w:t>
      </w:r>
      <w:r w:rsidR="00F55C9B" w:rsidRPr="00873C4C">
        <w:rPr>
          <w:color w:val="000000"/>
          <w:lang w:val="en-US"/>
        </w:rPr>
        <w:t xml:space="preserve"> and continue </w:t>
      </w:r>
      <w:r w:rsidR="00676041" w:rsidRPr="00873C4C">
        <w:rPr>
          <w:color w:val="000000"/>
          <w:lang w:val="en-US"/>
        </w:rPr>
        <w:t>until a</w:t>
      </w:r>
      <w:r w:rsidR="00F55C9B" w:rsidRPr="00873C4C">
        <w:rPr>
          <w:color w:val="000000"/>
          <w:lang w:val="en-US"/>
        </w:rPr>
        <w:t xml:space="preserve"> partial response is achieved.</w:t>
      </w:r>
      <w:bookmarkEnd w:id="134"/>
      <w:r w:rsidR="00F55C9B" w:rsidRPr="00873C4C">
        <w:rPr>
          <w:color w:val="000000"/>
          <w:lang w:val="en-US"/>
        </w:rPr>
        <w:t xml:space="preserve">  </w:t>
      </w:r>
    </w:p>
    <w:p w:rsidR="00F55C9B" w:rsidRPr="00873C4C" w:rsidRDefault="00F55C9B" w:rsidP="00057B42">
      <w:pPr>
        <w:pStyle w:val="Caption"/>
        <w:pBdr>
          <w:bottom w:val="single" w:sz="12" w:space="1" w:color="auto"/>
        </w:pBdr>
        <w:rPr>
          <w:color w:val="000000"/>
          <w:lang w:val="en-US"/>
        </w:rPr>
      </w:pPr>
    </w:p>
    <w:p w:rsidR="002A4A43" w:rsidRPr="00873C4C" w:rsidRDefault="002A4A43" w:rsidP="00057B42">
      <w:pPr>
        <w:spacing w:line="360" w:lineRule="auto"/>
        <w:rPr>
          <w:color w:val="000000"/>
          <w:lang w:val="en-US"/>
        </w:rPr>
      </w:pPr>
    </w:p>
    <w:p w:rsidR="00794A4B" w:rsidRPr="00873C4C" w:rsidRDefault="00794A4B" w:rsidP="00057B42">
      <w:pPr>
        <w:spacing w:line="360" w:lineRule="auto"/>
        <w:rPr>
          <w:color w:val="000000"/>
          <w:lang w:eastAsia="en-US"/>
        </w:rPr>
      </w:pPr>
    </w:p>
    <w:p w:rsidR="009F2888" w:rsidRPr="00873C4C" w:rsidRDefault="00E01EEF" w:rsidP="00057B42">
      <w:pPr>
        <w:autoSpaceDE w:val="0"/>
        <w:autoSpaceDN w:val="0"/>
        <w:adjustRightInd w:val="0"/>
        <w:spacing w:line="360" w:lineRule="auto"/>
        <w:jc w:val="both"/>
        <w:rPr>
          <w:color w:val="000000"/>
        </w:rPr>
      </w:pPr>
      <w:r w:rsidRPr="00873C4C">
        <w:rPr>
          <w:color w:val="000000"/>
        </w:rPr>
        <w:t xml:space="preserve">Considering the </w:t>
      </w:r>
      <w:r w:rsidR="009F2888" w:rsidRPr="00873C4C">
        <w:rPr>
          <w:color w:val="000000"/>
        </w:rPr>
        <w:t xml:space="preserve">age profile of multiple myeloma patients at diagnosis, the majority of patients are still treated with combination therapies such as thalidomide and dexamethasone </w:t>
      </w:r>
      <w:r w:rsidR="009F2888" w:rsidRPr="00873C4C">
        <w:rPr>
          <w:color w:val="000000"/>
        </w:rPr>
        <w:fldChar w:fldCharType="begin"/>
      </w:r>
      <w:r w:rsidR="006F41FE">
        <w:rPr>
          <w:color w:val="000000"/>
        </w:rPr>
        <w:instrText xml:space="preserve"> ADDIN EN.CITE &lt;EndNote&gt;&lt;Cite&gt;&lt;Author&gt;Levi&lt;/Author&gt;&lt;Year&gt;2001&lt;/Year&gt;&lt;RecNum&gt;1&lt;/RecNum&gt;&lt;DisplayText&gt;(Levi et al., 2001)&lt;/DisplayText&gt;&lt;record&gt;&lt;rec-number&gt;1&lt;/rec-number&gt;&lt;ref-type name="Journal Article"&gt;17&lt;/ref-type&gt;&lt;contributors&gt;&lt;authors&gt;&lt;author&gt;Levi, F.&lt;/author&gt;&lt;author&gt;Lucchini, F.&lt;/author&gt;&lt;author&gt;Negri, E.&lt;/author&gt;&lt;author&gt;Boyle, P.&lt;/author&gt;&lt;author&gt;La Vecchia, C.&lt;/author&gt;&lt;/authors&gt;&lt;/contributors&gt;&lt;auth-address&gt;Unite d&amp;apos;Epidemiologie du Cancer and Registres Vaudois et Neuchatelois des Tumeurs, Institut Universitaire de Medecine Sociale et Preventive, Lausanne, Switzerland. Fabio.Levi@inst.hospvd.ch&lt;/auth-address&gt;&lt;titles&gt;&lt;title&gt;Changed trends of cancer mortality in the elderly&lt;/title&gt;&lt;secondary-title&gt;Ann Oncol&lt;/secondary-title&gt;&lt;/titles&gt;&lt;periodical&gt;&lt;full-title&gt;Ann Oncol&lt;/full-title&gt;&lt;/periodical&gt;&lt;pages&gt;1467-77&lt;/pages&gt;&lt;volume&gt;12&lt;/volume&gt;&lt;number&gt;10&lt;/number&gt;&lt;keywords&gt;&lt;keyword&gt;Aged&lt;/keyword&gt;&lt;keyword&gt;Aged, 80 and over&lt;/keyword&gt;&lt;keyword&gt;*Aging&lt;/keyword&gt;&lt;keyword&gt;Epidemiologic Studies&lt;/keyword&gt;&lt;keyword&gt;Europe/epidemiology&lt;/keyword&gt;&lt;keyword&gt;Female&lt;/keyword&gt;&lt;keyword&gt;Humans&lt;/keyword&gt;&lt;keyword&gt;Japan/epidemiology&lt;/keyword&gt;&lt;keyword&gt;Male&lt;/keyword&gt;&lt;keyword&gt;Mortality/*trends&lt;/keyword&gt;&lt;keyword&gt;Neoplasms/*mortality&lt;/keyword&gt;&lt;keyword&gt;Sex Factors&lt;/keyword&gt;&lt;keyword&gt;United States/epidemiology&lt;/keyword&gt;&lt;/keywords&gt;&lt;dates&gt;&lt;year&gt;2001&lt;/year&gt;&lt;pub-dates&gt;&lt;date&gt;Oct&lt;/date&gt;&lt;/pub-dates&gt;&lt;/dates&gt;&lt;accession-num&gt;11762821&lt;/accession-num&gt;&lt;urls&gt;&lt;related-urls&gt;&lt;url&gt;http://www.ncbi.nlm.nih.gov/entrez/query.fcgi?cmd=Retrieve&amp;amp;db=PubMed&amp;amp;dopt=Citation&amp;amp;list_uids=11762821 &lt;/url&gt;&lt;/related-urls&gt;&lt;/urls&gt;&lt;/record&gt;&lt;/Cite&gt;&lt;/EndNote&gt;</w:instrText>
      </w:r>
      <w:r w:rsidR="009F2888" w:rsidRPr="00873C4C">
        <w:rPr>
          <w:color w:val="000000"/>
        </w:rPr>
        <w:fldChar w:fldCharType="separate"/>
      </w:r>
      <w:r w:rsidR="006F41FE">
        <w:rPr>
          <w:noProof/>
          <w:color w:val="000000"/>
        </w:rPr>
        <w:t>(</w:t>
      </w:r>
      <w:hyperlink w:anchor="_ENREF_242" w:tooltip="Levi, 2001 #1" w:history="1">
        <w:r w:rsidR="004A784D">
          <w:rPr>
            <w:noProof/>
            <w:color w:val="000000"/>
          </w:rPr>
          <w:t>Levi et al., 2001</w:t>
        </w:r>
      </w:hyperlink>
      <w:r w:rsidR="006F41FE">
        <w:rPr>
          <w:noProof/>
          <w:color w:val="000000"/>
        </w:rPr>
        <w:t>)</w:t>
      </w:r>
      <w:r w:rsidR="009F2888" w:rsidRPr="00873C4C">
        <w:rPr>
          <w:color w:val="000000"/>
        </w:rPr>
        <w:fldChar w:fldCharType="end"/>
      </w:r>
      <w:r w:rsidR="009F2888" w:rsidRPr="00873C4C">
        <w:rPr>
          <w:color w:val="000000"/>
        </w:rPr>
        <w:t xml:space="preserve">. </w:t>
      </w:r>
      <w:r w:rsidRPr="00873C4C">
        <w:rPr>
          <w:color w:val="000000"/>
        </w:rPr>
        <w:t>By using novel agents such as thalidomide,</w:t>
      </w:r>
      <w:r w:rsidR="009F2888" w:rsidRPr="00873C4C">
        <w:rPr>
          <w:color w:val="000000"/>
        </w:rPr>
        <w:t xml:space="preserve"> </w:t>
      </w:r>
      <w:r w:rsidR="009F2888" w:rsidRPr="00873C4C">
        <w:rPr>
          <w:color w:val="000000"/>
        </w:rPr>
        <w:lastRenderedPageBreak/>
        <w:t>response rates that were previously only seen with high-dose therapy plus stem-cell transplantation (HDT–SCT) can now be achieved</w:t>
      </w:r>
      <w:r w:rsidR="008A0AD2" w:rsidRPr="00873C4C">
        <w:rPr>
          <w:color w:val="000000"/>
        </w:rPr>
        <w:t xml:space="preserve"> </w:t>
      </w:r>
      <w:r w:rsidR="009F2888" w:rsidRPr="00873C4C">
        <w:rPr>
          <w:color w:val="000000"/>
        </w:rPr>
        <w:fldChar w:fldCharType="begin">
          <w:fldData xml:space="preserve">PEVuZE5vdGU+PENpdGU+PEF1dGhvcj5LcmlzdGluc3NvbjwvQXV0aG9yPjxZZWFyPjIwMDk8L1ll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=
</w:fldData>
        </w:fldChar>
      </w:r>
      <w:r w:rsidR="006F41FE">
        <w:rPr>
          <w:color w:val="000000"/>
        </w:rPr>
        <w:instrText xml:space="preserve"> ADDIN EN.CITE </w:instrText>
      </w:r>
      <w:r w:rsidR="006F41FE">
        <w:rPr>
          <w:color w:val="000000"/>
        </w:rPr>
        <w:fldChar w:fldCharType="begin">
          <w:fldData xml:space="preserve">PEVuZE5vdGU+PENpdGU+PEF1dGhvcj5LcmlzdGluc3NvbjwvQXV0aG9yPjxZZWFyPjIwMDk8L1ll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=
</w:fldData>
        </w:fldChar>
      </w:r>
      <w:r w:rsidR="006F41FE">
        <w:rPr>
          <w:color w:val="000000"/>
        </w:rPr>
        <w:instrText xml:space="preserve"> ADDIN EN.CITE.DATA </w:instrText>
      </w:r>
      <w:r w:rsidR="006F41FE">
        <w:rPr>
          <w:color w:val="000000"/>
        </w:rPr>
      </w:r>
      <w:r w:rsidR="006F41FE">
        <w:rPr>
          <w:color w:val="000000"/>
        </w:rPr>
        <w:fldChar w:fldCharType="end"/>
      </w:r>
      <w:r w:rsidR="009F2888" w:rsidRPr="00873C4C">
        <w:rPr>
          <w:color w:val="000000"/>
        </w:rPr>
      </w:r>
      <w:r w:rsidR="009F2888" w:rsidRPr="00873C4C">
        <w:rPr>
          <w:color w:val="000000"/>
        </w:rPr>
        <w:fldChar w:fldCharType="separate"/>
      </w:r>
      <w:r w:rsidR="006F41FE">
        <w:rPr>
          <w:noProof/>
          <w:color w:val="000000"/>
        </w:rPr>
        <w:t>(</w:t>
      </w:r>
      <w:hyperlink w:anchor="_ENREF_222" w:tooltip="Kristinsson, 2009 #3384" w:history="1">
        <w:r w:rsidR="004A784D">
          <w:rPr>
            <w:noProof/>
            <w:color w:val="000000"/>
          </w:rPr>
          <w:t>Kristinsson et al., 2009</w:t>
        </w:r>
      </w:hyperlink>
      <w:r w:rsidR="006F41FE">
        <w:rPr>
          <w:noProof/>
          <w:color w:val="000000"/>
        </w:rPr>
        <w:t>)</w:t>
      </w:r>
      <w:r w:rsidR="009F2888" w:rsidRPr="00873C4C">
        <w:rPr>
          <w:color w:val="000000"/>
        </w:rPr>
        <w:fldChar w:fldCharType="end"/>
      </w:r>
      <w:r w:rsidR="009F2888" w:rsidRPr="00873C4C">
        <w:rPr>
          <w:color w:val="000000"/>
        </w:rPr>
        <w:t xml:space="preserve">.  </w:t>
      </w:r>
    </w:p>
    <w:p w:rsidR="009F2888" w:rsidRPr="00873C4C" w:rsidRDefault="009F2888" w:rsidP="00057B42">
      <w:pPr>
        <w:autoSpaceDE w:val="0"/>
        <w:autoSpaceDN w:val="0"/>
        <w:adjustRightInd w:val="0"/>
        <w:spacing w:line="360" w:lineRule="auto"/>
        <w:jc w:val="both"/>
        <w:rPr>
          <w:color w:val="000000"/>
        </w:rPr>
      </w:pPr>
    </w:p>
    <w:p w:rsidR="009F2888" w:rsidRPr="00873C4C" w:rsidRDefault="009F2888" w:rsidP="00057B42">
      <w:pPr>
        <w:autoSpaceDE w:val="0"/>
        <w:autoSpaceDN w:val="0"/>
        <w:adjustRightInd w:val="0"/>
        <w:spacing w:line="360" w:lineRule="auto"/>
        <w:jc w:val="both"/>
        <w:rPr>
          <w:color w:val="000000"/>
        </w:rPr>
      </w:pPr>
      <w:r w:rsidRPr="00873C4C">
        <w:rPr>
          <w:color w:val="000000"/>
        </w:rPr>
        <w:t>Furthermore, these novel agents combine well with traditional therapies</w:t>
      </w:r>
      <w:r w:rsidR="00E01EEF" w:rsidRPr="00873C4C">
        <w:rPr>
          <w:color w:val="000000"/>
        </w:rPr>
        <w:t xml:space="preserve"> such as melphalan </w:t>
      </w:r>
      <w:r w:rsidRPr="00873C4C">
        <w:rPr>
          <w:color w:val="000000"/>
        </w:rPr>
        <w:t xml:space="preserve">and are generally well tolerated in the front-line setting, including in patients with </w:t>
      </w:r>
      <w:r w:rsidR="008A0AD2" w:rsidRPr="00873C4C">
        <w:rPr>
          <w:color w:val="000000"/>
        </w:rPr>
        <w:t>poor prognostic characteristics</w:t>
      </w:r>
      <w:r w:rsidR="009E5DA3" w:rsidRPr="00873C4C">
        <w:rPr>
          <w:color w:val="000000"/>
        </w:rPr>
        <w:t xml:space="preserve"> (Table </w:t>
      </w:r>
      <w:r w:rsidR="006F4903">
        <w:rPr>
          <w:color w:val="000000"/>
        </w:rPr>
        <w:t>1-</w:t>
      </w:r>
      <w:r w:rsidR="009E5DA3" w:rsidRPr="00873C4C">
        <w:rPr>
          <w:color w:val="000000"/>
        </w:rPr>
        <w:t>3)</w:t>
      </w:r>
      <w:r w:rsidR="008A0AD2" w:rsidRPr="00873C4C">
        <w:rPr>
          <w:color w:val="000000"/>
        </w:rPr>
        <w:t>.</w:t>
      </w:r>
      <w:r w:rsidR="00E01EEF" w:rsidRPr="00873C4C">
        <w:rPr>
          <w:color w:val="000000"/>
        </w:rPr>
        <w:t xml:space="preserve"> </w:t>
      </w:r>
      <w:r w:rsidRPr="00873C4C">
        <w:rPr>
          <w:color w:val="000000"/>
        </w:rPr>
        <w:t xml:space="preserve">The choice of initial therapy for symptomatic patients depends on whether or not the patient is a candidate for stem cell transplantation (SCT).  Patients who are candidates for SCT receive a course induction like therapy to determine initial response and to allow for collection of stem cells.  Patients may go immediately to transplant or may continue with the initial therapy and delay transplant.  On other hand patients who are not transplant candidates are also evaluated for an initial response and continue initial therapy if at least a partial response is achieved.  The length of therapy in this population is not well defined.  The overall goal is to prolong overall survival and improve quality of life </w:t>
      </w:r>
      <w:r w:rsidRPr="00873C4C">
        <w:rPr>
          <w:color w:val="000000"/>
        </w:rPr>
        <w:fldChar w:fldCharType="begin">
          <w:fldData xml:space="preserve">PEVuZE5vdGU+PENpdGU+PEF1dGhvcj5TdGV3YXJ0PC9BdXRob3I+PFllYXI+MjAwOTwvWWVhcj48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</w:fldData>
        </w:fldChar>
      </w:r>
      <w:r w:rsidR="006F41FE">
        <w:rPr>
          <w:color w:val="000000"/>
        </w:rPr>
        <w:instrText xml:space="preserve"> ADDIN EN.CITE </w:instrText>
      </w:r>
      <w:r w:rsidR="006F41FE">
        <w:rPr>
          <w:color w:val="000000"/>
        </w:rPr>
        <w:fldChar w:fldCharType="begin">
          <w:fldData xml:space="preserve">PEVuZE5vdGU+PENpdGU+PEF1dGhvcj5TdGV3YXJ0PC9BdXRob3I+PFllYXI+MjAwOTwvWWVhcj48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402" w:tooltip="Stewart, 2009 #57" w:history="1">
        <w:r w:rsidR="004A784D">
          <w:rPr>
            <w:noProof/>
            <w:color w:val="000000"/>
          </w:rPr>
          <w:t>Stewart, 2009</w:t>
        </w:r>
      </w:hyperlink>
      <w:r w:rsidR="006F41FE">
        <w:rPr>
          <w:noProof/>
          <w:color w:val="000000"/>
        </w:rPr>
        <w:t>)</w:t>
      </w:r>
      <w:r w:rsidRPr="00873C4C">
        <w:rPr>
          <w:color w:val="000000"/>
        </w:rPr>
        <w:fldChar w:fldCharType="end"/>
      </w:r>
      <w:r w:rsidRPr="00873C4C">
        <w:rPr>
          <w:color w:val="000000"/>
        </w:rPr>
        <w:t>.</w:t>
      </w:r>
    </w:p>
    <w:p w:rsidR="009F2888" w:rsidRPr="00873C4C" w:rsidRDefault="009F2888" w:rsidP="00057B42">
      <w:pPr>
        <w:autoSpaceDE w:val="0"/>
        <w:autoSpaceDN w:val="0"/>
        <w:adjustRightInd w:val="0"/>
        <w:spacing w:line="360" w:lineRule="auto"/>
        <w:jc w:val="both"/>
        <w:rPr>
          <w:color w:val="000000"/>
        </w:rPr>
      </w:pPr>
    </w:p>
    <w:p w:rsidR="009F2888" w:rsidRPr="00873C4C" w:rsidRDefault="009F2888" w:rsidP="00057B42">
      <w:pPr>
        <w:autoSpaceDE w:val="0"/>
        <w:autoSpaceDN w:val="0"/>
        <w:adjustRightInd w:val="0"/>
        <w:spacing w:line="360" w:lineRule="auto"/>
        <w:jc w:val="both"/>
        <w:rPr>
          <w:color w:val="000000"/>
        </w:rPr>
      </w:pPr>
      <w:r w:rsidRPr="00873C4C">
        <w:rPr>
          <w:color w:val="000000"/>
        </w:rPr>
        <w:t>Overall, there is no one standard</w:t>
      </w:r>
      <w:r w:rsidR="007805D4">
        <w:rPr>
          <w:color w:val="000000"/>
        </w:rPr>
        <w:t xml:space="preserve"> initial therapy, the choice </w:t>
      </w:r>
      <w:r w:rsidRPr="00873C4C">
        <w:rPr>
          <w:color w:val="000000"/>
        </w:rPr>
        <w:t xml:space="preserve">the initial drug regimen is based on, treatment related side effects, patient related factors </w:t>
      </w:r>
      <w:r w:rsidRPr="00873C4C">
        <w:rPr>
          <w:color w:val="000000"/>
        </w:rPr>
        <w:fldChar w:fldCharType="begin"/>
      </w:r>
      <w:r w:rsidR="0063683C">
        <w:rPr>
          <w:color w:val="000000"/>
        </w:rPr>
        <w:instrText xml:space="preserve"> ADDIN EN.CITE &lt;EndNote&gt;&lt;Cite&gt;&lt;Author&gt;Offidani&lt;/Author&gt;&lt;RecNum&gt;2&lt;/RecNum&gt;&lt;DisplayText&gt;(Offidani et al.)&lt;/DisplayText&gt;&lt;record&gt;&lt;rec-number&gt;2&lt;/rec-number&gt;&lt;ref-type name="Journal Article"&gt;17&lt;/ref-type&gt;&lt;contributors&gt;&lt;authors&gt;&lt;author&gt;Offidani, M.&lt;/author&gt;&lt;author&gt;Leoni, P.&lt;/author&gt;&lt;author&gt;Corvatta, L.&lt;/author&gt;&lt;author&gt;Polloni, C.&lt;/author&gt;&lt;author&gt;Gentili, S.&lt;/author&gt;&lt;author&gt;Savini, A.&lt;/author&gt;&lt;author&gt;Alesiani, F.&lt;/author&gt;&lt;author&gt;Brunori, M.&lt;/author&gt;&lt;author&gt;Catarini, M.&lt;/author&gt;&lt;author&gt;Visani, G.&lt;/author&gt;&lt;author&gt;Samori, A.&lt;/author&gt;&lt;author&gt;Burattini, M.&lt;/author&gt;&lt;author&gt;Centurioni, R.&lt;/author&gt;&lt;author&gt;Montanari, M.&lt;/author&gt;&lt;author&gt;Fraticelli, P.&lt;/author&gt;&lt;author&gt;Ruggieri, M.&lt;/author&gt;&lt;author&gt;Falcioni, S.&lt;/author&gt;&lt;author&gt;Galieni, P.&lt;/author&gt;&lt;/authors&gt;&lt;/contributors&gt;&lt;auth-address&gt;Clinica di Ematologia Azienda Ospedaliero-Universitaria, Ospedali Riuniti di Ancona, Ancona.&lt;/auth-address&gt;&lt;titles&gt;&lt;title&gt;Thadd Plus High Dose Therapy and Autologous Stem Cell Transplantation Does Not Appear Superior to Thadd Plus Maintenance in Elderly Patients with De Novo Multiple Myeloma&lt;/title&gt;&lt;secondary-title&gt;Eur J Haematol&lt;/secondary-title&gt;&lt;/titles&gt;&lt;periodical&gt;&lt;full-title&gt;Eur J Haematol&lt;/full-title&gt;&lt;/periodical&gt;&lt;dates&gt;&lt;pub-dates&gt;&lt;date&gt;Mar 11&lt;/date&gt;&lt;/pub-dates&gt;&lt;/dates&gt;&lt;accession-num&gt;20331733&lt;/accession-num&gt;&lt;urls&gt;&lt;related-urls&gt;&lt;url&gt;http://www.ncbi.nlm.nih.gov/entrez/query.fcgi?cmd=Retrieve&amp;amp;db=PubMed&amp;amp;dopt=Citation&amp;amp;list_uids=20331733 &lt;/url&gt;&lt;/related-urls&gt;&lt;/urls&gt;&lt;/record&gt;&lt;/Cite&gt;&lt;/EndNote&gt;</w:instrText>
      </w:r>
      <w:r w:rsidRPr="00873C4C">
        <w:rPr>
          <w:color w:val="000000"/>
        </w:rPr>
        <w:fldChar w:fldCharType="separate"/>
      </w:r>
      <w:r w:rsidR="0063683C">
        <w:rPr>
          <w:noProof/>
          <w:color w:val="000000"/>
        </w:rPr>
        <w:t>(</w:t>
      </w:r>
      <w:hyperlink w:anchor="_ENREF_297" w:tooltip="Offidani,  #2" w:history="1">
        <w:r w:rsidR="004A784D">
          <w:rPr>
            <w:noProof/>
            <w:color w:val="000000"/>
          </w:rPr>
          <w:t>Offidani et al.</w:t>
        </w:r>
      </w:hyperlink>
      <w:r w:rsidR="0063683C">
        <w:rPr>
          <w:noProof/>
          <w:color w:val="000000"/>
        </w:rPr>
        <w:t>)</w:t>
      </w:r>
      <w:r w:rsidRPr="00873C4C">
        <w:rPr>
          <w:color w:val="000000"/>
        </w:rPr>
        <w:fldChar w:fldCharType="end"/>
      </w:r>
      <w:r w:rsidR="00E01EEF" w:rsidRPr="00873C4C">
        <w:rPr>
          <w:color w:val="000000"/>
        </w:rPr>
        <w:t xml:space="preserve">. </w:t>
      </w:r>
      <w:r w:rsidRPr="00873C4C">
        <w:rPr>
          <w:color w:val="000000"/>
        </w:rPr>
        <w:t>The most common patients related factors for the choice of regimen include</w:t>
      </w:r>
      <w:r w:rsidR="00E01EEF" w:rsidRPr="00873C4C">
        <w:rPr>
          <w:color w:val="000000"/>
        </w:rPr>
        <w:t xml:space="preserve"> </w:t>
      </w:r>
      <w:r w:rsidRPr="00873C4C">
        <w:rPr>
          <w:color w:val="000000"/>
        </w:rPr>
        <w:fldChar w:fldCharType="begin"/>
      </w:r>
      <w:r w:rsidR="006F41FE">
        <w:rPr>
          <w:color w:val="000000"/>
        </w:rPr>
        <w:instrText xml:space="preserve"> ADDIN EN.CITE &lt;EndNote&gt;&lt;Cite&gt;&lt;Author&gt;Barrick&lt;/Author&gt;&lt;Year&gt;2006&lt;/Year&gt;&lt;RecNum&gt;123&lt;/RecNum&gt;&lt;DisplayText&gt;(Barrick, 2006)&lt;/DisplayText&gt;&lt;record&gt;&lt;rec-number&gt;123&lt;/rec-number&gt;&lt;ref-type name="Journal Article"&gt;17&lt;/ref-type&gt;&lt;contributors&gt;&lt;authors&gt;&lt;author&gt;Barrick, M.&lt;/author&gt;&lt;/authors&gt;&lt;/contributors&gt;&lt;auth-address&gt;Greater Baltimore Medical Center, Maryland, USA.&lt;/auth-address&gt;&lt;titles&gt;&lt;title&gt;Advances in the treatment of multiple myeloma: a nursing perspective&lt;/title&gt;&lt;secondary-title&gt;ONS News&lt;/secondary-title&gt;&lt;/titles&gt;&lt;periodical&gt;&lt;full-title&gt;ONS News&lt;/full-title&gt;&lt;/periodical&gt;&lt;pages&gt;15-6&lt;/pages&gt;&lt;volume&gt;21&lt;/volume&gt;&lt;number&gt;8 Suppl&lt;/number&gt;&lt;keywords&gt;&lt;keyword&gt;Antineoplastic Combined Chemotherapy Protocols/therapeutic use&lt;/keyword&gt;&lt;keyword&gt;Boronic Acids/therapeutic use&lt;/keyword&gt;&lt;keyword&gt;Combined Modality Therapy&lt;/keyword&gt;&lt;keyword&gt;Humans&lt;/keyword&gt;&lt;keyword&gt;Immunosuppressive Agents/therapeutic use&lt;/keyword&gt;&lt;keyword&gt;Multiple Myeloma/*diagnosis/psychology/*therapy&lt;/keyword&gt;&lt;keyword&gt;Neoplasm Staging&lt;/keyword&gt;&lt;keyword&gt;*Nurse&amp;apos;s Role&lt;/keyword&gt;&lt;keyword&gt;Oncologic Nursing/*organization &amp;amp; administration&lt;/keyword&gt;&lt;keyword&gt;Practice Guidelines as Topic&lt;/keyword&gt;&lt;keyword&gt;Protease Inhibitors/therapeutic use&lt;/keyword&gt;&lt;keyword&gt;Pyrazines/therapeutic use&lt;/keyword&gt;&lt;keyword&gt;Quality of Life/psychology&lt;/keyword&gt;&lt;keyword&gt;Stem Cell Transplantation&lt;/keyword&gt;&lt;keyword&gt;Survival Rate&lt;/keyword&gt;&lt;keyword&gt;Thalidomide/analogs &amp;amp; derivatives/therapeutic use&lt;/keyword&gt;&lt;keyword&gt;Treatment Outcome&lt;/keyword&gt;&lt;/keywords&gt;&lt;dates&gt;&lt;year&gt;2006&lt;/year&gt;&lt;/dates&gt;&lt;accession-num&gt;16925133&lt;/accession-num&gt;&lt;urls&gt;&lt;related-urls&gt;&lt;url&gt;http://www.ncbi.nlm.nih.gov/entrez/query.fcgi?cmd=Retrieve&amp;amp;db=PubMed&amp;amp;dopt=Citation&amp;amp;list_uids=16925133 &lt;/url&gt;&lt;/related-urls&gt;&lt;/urls&gt;&lt;/record&gt;&lt;/Cite&gt;&lt;/EndNote&gt;</w:instrText>
      </w:r>
      <w:r w:rsidRPr="00873C4C">
        <w:rPr>
          <w:color w:val="000000"/>
        </w:rPr>
        <w:fldChar w:fldCharType="separate"/>
      </w:r>
      <w:r w:rsidR="006F41FE">
        <w:rPr>
          <w:noProof/>
          <w:color w:val="000000"/>
        </w:rPr>
        <w:t>(</w:t>
      </w:r>
      <w:hyperlink w:anchor="_ENREF_38" w:tooltip="Barrick, 2006 #123" w:history="1">
        <w:r w:rsidR="004A784D">
          <w:rPr>
            <w:noProof/>
            <w:color w:val="000000"/>
          </w:rPr>
          <w:t>Barrick, 2006</w:t>
        </w:r>
      </w:hyperlink>
      <w:r w:rsidR="006F41FE">
        <w:rPr>
          <w:noProof/>
          <w:color w:val="000000"/>
        </w:rPr>
        <w:t>)</w:t>
      </w:r>
      <w:r w:rsidRPr="00873C4C">
        <w:rPr>
          <w:color w:val="000000"/>
        </w:rPr>
        <w:fldChar w:fldCharType="end"/>
      </w:r>
      <w:r w:rsidRPr="00873C4C">
        <w:rPr>
          <w:color w:val="000000"/>
        </w:rPr>
        <w:t xml:space="preserve">: </w:t>
      </w:r>
      <w:r w:rsidR="008F448C" w:rsidRPr="00873C4C">
        <w:rPr>
          <w:color w:val="000000"/>
        </w:rPr>
        <w:t xml:space="preserve">age, </w:t>
      </w:r>
      <w:r w:rsidR="00E01EEF" w:rsidRPr="00873C4C">
        <w:rPr>
          <w:color w:val="000000"/>
        </w:rPr>
        <w:t>performance status</w:t>
      </w:r>
      <w:r w:rsidR="008F448C" w:rsidRPr="00873C4C">
        <w:rPr>
          <w:color w:val="000000"/>
        </w:rPr>
        <w:t xml:space="preserve">, </w:t>
      </w:r>
      <w:r w:rsidR="00E01EEF" w:rsidRPr="00873C4C">
        <w:rPr>
          <w:color w:val="000000"/>
        </w:rPr>
        <w:t>renal function</w:t>
      </w:r>
      <w:r w:rsidR="008F448C" w:rsidRPr="00873C4C">
        <w:rPr>
          <w:color w:val="000000"/>
        </w:rPr>
        <w:t xml:space="preserve">, </w:t>
      </w:r>
      <w:r w:rsidRPr="00873C4C">
        <w:rPr>
          <w:color w:val="000000"/>
        </w:rPr>
        <w:t>other co-morbidities (pre-existing neuropathy, neu</w:t>
      </w:r>
      <w:r w:rsidR="00E01EEF" w:rsidRPr="00873C4C">
        <w:rPr>
          <w:color w:val="000000"/>
        </w:rPr>
        <w:t>romuscular diseases, diabetes)</w:t>
      </w:r>
      <w:r w:rsidR="008F448C" w:rsidRPr="00873C4C">
        <w:rPr>
          <w:color w:val="000000"/>
        </w:rPr>
        <w:t xml:space="preserve">, </w:t>
      </w:r>
      <w:r w:rsidRPr="00873C4C">
        <w:rPr>
          <w:color w:val="000000"/>
        </w:rPr>
        <w:t>ability to adhere to a treatment regimen, past co</w:t>
      </w:r>
      <w:r w:rsidR="009E5DA3" w:rsidRPr="00873C4C">
        <w:rPr>
          <w:color w:val="000000"/>
        </w:rPr>
        <w:t>mpliance with oral medications and hospital appointments</w:t>
      </w:r>
      <w:r w:rsidR="008F448C" w:rsidRPr="00873C4C">
        <w:rPr>
          <w:color w:val="000000"/>
        </w:rPr>
        <w:t xml:space="preserve">, </w:t>
      </w:r>
      <w:r w:rsidR="009E5DA3" w:rsidRPr="00873C4C">
        <w:rPr>
          <w:color w:val="000000"/>
        </w:rPr>
        <w:t>risk for thrombosis</w:t>
      </w:r>
      <w:r w:rsidR="008F448C" w:rsidRPr="00873C4C">
        <w:rPr>
          <w:color w:val="000000"/>
        </w:rPr>
        <w:t xml:space="preserve">, </w:t>
      </w:r>
      <w:r w:rsidR="009E5DA3" w:rsidRPr="00873C4C">
        <w:rPr>
          <w:color w:val="000000"/>
        </w:rPr>
        <w:t>t</w:t>
      </w:r>
      <w:r w:rsidRPr="00873C4C">
        <w:rPr>
          <w:color w:val="000000"/>
        </w:rPr>
        <w:t>ravel barrier and distance to travel</w:t>
      </w:r>
      <w:r w:rsidR="009E5DA3" w:rsidRPr="00873C4C">
        <w:rPr>
          <w:color w:val="000000"/>
        </w:rPr>
        <w:t xml:space="preserve"> to and from the treatment site</w:t>
      </w:r>
      <w:r w:rsidR="008F448C" w:rsidRPr="00873C4C">
        <w:rPr>
          <w:color w:val="000000"/>
        </w:rPr>
        <w:t xml:space="preserve">, </w:t>
      </w:r>
      <w:r w:rsidR="009E5DA3" w:rsidRPr="00873C4C">
        <w:rPr>
          <w:color w:val="000000"/>
        </w:rPr>
        <w:t xml:space="preserve"> availability of other s</w:t>
      </w:r>
      <w:r w:rsidRPr="00873C4C">
        <w:rPr>
          <w:color w:val="000000"/>
        </w:rPr>
        <w:t>upportive care</w:t>
      </w:r>
      <w:r w:rsidR="009E5DA3" w:rsidRPr="00873C4C">
        <w:rPr>
          <w:color w:val="000000"/>
        </w:rPr>
        <w:t xml:space="preserve"> such as home care nurse</w:t>
      </w:r>
      <w:r w:rsidR="00001AF5">
        <w:rPr>
          <w:color w:val="000000"/>
        </w:rPr>
        <w:t>. T</w:t>
      </w:r>
      <w:r w:rsidRPr="00873C4C">
        <w:rPr>
          <w:color w:val="000000"/>
        </w:rPr>
        <w:t xml:space="preserve">hese </w:t>
      </w:r>
      <w:r w:rsidR="009E5DA3" w:rsidRPr="00873C4C">
        <w:rPr>
          <w:color w:val="000000"/>
        </w:rPr>
        <w:t xml:space="preserve">general </w:t>
      </w:r>
      <w:r w:rsidRPr="00873C4C">
        <w:rPr>
          <w:color w:val="000000"/>
        </w:rPr>
        <w:t>factors suggest that in the future risk- adapted approaches will further refine patient management</w:t>
      </w:r>
      <w:r w:rsidR="009E5DA3" w:rsidRPr="00873C4C">
        <w:rPr>
          <w:color w:val="000000"/>
        </w:rPr>
        <w:t>.</w:t>
      </w:r>
    </w:p>
    <w:p w:rsidR="009E5DA3" w:rsidRPr="00873C4C" w:rsidRDefault="00881BA5" w:rsidP="00057B42">
      <w:pPr>
        <w:keepNext/>
        <w:spacing w:line="360" w:lineRule="auto"/>
        <w:jc w:val="center"/>
        <w:rPr>
          <w:color w:val="000000"/>
        </w:rPr>
      </w:pPr>
      <w:r w:rsidRPr="00881BA5">
        <w:rPr>
          <w:noProof/>
          <w:lang w:eastAsia="en-IE"/>
        </w:rPr>
        <w:lastRenderedPageBreak/>
        <w:drawing>
          <wp:inline distT="0" distB="0" distL="0" distR="0" wp14:anchorId="04BADE4B" wp14:editId="0FEEA5C9">
            <wp:extent cx="5007935" cy="43118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2737" b="8398"/>
                    <a:stretch/>
                  </pic:blipFill>
                  <pic:spPr bwMode="auto">
                    <a:xfrm>
                      <a:off x="0" y="0"/>
                      <a:ext cx="5017360" cy="4320000"/>
                    </a:xfrm>
                    <a:prstGeom prst="rect">
                      <a:avLst/>
                    </a:prstGeom>
                    <a:ln>
                      <a:noFill/>
                    </a:ln>
                    <a:extLst>
                      <a:ext uri="{53640926-AAD7-44D8-BBD7-CCE9431645EC}">
                        <a14:shadowObscured xmlns:a14="http://schemas.microsoft.com/office/drawing/2010/main"/>
                      </a:ext>
                    </a:extLst>
                  </pic:spPr>
                </pic:pic>
              </a:graphicData>
            </a:graphic>
          </wp:inline>
        </w:drawing>
      </w:r>
    </w:p>
    <w:p w:rsidR="008F448C" w:rsidRPr="00873C4C" w:rsidRDefault="008F448C" w:rsidP="00057B42">
      <w:pPr>
        <w:pStyle w:val="Caption"/>
        <w:rPr>
          <w:color w:val="000000"/>
        </w:rPr>
      </w:pPr>
    </w:p>
    <w:p w:rsidR="009B6D5A" w:rsidRPr="00FC043C" w:rsidRDefault="009E5DA3" w:rsidP="00057B42">
      <w:pPr>
        <w:pStyle w:val="Caption"/>
        <w:pBdr>
          <w:bottom w:val="single" w:sz="12" w:space="1" w:color="auto"/>
        </w:pBdr>
        <w:jc w:val="both"/>
        <w:rPr>
          <w:color w:val="000000"/>
        </w:rPr>
      </w:pPr>
      <w:bookmarkStart w:id="135" w:name="_Toc304195957"/>
      <w:r w:rsidRPr="00873C4C">
        <w:rPr>
          <w:color w:val="000000"/>
        </w:rPr>
        <w:t xml:space="preserve">Table </w:t>
      </w:r>
      <w:r w:rsidR="00B55EFC">
        <w:rPr>
          <w:color w:val="000000"/>
        </w:rPr>
        <w:fldChar w:fldCharType="begin"/>
      </w:r>
      <w:r w:rsidR="00B55EFC">
        <w:rPr>
          <w:color w:val="000000"/>
        </w:rPr>
        <w:instrText xml:space="preserve"> STYLEREF 1 \s </w:instrText>
      </w:r>
      <w:r w:rsidR="00B55EFC">
        <w:rPr>
          <w:color w:val="000000"/>
        </w:rPr>
        <w:fldChar w:fldCharType="separate"/>
      </w:r>
      <w:r w:rsidR="0081644B">
        <w:rPr>
          <w:noProof/>
          <w:color w:val="000000"/>
        </w:rPr>
        <w:t>1</w:t>
      </w:r>
      <w:r w:rsidR="00B55EFC">
        <w:rPr>
          <w:color w:val="000000"/>
        </w:rPr>
        <w:fldChar w:fldCharType="end"/>
      </w:r>
      <w:r w:rsidR="00B55EFC">
        <w:rPr>
          <w:color w:val="000000"/>
        </w:rPr>
        <w:noBreakHyphen/>
      </w:r>
      <w:r w:rsidR="00B55EFC">
        <w:rPr>
          <w:color w:val="000000"/>
        </w:rPr>
        <w:fldChar w:fldCharType="begin"/>
      </w:r>
      <w:r w:rsidR="00B55EFC">
        <w:rPr>
          <w:color w:val="000000"/>
        </w:rPr>
        <w:instrText xml:space="preserve"> SEQ Table \* ARABIC \s 1 </w:instrText>
      </w:r>
      <w:r w:rsidR="00B55EFC">
        <w:rPr>
          <w:color w:val="000000"/>
        </w:rPr>
        <w:fldChar w:fldCharType="separate"/>
      </w:r>
      <w:r w:rsidR="0081644B">
        <w:rPr>
          <w:noProof/>
          <w:color w:val="000000"/>
        </w:rPr>
        <w:t>3</w:t>
      </w:r>
      <w:r w:rsidR="00B55EFC">
        <w:rPr>
          <w:color w:val="000000"/>
        </w:rPr>
        <w:fldChar w:fldCharType="end"/>
      </w:r>
      <w:r w:rsidRPr="00873C4C">
        <w:rPr>
          <w:rFonts w:ascii="Arial" w:hAnsi="Arial" w:cs="Arial"/>
          <w:color w:val="000000"/>
        </w:rPr>
        <w:t xml:space="preserve"> </w:t>
      </w:r>
      <w:r w:rsidR="009B6D5A" w:rsidRPr="00873C4C">
        <w:rPr>
          <w:color w:val="000000"/>
          <w:lang w:val="en-GB"/>
        </w:rPr>
        <w:t xml:space="preserve">shows treatment options incorporating novel agents for newly diagnosed multiple myeloma patients based on current National Comprehensive Cancer Network (NCCN) guidelines recommendations 2009- This table </w:t>
      </w:r>
      <w:r w:rsidR="00A4535D" w:rsidRPr="00873C4C">
        <w:rPr>
          <w:color w:val="000000"/>
          <w:lang w:val="en-GB"/>
        </w:rPr>
        <w:t>is sourced</w:t>
      </w:r>
      <w:r w:rsidR="009B6D5A" w:rsidRPr="00873C4C">
        <w:rPr>
          <w:color w:val="000000"/>
          <w:lang w:val="en-GB"/>
        </w:rPr>
        <w:t xml:space="preserve"> from </w:t>
      </w:r>
      <w:bookmarkEnd w:id="135"/>
      <w:r w:rsidR="00FC043C" w:rsidRPr="00FC043C">
        <w:rPr>
          <w:color w:val="000000"/>
        </w:rPr>
        <w:t>Bras. Hematol. Hemoter. vol.30  suppl.2 São Paulo June 2008</w:t>
      </w:r>
      <w:r w:rsidR="00FC043C">
        <w:rPr>
          <w:color w:val="000000"/>
        </w:rPr>
        <w:t>.</w:t>
      </w:r>
    </w:p>
    <w:p w:rsidR="002A4A43" w:rsidRPr="00873C4C" w:rsidRDefault="002A4A43" w:rsidP="00057B42">
      <w:pPr>
        <w:spacing w:line="360" w:lineRule="auto"/>
        <w:rPr>
          <w:color w:val="000000"/>
        </w:rPr>
      </w:pPr>
    </w:p>
    <w:p w:rsidR="00664F29" w:rsidRPr="00873C4C" w:rsidRDefault="00664F29" w:rsidP="00057B42">
      <w:pPr>
        <w:spacing w:line="360" w:lineRule="auto"/>
        <w:rPr>
          <w:color w:val="000000"/>
          <w:lang w:val="en-GB"/>
        </w:rPr>
      </w:pPr>
    </w:p>
    <w:p w:rsidR="00664F29" w:rsidRPr="00873C4C" w:rsidRDefault="00664F29" w:rsidP="00057B42">
      <w:pPr>
        <w:spacing w:line="360" w:lineRule="auto"/>
        <w:rPr>
          <w:color w:val="000000"/>
          <w:lang w:val="en-GB"/>
        </w:rPr>
      </w:pPr>
    </w:p>
    <w:p w:rsidR="00664F29" w:rsidRPr="00873C4C" w:rsidRDefault="00664F29" w:rsidP="00057B42">
      <w:pPr>
        <w:spacing w:line="360" w:lineRule="auto"/>
        <w:rPr>
          <w:color w:val="000000"/>
          <w:lang w:val="en-GB"/>
        </w:rPr>
      </w:pPr>
    </w:p>
    <w:p w:rsidR="00664F29" w:rsidRPr="00873C4C" w:rsidRDefault="00664F29" w:rsidP="00057B42">
      <w:pPr>
        <w:spacing w:line="360" w:lineRule="auto"/>
        <w:rPr>
          <w:color w:val="000000"/>
          <w:lang w:val="en-GB"/>
        </w:rPr>
      </w:pPr>
    </w:p>
    <w:p w:rsidR="00664F29" w:rsidRPr="00873C4C" w:rsidRDefault="00664F29" w:rsidP="00057B42">
      <w:pPr>
        <w:spacing w:line="360" w:lineRule="auto"/>
        <w:rPr>
          <w:color w:val="000000"/>
          <w:lang w:val="en-GB"/>
        </w:rPr>
      </w:pPr>
    </w:p>
    <w:p w:rsidR="00A86673" w:rsidRDefault="008F448C" w:rsidP="00057B42">
      <w:pPr>
        <w:spacing w:line="360" w:lineRule="auto"/>
      </w:pPr>
      <w:bookmarkStart w:id="136" w:name="_Toc260495785"/>
      <w:bookmarkStart w:id="137" w:name="_Toc260496036"/>
      <w:bookmarkStart w:id="138" w:name="_Toc260500429"/>
      <w:bookmarkStart w:id="139" w:name="_Toc261098455"/>
      <w:r w:rsidRPr="00873C4C">
        <w:tab/>
      </w:r>
      <w:bookmarkStart w:id="140" w:name="_Toc305759108"/>
      <w:bookmarkStart w:id="141" w:name="_Toc306570537"/>
      <w:bookmarkStart w:id="142" w:name="_Toc307067602"/>
    </w:p>
    <w:p w:rsidR="00A86673" w:rsidRDefault="00A86673" w:rsidP="00057B42">
      <w:pPr>
        <w:spacing w:line="360" w:lineRule="auto"/>
        <w:rPr>
          <w:b/>
          <w:bCs/>
          <w:sz w:val="26"/>
          <w:szCs w:val="26"/>
          <w:lang w:eastAsia="en-US"/>
        </w:rPr>
      </w:pPr>
      <w:r>
        <w:br w:type="page"/>
      </w:r>
    </w:p>
    <w:p w:rsidR="009F2888" w:rsidRPr="00873C4C" w:rsidRDefault="00A86673" w:rsidP="00645687">
      <w:pPr>
        <w:pStyle w:val="Heading4"/>
      </w:pPr>
      <w:r>
        <w:lastRenderedPageBreak/>
        <w:tab/>
      </w:r>
      <w:bookmarkStart w:id="143" w:name="_Toc312169161"/>
      <w:bookmarkStart w:id="144" w:name="_Toc312172088"/>
      <w:bookmarkStart w:id="145" w:name="_Toc312257637"/>
      <w:r w:rsidR="00664F29" w:rsidRPr="00873C4C">
        <w:t>Response Criteria for Multiple Myeloma</w:t>
      </w:r>
      <w:bookmarkEnd w:id="136"/>
      <w:bookmarkEnd w:id="137"/>
      <w:bookmarkEnd w:id="138"/>
      <w:bookmarkEnd w:id="139"/>
      <w:bookmarkEnd w:id="140"/>
      <w:bookmarkEnd w:id="141"/>
      <w:bookmarkEnd w:id="142"/>
      <w:bookmarkEnd w:id="143"/>
      <w:bookmarkEnd w:id="144"/>
      <w:bookmarkEnd w:id="145"/>
    </w:p>
    <w:p w:rsidR="00664F29" w:rsidRDefault="00664F29" w:rsidP="004B395A">
      <w:pPr>
        <w:keepNext/>
        <w:keepLines/>
        <w:widowControl w:val="0"/>
        <w:tabs>
          <w:tab w:val="center" w:pos="4680"/>
        </w:tabs>
        <w:spacing w:before="240" w:line="360" w:lineRule="auto"/>
        <w:jc w:val="both"/>
        <w:rPr>
          <w:color w:val="000000"/>
        </w:rPr>
      </w:pPr>
      <w:r w:rsidRPr="00873C4C">
        <w:rPr>
          <w:color w:val="000000"/>
        </w:rPr>
        <w:t xml:space="preserve">European Group for Blood and Marrow Transplantation (EBMT), definition of response, relapse, and progression in patients with multiple myeloma treated by high dose therapy and stem </w:t>
      </w:r>
      <w:r w:rsidR="007805D4">
        <w:rPr>
          <w:color w:val="000000"/>
        </w:rPr>
        <w:t>cell transplant are as follows</w:t>
      </w:r>
      <w:r w:rsidR="00751290" w:rsidRPr="00873C4C">
        <w:rPr>
          <w:color w:val="000000"/>
        </w:rPr>
        <w:t xml:space="preserve"> </w:t>
      </w:r>
      <w:r w:rsidRPr="00873C4C">
        <w:rPr>
          <w:color w:val="000000"/>
        </w:rPr>
        <w:fldChar w:fldCharType="begin">
          <w:fldData xml:space="preserve">PEVuZE5vdGU+PENpdGU+PEF1dGhvcj5IYXJvdXNzZWF1PC9BdXRob3I+PFllYXI+MjAwOTwvWWVh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</w:fldData>
        </w:fldChar>
      </w:r>
      <w:r w:rsidR="00C96E96">
        <w:rPr>
          <w:color w:val="000000"/>
        </w:rPr>
        <w:instrText xml:space="preserve"> ADDIN EN.CITE </w:instrText>
      </w:r>
      <w:r w:rsidR="00C96E96">
        <w:rPr>
          <w:color w:val="000000"/>
        </w:rPr>
        <w:fldChar w:fldCharType="begin">
          <w:fldData xml:space="preserve">PEVuZE5vdGU+PENpdGU+PEF1dGhvcj5IYXJvdXNzZWF1PC9BdXRob3I+PFllYXI+MjAwOTwvWWVh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</w:fldData>
        </w:fldChar>
      </w:r>
      <w:r w:rsidR="00C96E96">
        <w:rPr>
          <w:color w:val="000000"/>
        </w:rPr>
        <w:instrText xml:space="preserve"> ADDIN EN.CITE.DATA </w:instrText>
      </w:r>
      <w:r w:rsidR="00C96E96">
        <w:rPr>
          <w:color w:val="000000"/>
        </w:rPr>
      </w:r>
      <w:r w:rsidR="00C96E96">
        <w:rPr>
          <w:color w:val="000000"/>
        </w:rPr>
        <w:fldChar w:fldCharType="end"/>
      </w:r>
      <w:r w:rsidRPr="00873C4C">
        <w:rPr>
          <w:color w:val="000000"/>
        </w:rPr>
      </w:r>
      <w:r w:rsidRPr="00873C4C">
        <w:rPr>
          <w:color w:val="000000"/>
        </w:rPr>
        <w:fldChar w:fldCharType="separate"/>
      </w:r>
      <w:r w:rsidR="00C96E96">
        <w:rPr>
          <w:noProof/>
          <w:color w:val="000000"/>
        </w:rPr>
        <w:t>(</w:t>
      </w:r>
      <w:hyperlink w:anchor="_ENREF_165" w:tooltip="Harousseau, 2009 #260" w:history="1">
        <w:r w:rsidR="004A784D">
          <w:rPr>
            <w:noProof/>
            <w:color w:val="000000"/>
          </w:rPr>
          <w:t>Harousseau and Dreyling, 2009</w:t>
        </w:r>
      </w:hyperlink>
      <w:r w:rsidR="00C96E96">
        <w:rPr>
          <w:noProof/>
          <w:color w:val="000000"/>
        </w:rPr>
        <w:t xml:space="preserve">, </w:t>
      </w:r>
      <w:hyperlink w:anchor="_ENREF_149" w:tooltip="Goldschmidt, 2003 #190" w:history="1">
        <w:r w:rsidR="004A784D">
          <w:rPr>
            <w:noProof/>
            <w:color w:val="000000"/>
          </w:rPr>
          <w:t>Goldschmidt et al., 2003</w:t>
        </w:r>
      </w:hyperlink>
      <w:r w:rsidR="00C96E96">
        <w:rPr>
          <w:noProof/>
          <w:color w:val="000000"/>
        </w:rPr>
        <w:t xml:space="preserve">, </w:t>
      </w:r>
      <w:hyperlink w:anchor="_ENREF_224" w:tooltip="Kumar, 2003 #197" w:history="1">
        <w:r w:rsidR="004A784D">
          <w:rPr>
            <w:noProof/>
            <w:color w:val="000000"/>
          </w:rPr>
          <w:t>Kumar et al., 2003</w:t>
        </w:r>
      </w:hyperlink>
      <w:r w:rsidR="00C96E96">
        <w:rPr>
          <w:noProof/>
          <w:color w:val="000000"/>
        </w:rPr>
        <w:t>)</w:t>
      </w:r>
      <w:r w:rsidRPr="00873C4C">
        <w:rPr>
          <w:color w:val="000000"/>
        </w:rPr>
        <w:fldChar w:fldCharType="end"/>
      </w:r>
      <w:r w:rsidR="00596A14">
        <w:rPr>
          <w:color w:val="000000"/>
        </w:rPr>
        <w:t>.</w:t>
      </w:r>
    </w:p>
    <w:p w:rsidR="00596A14" w:rsidRPr="00873C4C" w:rsidRDefault="00596A14" w:rsidP="00057B42">
      <w:pPr>
        <w:keepNext/>
        <w:keepLines/>
        <w:widowControl w:val="0"/>
        <w:tabs>
          <w:tab w:val="center" w:pos="4680"/>
        </w:tabs>
        <w:spacing w:line="360" w:lineRule="auto"/>
        <w:jc w:val="both"/>
        <w:rPr>
          <w:color w:val="000000"/>
        </w:rPr>
      </w:pPr>
    </w:p>
    <w:p w:rsidR="002E16AD" w:rsidRPr="00873C4C" w:rsidRDefault="008F448C" w:rsidP="00057B42">
      <w:pPr>
        <w:pStyle w:val="Heading5"/>
        <w:spacing w:line="360" w:lineRule="auto"/>
      </w:pPr>
      <w:r w:rsidRPr="00873C4C">
        <w:tab/>
      </w:r>
      <w:r w:rsidR="002E16AD" w:rsidRPr="00873C4C">
        <w:t>Complete response (CR</w:t>
      </w:r>
      <w:r w:rsidRPr="00873C4C">
        <w:t xml:space="preserve">) </w:t>
      </w:r>
    </w:p>
    <w:p w:rsidR="00664F29" w:rsidRDefault="008F448C" w:rsidP="004B395A">
      <w:pPr>
        <w:keepNext/>
        <w:keepLines/>
        <w:widowControl w:val="0"/>
        <w:tabs>
          <w:tab w:val="center" w:pos="4680"/>
        </w:tabs>
        <w:spacing w:before="240" w:line="360" w:lineRule="auto"/>
        <w:jc w:val="both"/>
        <w:rPr>
          <w:color w:val="000000"/>
        </w:rPr>
      </w:pPr>
      <w:r w:rsidRPr="00873C4C">
        <w:rPr>
          <w:color w:val="000000"/>
        </w:rPr>
        <w:t xml:space="preserve">CR requires all of the following: </w:t>
      </w:r>
      <w:r w:rsidR="00751290" w:rsidRPr="00873C4C">
        <w:rPr>
          <w:color w:val="000000"/>
        </w:rPr>
        <w:t>Absence</w:t>
      </w:r>
      <w:r w:rsidR="00664F29" w:rsidRPr="00873C4C">
        <w:rPr>
          <w:color w:val="000000"/>
        </w:rPr>
        <w:t xml:space="preserve"> or disappearance of the original monoclonal </w:t>
      </w:r>
      <w:r w:rsidR="00647448" w:rsidRPr="00873C4C">
        <w:rPr>
          <w:color w:val="000000"/>
        </w:rPr>
        <w:t>Para protein</w:t>
      </w:r>
      <w:r w:rsidR="00664F29" w:rsidRPr="00873C4C">
        <w:rPr>
          <w:color w:val="000000"/>
        </w:rPr>
        <w:t xml:space="preserve"> from the patient’s serum </w:t>
      </w:r>
      <w:r w:rsidR="00751290" w:rsidRPr="00873C4C">
        <w:rPr>
          <w:color w:val="000000"/>
        </w:rPr>
        <w:t>or urine by Immunofixation and</w:t>
      </w:r>
      <w:r w:rsidR="00664F29" w:rsidRPr="00873C4C">
        <w:rPr>
          <w:color w:val="000000"/>
        </w:rPr>
        <w:t xml:space="preserve"> maintained for a minimum of 6 weeks. </w:t>
      </w:r>
      <w:r w:rsidR="00751290" w:rsidRPr="00873C4C">
        <w:rPr>
          <w:color w:val="000000"/>
        </w:rPr>
        <w:t>B</w:t>
      </w:r>
      <w:r w:rsidR="00664F29" w:rsidRPr="00873C4C">
        <w:rPr>
          <w:color w:val="000000"/>
        </w:rPr>
        <w:t xml:space="preserve">one marrow aspirate and trephine bone biopsy shows less than 5% plasma cells.  No increase in size </w:t>
      </w:r>
      <w:r w:rsidR="00647448">
        <w:rPr>
          <w:color w:val="000000"/>
        </w:rPr>
        <w:t>or number of lytic bone lesions and d</w:t>
      </w:r>
      <w:r w:rsidR="00664F29" w:rsidRPr="00873C4C">
        <w:rPr>
          <w:color w:val="000000"/>
        </w:rPr>
        <w:t xml:space="preserve">isappearance of soft tissue plasmacytoma.   </w:t>
      </w:r>
    </w:p>
    <w:p w:rsidR="00596A14" w:rsidRPr="00873C4C" w:rsidRDefault="00596A14" w:rsidP="00057B42">
      <w:pPr>
        <w:keepNext/>
        <w:keepLines/>
        <w:widowControl w:val="0"/>
        <w:tabs>
          <w:tab w:val="center" w:pos="4680"/>
        </w:tabs>
        <w:spacing w:line="360" w:lineRule="auto"/>
        <w:jc w:val="both"/>
        <w:rPr>
          <w:color w:val="000000"/>
        </w:rPr>
      </w:pPr>
    </w:p>
    <w:p w:rsidR="008F448C" w:rsidRPr="00873C4C" w:rsidRDefault="008F448C" w:rsidP="00057B42">
      <w:pPr>
        <w:pStyle w:val="Heading5"/>
        <w:spacing w:line="360" w:lineRule="auto"/>
        <w:rPr>
          <w:lang w:val="en-GB"/>
        </w:rPr>
      </w:pPr>
      <w:r w:rsidRPr="00873C4C">
        <w:tab/>
      </w:r>
      <w:r w:rsidR="001B27AC" w:rsidRPr="00873C4C">
        <w:t>V</w:t>
      </w:r>
      <w:r w:rsidR="001B27AC" w:rsidRPr="00873C4C">
        <w:rPr>
          <w:lang w:val="en-GB"/>
        </w:rPr>
        <w:t>e</w:t>
      </w:r>
      <w:r w:rsidRPr="00873C4C">
        <w:rPr>
          <w:lang w:val="en-GB"/>
        </w:rPr>
        <w:t>ry good partial response (VGPR)</w:t>
      </w:r>
      <w:r w:rsidR="001B27AC" w:rsidRPr="00873C4C">
        <w:rPr>
          <w:lang w:val="en-GB"/>
        </w:rPr>
        <w:t xml:space="preserve"> </w:t>
      </w:r>
    </w:p>
    <w:p w:rsidR="008F448C" w:rsidRDefault="008F448C" w:rsidP="004B395A">
      <w:pPr>
        <w:autoSpaceDE w:val="0"/>
        <w:autoSpaceDN w:val="0"/>
        <w:adjustRightInd w:val="0"/>
        <w:spacing w:before="240" w:line="360" w:lineRule="auto"/>
        <w:jc w:val="both"/>
        <w:rPr>
          <w:rFonts w:eastAsia="Times New Roman"/>
          <w:color w:val="000000"/>
          <w:lang w:val="en-GB" w:eastAsia="en-GB"/>
        </w:rPr>
      </w:pPr>
      <w:r w:rsidRPr="00873C4C">
        <w:rPr>
          <w:rFonts w:eastAsia="Times New Roman"/>
          <w:color w:val="000000"/>
          <w:lang w:val="en-GB" w:eastAsia="en-GB"/>
        </w:rPr>
        <w:t xml:space="preserve">VGPR </w:t>
      </w:r>
      <w:r w:rsidR="001B27AC" w:rsidRPr="00873C4C">
        <w:rPr>
          <w:rFonts w:eastAsia="Times New Roman"/>
          <w:color w:val="000000"/>
          <w:lang w:val="en-GB" w:eastAsia="en-GB"/>
        </w:rPr>
        <w:t xml:space="preserve">is defined when the serum and urine M-protein are only detectable by immunofixation but not on electrophoresis or more than 90% or greater reduction in serum monoclonal </w:t>
      </w:r>
      <w:r w:rsidR="00647448" w:rsidRPr="00873C4C">
        <w:rPr>
          <w:rFonts w:eastAsia="Times New Roman"/>
          <w:color w:val="000000"/>
          <w:lang w:val="en-GB" w:eastAsia="en-GB"/>
        </w:rPr>
        <w:t>Para protein</w:t>
      </w:r>
      <w:r w:rsidR="001B27AC" w:rsidRPr="00873C4C">
        <w:rPr>
          <w:rFonts w:eastAsia="Times New Roman"/>
          <w:color w:val="000000"/>
          <w:lang w:val="en-GB" w:eastAsia="en-GB"/>
        </w:rPr>
        <w:t xml:space="preserve">. </w:t>
      </w:r>
    </w:p>
    <w:p w:rsidR="00C32EB1" w:rsidRPr="00873C4C" w:rsidRDefault="00C32EB1" w:rsidP="00057B42">
      <w:pPr>
        <w:autoSpaceDE w:val="0"/>
        <w:autoSpaceDN w:val="0"/>
        <w:adjustRightInd w:val="0"/>
        <w:spacing w:line="360" w:lineRule="auto"/>
        <w:jc w:val="both"/>
        <w:rPr>
          <w:rFonts w:eastAsia="Times New Roman"/>
          <w:color w:val="000000"/>
          <w:lang w:val="en-GB" w:eastAsia="en-GB"/>
        </w:rPr>
      </w:pPr>
    </w:p>
    <w:p w:rsidR="008F448C" w:rsidRPr="00873C4C" w:rsidRDefault="008F448C" w:rsidP="00057B42">
      <w:pPr>
        <w:pStyle w:val="Heading5"/>
        <w:spacing w:line="360" w:lineRule="auto"/>
      </w:pPr>
      <w:r w:rsidRPr="00873C4C">
        <w:tab/>
        <w:t>Partial response (PR)</w:t>
      </w:r>
      <w:r w:rsidR="00664F29" w:rsidRPr="00873C4C">
        <w:t xml:space="preserve"> </w:t>
      </w:r>
    </w:p>
    <w:p w:rsidR="00664F29" w:rsidRDefault="008F448C" w:rsidP="004B395A">
      <w:pPr>
        <w:autoSpaceDE w:val="0"/>
        <w:autoSpaceDN w:val="0"/>
        <w:adjustRightInd w:val="0"/>
        <w:spacing w:before="240" w:line="360" w:lineRule="auto"/>
        <w:jc w:val="both"/>
        <w:rPr>
          <w:color w:val="000000"/>
        </w:rPr>
      </w:pPr>
      <w:r w:rsidRPr="00873C4C">
        <w:rPr>
          <w:color w:val="000000"/>
        </w:rPr>
        <w:t>PR defines when p</w:t>
      </w:r>
      <w:r w:rsidR="00751290" w:rsidRPr="00873C4C">
        <w:rPr>
          <w:color w:val="000000"/>
        </w:rPr>
        <w:t>atients in whom some, but not all, the criteria for CR are fulfilled are classified as partial response (PR), providing the remaining criteria satisfy the requirements for PR. This includes patients in whom routine protein electrophoresis is negative but in whom immunofixation has not been performed. PR requires all of the following:</w:t>
      </w:r>
      <w:r w:rsidR="00EF5612" w:rsidRPr="00873C4C">
        <w:rPr>
          <w:color w:val="000000"/>
        </w:rPr>
        <w:t xml:space="preserve"> </w:t>
      </w:r>
      <w:r w:rsidR="00664F29" w:rsidRPr="00873C4C">
        <w:rPr>
          <w:color w:val="000000"/>
        </w:rPr>
        <w:t xml:space="preserve">50% reduction in the level of the serum monoclonal </w:t>
      </w:r>
      <w:r w:rsidR="00647448" w:rsidRPr="00873C4C">
        <w:rPr>
          <w:color w:val="000000"/>
        </w:rPr>
        <w:t>Para protein</w:t>
      </w:r>
      <w:r w:rsidR="00664F29" w:rsidRPr="00873C4C">
        <w:rPr>
          <w:color w:val="000000"/>
        </w:rPr>
        <w:t>, maintained for a minimum of 6 weeks.</w:t>
      </w:r>
      <w:r w:rsidR="00EF5612" w:rsidRPr="00873C4C">
        <w:rPr>
          <w:color w:val="000000"/>
        </w:rPr>
        <w:t xml:space="preserve"> </w:t>
      </w:r>
      <w:r w:rsidR="00664F29" w:rsidRPr="00873C4C">
        <w:rPr>
          <w:color w:val="000000"/>
        </w:rPr>
        <w:t>Reduction in 24 h</w:t>
      </w:r>
      <w:r w:rsidR="00751290" w:rsidRPr="00873C4C">
        <w:rPr>
          <w:color w:val="000000"/>
        </w:rPr>
        <w:t>ours</w:t>
      </w:r>
      <w:r w:rsidR="00664F29" w:rsidRPr="00873C4C">
        <w:rPr>
          <w:color w:val="000000"/>
        </w:rPr>
        <w:t xml:space="preserve"> urinary light chain excretion either by 90% </w:t>
      </w:r>
      <w:r w:rsidR="00751290" w:rsidRPr="00873C4C">
        <w:rPr>
          <w:color w:val="000000"/>
        </w:rPr>
        <w:t xml:space="preserve">and </w:t>
      </w:r>
      <w:r w:rsidR="00664F29" w:rsidRPr="00873C4C">
        <w:rPr>
          <w:color w:val="000000"/>
        </w:rPr>
        <w:t xml:space="preserve">maintained for a minimum of 6 weeks. </w:t>
      </w:r>
    </w:p>
    <w:p w:rsidR="00596A14" w:rsidRPr="00873C4C" w:rsidRDefault="00596A14" w:rsidP="00057B42">
      <w:pPr>
        <w:autoSpaceDE w:val="0"/>
        <w:autoSpaceDN w:val="0"/>
        <w:adjustRightInd w:val="0"/>
        <w:spacing w:line="360" w:lineRule="auto"/>
        <w:jc w:val="both"/>
        <w:rPr>
          <w:color w:val="000000"/>
        </w:rPr>
      </w:pPr>
    </w:p>
    <w:p w:rsidR="00001AF5" w:rsidRDefault="00EF5612" w:rsidP="00001AF5">
      <w:pPr>
        <w:pStyle w:val="Heading5"/>
        <w:numPr>
          <w:ilvl w:val="0"/>
          <w:numId w:val="0"/>
        </w:numPr>
        <w:spacing w:line="360" w:lineRule="auto"/>
      </w:pPr>
      <w:r w:rsidRPr="00873C4C">
        <w:tab/>
      </w:r>
    </w:p>
    <w:p w:rsidR="00EF5612" w:rsidRPr="00873C4C" w:rsidRDefault="00001AF5" w:rsidP="00057B42">
      <w:pPr>
        <w:pStyle w:val="Heading5"/>
        <w:spacing w:line="360" w:lineRule="auto"/>
      </w:pPr>
      <w:r>
        <w:lastRenderedPageBreak/>
        <w:tab/>
      </w:r>
      <w:r w:rsidR="00EF5612" w:rsidRPr="00873C4C">
        <w:t xml:space="preserve">Minimal response (MR) </w:t>
      </w:r>
    </w:p>
    <w:p w:rsidR="00EF5612" w:rsidRDefault="00EF5612" w:rsidP="004B395A">
      <w:pPr>
        <w:spacing w:before="240" w:line="360" w:lineRule="auto"/>
        <w:jc w:val="both"/>
        <w:rPr>
          <w:color w:val="000000"/>
        </w:rPr>
      </w:pPr>
      <w:r w:rsidRPr="00873C4C">
        <w:rPr>
          <w:color w:val="000000"/>
        </w:rPr>
        <w:t>MR defines when p</w:t>
      </w:r>
      <w:r w:rsidR="00751290" w:rsidRPr="00873C4C">
        <w:rPr>
          <w:color w:val="000000"/>
        </w:rPr>
        <w:t>atients in whom some, but not all, the criteria for PR are fulfilled are classified as MR, provided the remaining criteria satisfy the requirements. MR requires all of the following:</w:t>
      </w:r>
      <w:r w:rsidR="00596A14">
        <w:rPr>
          <w:color w:val="000000"/>
        </w:rPr>
        <w:t xml:space="preserve"> </w:t>
      </w:r>
      <w:r w:rsidR="00664F29" w:rsidRPr="00873C4C">
        <w:rPr>
          <w:color w:val="000000"/>
        </w:rPr>
        <w:t xml:space="preserve">25-49% reduction in the level of the serum monoclonal </w:t>
      </w:r>
      <w:r w:rsidR="00647448" w:rsidRPr="00873C4C">
        <w:rPr>
          <w:color w:val="000000"/>
        </w:rPr>
        <w:t>Para protein</w:t>
      </w:r>
      <w:r w:rsidR="00664F29" w:rsidRPr="00873C4C">
        <w:rPr>
          <w:color w:val="000000"/>
        </w:rPr>
        <w:t xml:space="preserve"> maintained for a minimum of 6 weeks</w:t>
      </w:r>
      <w:r w:rsidRPr="00873C4C">
        <w:rPr>
          <w:color w:val="000000"/>
        </w:rPr>
        <w:t xml:space="preserve">. </w:t>
      </w:r>
      <w:r w:rsidR="00664F29" w:rsidRPr="00873C4C">
        <w:rPr>
          <w:color w:val="000000"/>
        </w:rPr>
        <w:t>50-89% reduction in 24 h</w:t>
      </w:r>
      <w:r w:rsidR="001B27AC" w:rsidRPr="00873C4C">
        <w:rPr>
          <w:color w:val="000000"/>
        </w:rPr>
        <w:t>our</w:t>
      </w:r>
      <w:r w:rsidR="00664F29" w:rsidRPr="00873C4C">
        <w:rPr>
          <w:color w:val="000000"/>
        </w:rPr>
        <w:t xml:space="preserve"> urinary light chain excretion, which still exceeds 200 mg/24 h</w:t>
      </w:r>
      <w:r w:rsidR="001B27AC" w:rsidRPr="00873C4C">
        <w:rPr>
          <w:color w:val="000000"/>
        </w:rPr>
        <w:t>ours</w:t>
      </w:r>
      <w:r w:rsidR="00664F29" w:rsidRPr="00873C4C">
        <w:rPr>
          <w:color w:val="000000"/>
        </w:rPr>
        <w:t xml:space="preserve">, maintained for a minimum of </w:t>
      </w:r>
      <w:r w:rsidR="001B27AC" w:rsidRPr="00873C4C">
        <w:rPr>
          <w:color w:val="000000"/>
        </w:rPr>
        <w:t xml:space="preserve">6 </w:t>
      </w:r>
      <w:r w:rsidR="00664F29" w:rsidRPr="00873C4C">
        <w:rPr>
          <w:color w:val="000000"/>
        </w:rPr>
        <w:t xml:space="preserve">weeks. </w:t>
      </w:r>
    </w:p>
    <w:p w:rsidR="00596A14" w:rsidRPr="00873C4C" w:rsidRDefault="00596A14" w:rsidP="00057B42">
      <w:pPr>
        <w:spacing w:line="360" w:lineRule="auto"/>
        <w:jc w:val="both"/>
        <w:rPr>
          <w:color w:val="000000"/>
        </w:rPr>
      </w:pPr>
    </w:p>
    <w:p w:rsidR="00EF5612" w:rsidRPr="00873C4C" w:rsidRDefault="00EF5612" w:rsidP="00057B42">
      <w:pPr>
        <w:pStyle w:val="Heading5"/>
        <w:spacing w:line="360" w:lineRule="auto"/>
      </w:pPr>
      <w:r w:rsidRPr="00873C4C">
        <w:tab/>
        <w:t>No change (NC) or stable disease</w:t>
      </w:r>
    </w:p>
    <w:p w:rsidR="00664F29" w:rsidRDefault="00EF5612" w:rsidP="004B395A">
      <w:pPr>
        <w:spacing w:before="240" w:line="360" w:lineRule="auto"/>
        <w:jc w:val="both"/>
        <w:rPr>
          <w:color w:val="000000"/>
        </w:rPr>
      </w:pPr>
      <w:r w:rsidRPr="00873C4C">
        <w:rPr>
          <w:color w:val="000000"/>
        </w:rPr>
        <w:t>Not meeting the criteria of either minimal response or progressive disease.</w:t>
      </w:r>
    </w:p>
    <w:p w:rsidR="00C32EB1" w:rsidRPr="00873C4C" w:rsidRDefault="00C32EB1" w:rsidP="00057B42">
      <w:pPr>
        <w:spacing w:line="360" w:lineRule="auto"/>
        <w:jc w:val="both"/>
        <w:rPr>
          <w:color w:val="000000"/>
        </w:rPr>
      </w:pPr>
    </w:p>
    <w:p w:rsidR="00EF5612" w:rsidRPr="00873C4C" w:rsidRDefault="00EF5612" w:rsidP="00057B42">
      <w:pPr>
        <w:pStyle w:val="Heading5"/>
        <w:spacing w:line="360" w:lineRule="auto"/>
      </w:pPr>
      <w:r w:rsidRPr="00873C4C">
        <w:tab/>
        <w:t>Relapse from CR requires at least one of the following</w:t>
      </w:r>
    </w:p>
    <w:p w:rsidR="00EF5612" w:rsidRPr="00873C4C" w:rsidRDefault="00EF5612" w:rsidP="004B395A">
      <w:pPr>
        <w:keepNext/>
        <w:keepLines/>
        <w:widowControl w:val="0"/>
        <w:spacing w:before="240" w:line="360" w:lineRule="auto"/>
        <w:jc w:val="both"/>
        <w:rPr>
          <w:color w:val="000000"/>
        </w:rPr>
      </w:pPr>
      <w:r w:rsidRPr="00873C4C">
        <w:rPr>
          <w:color w:val="000000"/>
        </w:rPr>
        <w:t xml:space="preserve">CR defines when patients reappearance of serum or urinary </w:t>
      </w:r>
      <w:r w:rsidR="00647448" w:rsidRPr="00873C4C">
        <w:rPr>
          <w:color w:val="000000"/>
        </w:rPr>
        <w:t>Para protein</w:t>
      </w:r>
      <w:r w:rsidRPr="00873C4C">
        <w:rPr>
          <w:color w:val="000000"/>
        </w:rPr>
        <w:t xml:space="preserve"> on immunofixatio</w:t>
      </w:r>
      <w:r w:rsidR="004D7F81" w:rsidRPr="00873C4C">
        <w:rPr>
          <w:color w:val="000000"/>
        </w:rPr>
        <w:t>n or routine electrophoresis,</w:t>
      </w:r>
      <w:r w:rsidR="007805D4">
        <w:rPr>
          <w:color w:val="000000"/>
        </w:rPr>
        <w:t xml:space="preserve"> &gt; tha</w:t>
      </w:r>
      <w:r w:rsidRPr="00873C4C">
        <w:rPr>
          <w:color w:val="000000"/>
        </w:rPr>
        <w:t>n 5% plasma cells in a bone marrow aspir</w:t>
      </w:r>
      <w:r w:rsidR="004D7F81" w:rsidRPr="00873C4C">
        <w:rPr>
          <w:color w:val="000000"/>
        </w:rPr>
        <w:t>ate or on trephine bone biopsy and d</w:t>
      </w:r>
      <w:r w:rsidRPr="00873C4C">
        <w:rPr>
          <w:color w:val="000000"/>
        </w:rPr>
        <w:t>evelopment of new lytic bone lesions or soft tissue plasmacytoma or definite increase in th</w:t>
      </w:r>
      <w:r w:rsidR="004D7F81" w:rsidRPr="00873C4C">
        <w:rPr>
          <w:color w:val="000000"/>
        </w:rPr>
        <w:t xml:space="preserve">e size of residual bone lesions. </w:t>
      </w:r>
    </w:p>
    <w:p w:rsidR="00596A14" w:rsidRPr="00C96E96" w:rsidRDefault="00C32EB1" w:rsidP="00057B42">
      <w:pPr>
        <w:spacing w:line="360" w:lineRule="auto"/>
      </w:pPr>
      <w:r>
        <w:t xml:space="preserve">  </w:t>
      </w:r>
    </w:p>
    <w:p w:rsidR="004D7F81" w:rsidRPr="00873C4C" w:rsidRDefault="00C32EB1" w:rsidP="00057B42">
      <w:pPr>
        <w:pStyle w:val="Heading5"/>
        <w:spacing w:line="360" w:lineRule="auto"/>
      </w:pPr>
      <w:r>
        <w:t xml:space="preserve">  </w:t>
      </w:r>
      <w:r w:rsidR="00596A14">
        <w:t xml:space="preserve"> </w:t>
      </w:r>
      <w:r w:rsidR="008329E6">
        <w:tab/>
      </w:r>
      <w:r w:rsidR="004D7F81" w:rsidRPr="00873C4C">
        <w:t>Progressive disease (PD)</w:t>
      </w:r>
    </w:p>
    <w:p w:rsidR="00EF5612" w:rsidRPr="00873C4C" w:rsidRDefault="004D7F81" w:rsidP="004B395A">
      <w:pPr>
        <w:spacing w:before="240" w:line="360" w:lineRule="auto"/>
        <w:jc w:val="both"/>
        <w:rPr>
          <w:color w:val="000000"/>
        </w:rPr>
      </w:pPr>
      <w:r w:rsidRPr="00873C4C">
        <w:rPr>
          <w:color w:val="000000"/>
        </w:rPr>
        <w:t xml:space="preserve">PD defines when patients are not in CR and requires one or more of the following: 25% increase in the level of the serum monoclonal </w:t>
      </w:r>
      <w:r w:rsidR="00647448" w:rsidRPr="00873C4C">
        <w:rPr>
          <w:color w:val="000000"/>
        </w:rPr>
        <w:t>Para protein</w:t>
      </w:r>
      <w:r w:rsidR="00001AF5">
        <w:rPr>
          <w:color w:val="000000"/>
        </w:rPr>
        <w:t>, which must also be ab</w:t>
      </w:r>
      <w:r w:rsidRPr="00873C4C">
        <w:rPr>
          <w:color w:val="000000"/>
        </w:rPr>
        <w:t>so</w:t>
      </w:r>
      <w:r w:rsidR="00001AF5">
        <w:rPr>
          <w:color w:val="000000"/>
        </w:rPr>
        <w:t xml:space="preserve">lute increase of at least 5 g/L or </w:t>
      </w:r>
      <w:r w:rsidRPr="00873C4C">
        <w:rPr>
          <w:color w:val="000000"/>
        </w:rPr>
        <w:t>25% increase in the 24 hours urinary light chain excretion, which must also be an absolute increase of at l</w:t>
      </w:r>
      <w:r w:rsidR="00001AF5">
        <w:rPr>
          <w:color w:val="000000"/>
        </w:rPr>
        <w:t>east 200 mg/24 hours or</w:t>
      </w:r>
      <w:r w:rsidR="00C96E96">
        <w:rPr>
          <w:color w:val="000000"/>
        </w:rPr>
        <w:t xml:space="preserve"> </w:t>
      </w:r>
      <w:r w:rsidRPr="00873C4C">
        <w:rPr>
          <w:color w:val="000000"/>
        </w:rPr>
        <w:t xml:space="preserve">25% increase in plasma cells in a bone marrow aspirate or on trephine biopsy, which must also be an absolute increase of at least 10%. </w:t>
      </w:r>
    </w:p>
    <w:p w:rsidR="00C32EB1" w:rsidRDefault="00C32EB1" w:rsidP="00057B42">
      <w:pPr>
        <w:spacing w:line="360" w:lineRule="auto"/>
        <w:rPr>
          <w:rFonts w:cs="Arial"/>
          <w:b/>
          <w:bCs/>
          <w:iCs/>
          <w:sz w:val="26"/>
          <w:szCs w:val="26"/>
          <w:lang w:eastAsia="en-US"/>
        </w:rPr>
      </w:pPr>
      <w:bookmarkStart w:id="146" w:name="_Toc260495786"/>
      <w:bookmarkStart w:id="147" w:name="_Toc260496037"/>
      <w:bookmarkStart w:id="148" w:name="_Toc260500430"/>
      <w:bookmarkStart w:id="149" w:name="_Toc261098456"/>
      <w:bookmarkStart w:id="150" w:name="_Toc305759109"/>
      <w:bookmarkStart w:id="151" w:name="_Toc306570538"/>
      <w:bookmarkStart w:id="152" w:name="_Toc307067603"/>
      <w:r>
        <w:br w:type="page"/>
      </w:r>
    </w:p>
    <w:p w:rsidR="00664F29" w:rsidRPr="00873C4C" w:rsidRDefault="00E53409" w:rsidP="00645687">
      <w:pPr>
        <w:pStyle w:val="Heading2"/>
      </w:pPr>
      <w:bookmarkStart w:id="153" w:name="_Toc312169162"/>
      <w:bookmarkStart w:id="154" w:name="_Toc312172089"/>
      <w:r>
        <w:lastRenderedPageBreak/>
        <w:tab/>
      </w:r>
      <w:bookmarkStart w:id="155" w:name="_Toc312257638"/>
      <w:r w:rsidR="007B2B32" w:rsidRPr="00873C4C">
        <w:t>Thalidomide</w:t>
      </w:r>
      <w:bookmarkEnd w:id="146"/>
      <w:bookmarkEnd w:id="147"/>
      <w:bookmarkEnd w:id="148"/>
      <w:bookmarkEnd w:id="149"/>
      <w:bookmarkEnd w:id="150"/>
      <w:bookmarkEnd w:id="151"/>
      <w:bookmarkEnd w:id="152"/>
      <w:bookmarkEnd w:id="153"/>
      <w:bookmarkEnd w:id="154"/>
      <w:bookmarkEnd w:id="155"/>
    </w:p>
    <w:p w:rsidR="00101F5C" w:rsidRDefault="00101F5C" w:rsidP="00001AF5">
      <w:pPr>
        <w:spacing w:before="240" w:line="360" w:lineRule="auto"/>
        <w:jc w:val="both"/>
        <w:rPr>
          <w:color w:val="000000"/>
        </w:rPr>
      </w:pPr>
      <w:r w:rsidRPr="00873C4C">
        <w:rPr>
          <w:color w:val="000000"/>
        </w:rPr>
        <w:t>Thalidomide (C13H10N2O4; phthalimido-glutarimide; one of a number of systematic names is 2-(2,6-dioxo-3-piperidinyl)-1H-isoindole-1,3(2H)-dione)</w:t>
      </w:r>
      <w:r w:rsidR="000B1FD1">
        <w:rPr>
          <w:color w:val="000000"/>
        </w:rPr>
        <w:t xml:space="preserve"> (Figure 1-</w:t>
      </w:r>
      <w:r w:rsidR="001F0293" w:rsidRPr="00873C4C">
        <w:rPr>
          <w:color w:val="000000"/>
        </w:rPr>
        <w:t>6)</w:t>
      </w:r>
      <w:r w:rsidRPr="00873C4C">
        <w:rPr>
          <w:color w:val="000000"/>
        </w:rPr>
        <w:t xml:space="preserve"> is a sedative and hypnotic drug</w:t>
      </w:r>
      <w:r w:rsidR="001F0293" w:rsidRPr="00873C4C">
        <w:rPr>
          <w:color w:val="000000"/>
        </w:rPr>
        <w:t>.</w:t>
      </w:r>
      <w:r w:rsidRPr="00873C4C">
        <w:rPr>
          <w:color w:val="000000"/>
        </w:rPr>
        <w:t xml:space="preserve">  </w:t>
      </w:r>
    </w:p>
    <w:p w:rsidR="003F0260" w:rsidRDefault="003F0260" w:rsidP="00057B42">
      <w:pPr>
        <w:spacing w:line="360" w:lineRule="auto"/>
        <w:jc w:val="both"/>
        <w:rPr>
          <w:color w:val="000000"/>
        </w:rPr>
      </w:pPr>
    </w:p>
    <w:p w:rsidR="003F0260" w:rsidRDefault="00907F6D" w:rsidP="00057B42">
      <w:pPr>
        <w:spacing w:line="360" w:lineRule="auto"/>
        <w:jc w:val="center"/>
        <w:rPr>
          <w:color w:val="000000"/>
        </w:rPr>
      </w:pPr>
      <w:r>
        <w:rPr>
          <w:noProof/>
          <w:color w:val="000000"/>
          <w:lang w:eastAsia="en-IE"/>
        </w:rPr>
        <w:drawing>
          <wp:inline distT="0" distB="0" distL="0" distR="0" wp14:anchorId="76B2C7AA" wp14:editId="43A2A9C3">
            <wp:extent cx="3096000" cy="1044599"/>
            <wp:effectExtent l="0" t="0" r="0" b="0"/>
            <wp:docPr id="290816" name="Picture 29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lidom.gif"/>
                    <pic:cNvPicPr/>
                  </pic:nvPicPr>
                  <pic:blipFill>
                    <a:blip r:embed="rId16">
                      <a:extLst>
                        <a:ext uri="{28A0092B-C50C-407E-A947-70E740481C1C}">
                          <a14:useLocalDpi xmlns:a14="http://schemas.microsoft.com/office/drawing/2010/main" val="0"/>
                        </a:ext>
                      </a:extLst>
                    </a:blip>
                    <a:stretch>
                      <a:fillRect/>
                    </a:stretch>
                  </pic:blipFill>
                  <pic:spPr>
                    <a:xfrm>
                      <a:off x="0" y="0"/>
                      <a:ext cx="3096000" cy="1044599"/>
                    </a:xfrm>
                    <a:prstGeom prst="rect">
                      <a:avLst/>
                    </a:prstGeom>
                  </pic:spPr>
                </pic:pic>
              </a:graphicData>
            </a:graphic>
          </wp:inline>
        </w:drawing>
      </w:r>
    </w:p>
    <w:p w:rsidR="00CE2986" w:rsidRPr="00873C4C" w:rsidRDefault="00CE2986" w:rsidP="00057B42">
      <w:pPr>
        <w:spacing w:line="360" w:lineRule="auto"/>
        <w:jc w:val="both"/>
        <w:rPr>
          <w:color w:val="000000"/>
        </w:rPr>
      </w:pPr>
    </w:p>
    <w:p w:rsidR="002A4A43" w:rsidRPr="00873C4C" w:rsidRDefault="004D7F81" w:rsidP="00057B42">
      <w:pPr>
        <w:pStyle w:val="Caption"/>
        <w:pBdr>
          <w:bottom w:val="single" w:sz="12" w:space="1" w:color="auto"/>
        </w:pBdr>
        <w:jc w:val="both"/>
        <w:rPr>
          <w:color w:val="000000"/>
        </w:rPr>
      </w:pPr>
      <w:bookmarkStart w:id="156" w:name="_Toc304195963"/>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6</w:t>
      </w:r>
      <w:r w:rsidR="008A68DC">
        <w:rPr>
          <w:color w:val="000000"/>
        </w:rPr>
        <w:fldChar w:fldCharType="end"/>
      </w:r>
      <w:r w:rsidRPr="00873C4C">
        <w:rPr>
          <w:color w:val="000000"/>
        </w:rPr>
        <w:t xml:space="preserve"> </w:t>
      </w:r>
      <w:r w:rsidR="00101F5C" w:rsidRPr="00873C4C">
        <w:rPr>
          <w:color w:val="000000"/>
        </w:rPr>
        <w:t xml:space="preserve">Thalidomide </w:t>
      </w:r>
      <w:r w:rsidR="004D6A47">
        <w:rPr>
          <w:color w:val="000000"/>
        </w:rPr>
        <w:t xml:space="preserve">is racemic, </w:t>
      </w:r>
      <w:r w:rsidR="00101F5C" w:rsidRPr="00873C4C">
        <w:rPr>
          <w:color w:val="000000"/>
        </w:rPr>
        <w:t>it contains both left and right handed isomers in equal amounts: one enantiomer is effective against morning sickness, and the other is teratogenic. The enantiomers are converted to each other in vivo. That is, if a human is given D-thalidomide or L-thalidomide, both isomers can be found in the serum. Hence, administering only one enantiomer will not prevent the teratogenic effect in humans.</w:t>
      </w:r>
      <w:bookmarkEnd w:id="156"/>
    </w:p>
    <w:p w:rsidR="00101F5C" w:rsidRPr="00873C4C" w:rsidRDefault="00101F5C" w:rsidP="00057B42">
      <w:pPr>
        <w:pStyle w:val="Caption"/>
        <w:pBdr>
          <w:bottom w:val="single" w:sz="12" w:space="1" w:color="auto"/>
        </w:pBdr>
        <w:jc w:val="both"/>
        <w:rPr>
          <w:color w:val="000000"/>
        </w:rPr>
      </w:pPr>
    </w:p>
    <w:p w:rsidR="002A4A43" w:rsidRPr="00873C4C" w:rsidRDefault="002A4A43" w:rsidP="00057B42">
      <w:pPr>
        <w:spacing w:line="360" w:lineRule="auto"/>
        <w:rPr>
          <w:color w:val="000000"/>
        </w:rPr>
      </w:pPr>
    </w:p>
    <w:p w:rsidR="001F0293" w:rsidRPr="00873C4C" w:rsidRDefault="001F0293" w:rsidP="00057B42">
      <w:pPr>
        <w:spacing w:line="360" w:lineRule="auto"/>
        <w:rPr>
          <w:color w:val="000000"/>
        </w:rPr>
      </w:pPr>
    </w:p>
    <w:p w:rsidR="001A5ED9" w:rsidRDefault="0092498C" w:rsidP="00645687">
      <w:pPr>
        <w:pStyle w:val="Heading3"/>
      </w:pPr>
      <w:bookmarkStart w:id="157" w:name="_Toc305759111"/>
      <w:r w:rsidRPr="00873C4C">
        <w:tab/>
      </w:r>
      <w:bookmarkStart w:id="158" w:name="_Toc306570539"/>
      <w:bookmarkStart w:id="159" w:name="_Toc307067604"/>
      <w:bookmarkStart w:id="160" w:name="_Toc312169163"/>
      <w:bookmarkStart w:id="161" w:name="_Toc312172090"/>
      <w:bookmarkStart w:id="162" w:name="_Toc312257639"/>
      <w:r w:rsidR="001A5ED9" w:rsidRPr="00873C4C">
        <w:t>Chemical structure</w:t>
      </w:r>
      <w:r w:rsidR="00001AF5">
        <w:t xml:space="preserve"> </w:t>
      </w:r>
      <w:r w:rsidR="00681D9B">
        <w:t>of</w:t>
      </w:r>
      <w:r w:rsidR="001A5ED9" w:rsidRPr="00873C4C">
        <w:t xml:space="preserve"> thal</w:t>
      </w:r>
      <w:r w:rsidR="004D7F81" w:rsidRPr="00873C4C">
        <w:t>idomide</w:t>
      </w:r>
      <w:bookmarkEnd w:id="157"/>
      <w:bookmarkEnd w:id="158"/>
      <w:bookmarkEnd w:id="159"/>
      <w:bookmarkEnd w:id="160"/>
      <w:bookmarkEnd w:id="161"/>
      <w:bookmarkEnd w:id="162"/>
    </w:p>
    <w:p w:rsidR="004D7F81" w:rsidRDefault="00CB0A86" w:rsidP="00057B42">
      <w:pPr>
        <w:spacing w:line="360" w:lineRule="auto"/>
        <w:jc w:val="both"/>
        <w:rPr>
          <w:color w:val="000000"/>
        </w:rPr>
      </w:pPr>
      <w:bookmarkStart w:id="163" w:name="_Toc260496038"/>
      <w:bookmarkStart w:id="164" w:name="_Toc260500431"/>
      <w:bookmarkStart w:id="165" w:name="_Toc261098457"/>
      <w:r w:rsidRPr="00873C4C">
        <w:rPr>
          <w:color w:val="000000"/>
        </w:rPr>
        <w:t xml:space="preserve">Thalidomide is one of the most </w:t>
      </w:r>
      <w:r w:rsidR="00DC12E4" w:rsidRPr="00873C4C">
        <w:rPr>
          <w:color w:val="000000"/>
        </w:rPr>
        <w:t>puzzling</w:t>
      </w:r>
      <w:r w:rsidRPr="00873C4C">
        <w:rPr>
          <w:color w:val="000000"/>
        </w:rPr>
        <w:t xml:space="preserve"> drugs in medical history. It has sedative property, causes peripheral </w:t>
      </w:r>
      <w:r w:rsidR="00DC12E4" w:rsidRPr="00873C4C">
        <w:rPr>
          <w:color w:val="000000"/>
        </w:rPr>
        <w:t>neuropathy</w:t>
      </w:r>
      <w:r w:rsidRPr="00873C4C">
        <w:rPr>
          <w:color w:val="000000"/>
        </w:rPr>
        <w:t xml:space="preserve"> and severe birth defects. Once abandoned because of </w:t>
      </w:r>
      <w:r w:rsidR="00DC12E4" w:rsidRPr="00873C4C">
        <w:rPr>
          <w:color w:val="000000"/>
        </w:rPr>
        <w:t xml:space="preserve">these </w:t>
      </w:r>
      <w:r w:rsidRPr="00873C4C">
        <w:rPr>
          <w:color w:val="000000"/>
        </w:rPr>
        <w:t xml:space="preserve">devastating teratogenic effects, thalidomide has re-emerged as an alternative treatment in many diseases. Its Immunomodulatory effects, improves sign and symptoms of leprosy, HIV replication, and inhibits some cancers including MM. This mini review </w:t>
      </w:r>
      <w:r w:rsidR="00DC12E4" w:rsidRPr="00873C4C">
        <w:rPr>
          <w:color w:val="000000"/>
        </w:rPr>
        <w:t>elaborates</w:t>
      </w:r>
      <w:r w:rsidRPr="00873C4C">
        <w:rPr>
          <w:color w:val="000000"/>
        </w:rPr>
        <w:t xml:space="preserve"> the background of thalidomide.</w:t>
      </w:r>
      <w:bookmarkEnd w:id="163"/>
      <w:bookmarkEnd w:id="164"/>
      <w:bookmarkEnd w:id="165"/>
      <w:r w:rsidRPr="00873C4C">
        <w:rPr>
          <w:color w:val="000000"/>
        </w:rPr>
        <w:t xml:space="preserve"> </w:t>
      </w:r>
      <w:bookmarkStart w:id="166" w:name="_Toc260495788"/>
      <w:bookmarkStart w:id="167" w:name="_Toc260496039"/>
      <w:bookmarkStart w:id="168" w:name="_Toc260500432"/>
      <w:bookmarkStart w:id="169" w:name="_Toc261098458"/>
    </w:p>
    <w:p w:rsidR="00057B42" w:rsidRDefault="00057B42" w:rsidP="00057B42">
      <w:pPr>
        <w:spacing w:line="360" w:lineRule="auto"/>
        <w:jc w:val="both"/>
        <w:rPr>
          <w:color w:val="000000"/>
        </w:rPr>
      </w:pPr>
    </w:p>
    <w:p w:rsidR="00AD682C" w:rsidRDefault="00001AF5" w:rsidP="00645687">
      <w:pPr>
        <w:pStyle w:val="Heading3"/>
      </w:pPr>
      <w:bookmarkStart w:id="170" w:name="_Toc305759112"/>
      <w:bookmarkStart w:id="171" w:name="_Toc306570540"/>
      <w:bookmarkStart w:id="172" w:name="_Toc307067605"/>
      <w:r>
        <w:tab/>
      </w:r>
      <w:bookmarkStart w:id="173" w:name="_Toc312169164"/>
      <w:bookmarkStart w:id="174" w:name="_Toc312172091"/>
      <w:bookmarkStart w:id="175" w:name="_Toc312257640"/>
      <w:r w:rsidR="00AD682C" w:rsidRPr="00873C4C">
        <w:t>Drug Discovery</w:t>
      </w:r>
      <w:bookmarkEnd w:id="166"/>
      <w:bookmarkEnd w:id="167"/>
      <w:bookmarkEnd w:id="168"/>
      <w:bookmarkEnd w:id="169"/>
      <w:bookmarkEnd w:id="170"/>
      <w:bookmarkEnd w:id="171"/>
      <w:bookmarkEnd w:id="172"/>
      <w:bookmarkEnd w:id="173"/>
      <w:bookmarkEnd w:id="174"/>
      <w:bookmarkEnd w:id="175"/>
      <w:r w:rsidR="00AD682C" w:rsidRPr="00873C4C">
        <w:t xml:space="preserve"> </w:t>
      </w:r>
    </w:p>
    <w:p w:rsidR="004D7F81" w:rsidRDefault="002A4A43" w:rsidP="00645687">
      <w:pPr>
        <w:pStyle w:val="Heading4"/>
      </w:pPr>
      <w:r w:rsidRPr="00873C4C">
        <w:tab/>
      </w:r>
      <w:bookmarkStart w:id="176" w:name="_Toc305759113"/>
      <w:bookmarkStart w:id="177" w:name="_Toc306570541"/>
      <w:bookmarkStart w:id="178" w:name="_Toc307067606"/>
      <w:bookmarkStart w:id="179" w:name="_Toc312169165"/>
      <w:bookmarkStart w:id="180" w:name="_Toc312172092"/>
      <w:bookmarkStart w:id="181" w:name="_Toc312257641"/>
      <w:r w:rsidR="004D7F81" w:rsidRPr="00873C4C">
        <w:t>Historical overview</w:t>
      </w:r>
      <w:bookmarkEnd w:id="176"/>
      <w:bookmarkEnd w:id="177"/>
      <w:bookmarkEnd w:id="178"/>
      <w:bookmarkEnd w:id="179"/>
      <w:bookmarkEnd w:id="180"/>
      <w:bookmarkEnd w:id="181"/>
    </w:p>
    <w:p w:rsidR="0074571E" w:rsidRDefault="00AD682C" w:rsidP="00001AF5">
      <w:pPr>
        <w:spacing w:before="240" w:line="360" w:lineRule="auto"/>
        <w:jc w:val="both"/>
        <w:rPr>
          <w:color w:val="000000"/>
        </w:rPr>
      </w:pPr>
      <w:r w:rsidRPr="00873C4C">
        <w:rPr>
          <w:color w:val="000000"/>
        </w:rPr>
        <w:t xml:space="preserve">In 1954, Chemie Grünenthal, a small pharmaceutical company in West Germany was anxious to cash in on the burgeoning post-war antibiotic boom. Grünenthal </w:t>
      </w:r>
      <w:r w:rsidR="00647448" w:rsidRPr="00873C4C">
        <w:rPr>
          <w:color w:val="000000"/>
        </w:rPr>
        <w:lastRenderedPageBreak/>
        <w:t>chemists</w:t>
      </w:r>
      <w:r w:rsidRPr="00873C4C">
        <w:rPr>
          <w:color w:val="000000"/>
        </w:rPr>
        <w:t xml:space="preserve"> </w:t>
      </w:r>
      <w:r w:rsidR="00DC12E4" w:rsidRPr="00873C4C">
        <w:rPr>
          <w:color w:val="000000"/>
        </w:rPr>
        <w:t xml:space="preserve">were </w:t>
      </w:r>
      <w:r w:rsidRPr="00873C4C">
        <w:rPr>
          <w:color w:val="000000"/>
        </w:rPr>
        <w:t xml:space="preserve">trying to find </w:t>
      </w:r>
      <w:r w:rsidR="00DC12E4" w:rsidRPr="00873C4C">
        <w:rPr>
          <w:color w:val="000000"/>
        </w:rPr>
        <w:t xml:space="preserve">simple and </w:t>
      </w:r>
      <w:r w:rsidRPr="00873C4C">
        <w:rPr>
          <w:color w:val="000000"/>
        </w:rPr>
        <w:t xml:space="preserve">inexpensive </w:t>
      </w:r>
      <w:r w:rsidR="00DC12E4" w:rsidRPr="00873C4C">
        <w:rPr>
          <w:color w:val="000000"/>
        </w:rPr>
        <w:t>antibiotics. T</w:t>
      </w:r>
      <w:r w:rsidRPr="00873C4C">
        <w:rPr>
          <w:color w:val="000000"/>
        </w:rPr>
        <w:t xml:space="preserve">he resulting molecule, </w:t>
      </w:r>
      <w:r w:rsidR="00001AF5">
        <w:rPr>
          <w:color w:val="000000"/>
        </w:rPr>
        <w:t>was</w:t>
      </w:r>
      <w:r w:rsidRPr="00873C4C">
        <w:rPr>
          <w:color w:val="000000"/>
        </w:rPr>
        <w:t xml:space="preserve"> very quickly </w:t>
      </w:r>
      <w:r w:rsidR="00DC12E4" w:rsidRPr="00873C4C">
        <w:rPr>
          <w:color w:val="000000"/>
        </w:rPr>
        <w:t xml:space="preserve">called </w:t>
      </w:r>
      <w:r w:rsidRPr="00873C4C">
        <w:rPr>
          <w:color w:val="000000"/>
        </w:rPr>
        <w:t>thalidomide. Grünenthal eventually patented the molecule and began searching for the diseases thalidomide could cure. Grünenthal scientists subsequently could no</w:t>
      </w:r>
      <w:r w:rsidR="00DC12E4" w:rsidRPr="00873C4C">
        <w:rPr>
          <w:color w:val="000000"/>
        </w:rPr>
        <w:t xml:space="preserve">t find any antibiotic activity. </w:t>
      </w:r>
      <w:r w:rsidRPr="00873C4C">
        <w:rPr>
          <w:color w:val="000000"/>
        </w:rPr>
        <w:t>However, they saw that the new chemical seemed to be harmless and non-toxic. Even at very high doses it did not kill rabbits, rodents, cats, or dogs. Herbert Keller, Grünenthal's pharmacologist, reasoned that even though thalidomide did not exhibit sedative effects in animals, it might work in humans. Even if it didn't do anything in humans, it wasn't toxic, so no harm done. In clinical trials, Grünenthal researchers found that thalidomide put patients i</w:t>
      </w:r>
      <w:r w:rsidR="00DC12E4" w:rsidRPr="00873C4C">
        <w:rPr>
          <w:color w:val="000000"/>
        </w:rPr>
        <w:t>nto a deep, all-night, ‘natural’</w:t>
      </w:r>
      <w:r w:rsidRPr="00873C4C">
        <w:rPr>
          <w:color w:val="000000"/>
        </w:rPr>
        <w:t xml:space="preserve"> sleep. </w:t>
      </w:r>
    </w:p>
    <w:p w:rsidR="0074571E" w:rsidRDefault="0074571E" w:rsidP="00057B42">
      <w:pPr>
        <w:spacing w:line="360" w:lineRule="auto"/>
        <w:jc w:val="both"/>
        <w:rPr>
          <w:color w:val="000000"/>
        </w:rPr>
      </w:pPr>
    </w:p>
    <w:p w:rsidR="00AD682C" w:rsidRPr="00873C4C" w:rsidRDefault="00AD682C" w:rsidP="00057B42">
      <w:pPr>
        <w:spacing w:line="360" w:lineRule="auto"/>
        <w:jc w:val="both"/>
        <w:rPr>
          <w:color w:val="000000"/>
        </w:rPr>
      </w:pPr>
      <w:r w:rsidRPr="00873C4C">
        <w:rPr>
          <w:color w:val="000000"/>
        </w:rPr>
        <w:t xml:space="preserve">These results were </w:t>
      </w:r>
      <w:r w:rsidR="00DC12E4" w:rsidRPr="00873C4C">
        <w:rPr>
          <w:color w:val="000000"/>
        </w:rPr>
        <w:t>amazing, a sleeping pill was</w:t>
      </w:r>
      <w:r w:rsidRPr="00873C4C">
        <w:rPr>
          <w:color w:val="000000"/>
        </w:rPr>
        <w:t xml:space="preserve"> big business in post-war Europe, but existing pills were toxic. The pharmaceutical company began to dream of the lucrative prosp</w:t>
      </w:r>
      <w:r w:rsidR="00DC12E4" w:rsidRPr="00873C4C">
        <w:rPr>
          <w:color w:val="000000"/>
        </w:rPr>
        <w:t xml:space="preserve">ects of this exciting new find; </w:t>
      </w:r>
      <w:r w:rsidRPr="00873C4C">
        <w:rPr>
          <w:color w:val="000000"/>
        </w:rPr>
        <w:t xml:space="preserve">a nonlethal sedative would </w:t>
      </w:r>
      <w:r w:rsidR="00DC12E4" w:rsidRPr="00873C4C">
        <w:rPr>
          <w:color w:val="000000"/>
        </w:rPr>
        <w:t>have enormous market potential.</w:t>
      </w:r>
      <w:r w:rsidRPr="00873C4C">
        <w:rPr>
          <w:color w:val="000000"/>
        </w:rPr>
        <w:t xml:space="preserve"> No large and extended clinical trials were planned and no other scientific ground was sought. Many cli</w:t>
      </w:r>
      <w:r w:rsidR="00001AF5">
        <w:rPr>
          <w:color w:val="000000"/>
        </w:rPr>
        <w:t>nical trials were carried out with</w:t>
      </w:r>
      <w:r w:rsidRPr="00873C4C">
        <w:rPr>
          <w:color w:val="000000"/>
        </w:rPr>
        <w:t xml:space="preserve"> around 350 patients for a period of a maximum of 12 weeks. Grünenthal began distributing free samples of thalidomide to doctors in Switzerland and West Germany. The only real adverse effects </w:t>
      </w:r>
      <w:r w:rsidR="00DC12E4" w:rsidRPr="00873C4C">
        <w:rPr>
          <w:color w:val="000000"/>
        </w:rPr>
        <w:t xml:space="preserve">were labelled as </w:t>
      </w:r>
      <w:r w:rsidRPr="00873C4C">
        <w:rPr>
          <w:color w:val="000000"/>
        </w:rPr>
        <w:t xml:space="preserve">slight constipation. This was not enough time to see what effect it could have on a new born baby and thus the teratogenic effects were not observed. </w:t>
      </w:r>
    </w:p>
    <w:p w:rsidR="00B613C8" w:rsidRDefault="00B613C8" w:rsidP="00057B42">
      <w:pPr>
        <w:spacing w:line="360" w:lineRule="auto"/>
        <w:jc w:val="both"/>
        <w:rPr>
          <w:color w:val="000000"/>
        </w:rPr>
      </w:pPr>
    </w:p>
    <w:p w:rsidR="00AD682C" w:rsidRPr="00873C4C" w:rsidRDefault="00AD682C" w:rsidP="00057B42">
      <w:pPr>
        <w:spacing w:line="360" w:lineRule="auto"/>
        <w:jc w:val="both"/>
        <w:rPr>
          <w:color w:val="000000"/>
        </w:rPr>
      </w:pPr>
      <w:r w:rsidRPr="00873C4C">
        <w:rPr>
          <w:color w:val="000000"/>
        </w:rPr>
        <w:t>An employee of Grünenthal brought home samples of this new wonder drug for his pregnant wife, about ten months before thalidomide wa</w:t>
      </w:r>
      <w:r w:rsidR="00743C4F">
        <w:rPr>
          <w:color w:val="000000"/>
        </w:rPr>
        <w:t>s put on the market in Germany. O</w:t>
      </w:r>
      <w:r w:rsidRPr="00873C4C">
        <w:rPr>
          <w:color w:val="000000"/>
        </w:rPr>
        <w:t xml:space="preserve">n Christmas Day </w:t>
      </w:r>
      <w:r w:rsidR="00440A92" w:rsidRPr="00873C4C">
        <w:rPr>
          <w:color w:val="000000"/>
        </w:rPr>
        <w:t xml:space="preserve">in 1956, their child was born with </w:t>
      </w:r>
      <w:r w:rsidR="00743C4F">
        <w:rPr>
          <w:color w:val="000000"/>
        </w:rPr>
        <w:t xml:space="preserve">a </w:t>
      </w:r>
      <w:r w:rsidR="00440A92" w:rsidRPr="00873C4C">
        <w:rPr>
          <w:color w:val="000000"/>
        </w:rPr>
        <w:t xml:space="preserve">birth defect; </w:t>
      </w:r>
      <w:r w:rsidRPr="00873C4C">
        <w:rPr>
          <w:color w:val="000000"/>
        </w:rPr>
        <w:t>without ears.</w:t>
      </w:r>
      <w:r w:rsidR="007805D4">
        <w:rPr>
          <w:color w:val="000000"/>
        </w:rPr>
        <w:t xml:space="preserve"> A f</w:t>
      </w:r>
      <w:r w:rsidRPr="00873C4C">
        <w:rPr>
          <w:color w:val="000000"/>
        </w:rPr>
        <w:t>ew years later, the father learned that his daughter was the first living victim of the epidemic of thalidomide-induced infant malformations and deaths.</w:t>
      </w:r>
    </w:p>
    <w:p w:rsidR="00C32EB1" w:rsidRDefault="00C32EB1" w:rsidP="00057B42">
      <w:pPr>
        <w:spacing w:line="360" w:lineRule="auto"/>
        <w:jc w:val="both"/>
        <w:rPr>
          <w:color w:val="000000"/>
        </w:rPr>
      </w:pPr>
    </w:p>
    <w:p w:rsidR="005B6E59" w:rsidRPr="00873C4C" w:rsidRDefault="00AD682C" w:rsidP="00057B42">
      <w:pPr>
        <w:spacing w:line="360" w:lineRule="auto"/>
        <w:jc w:val="both"/>
        <w:rPr>
          <w:color w:val="000000"/>
        </w:rPr>
      </w:pPr>
      <w:r w:rsidRPr="00873C4C">
        <w:rPr>
          <w:color w:val="000000"/>
        </w:rPr>
        <w:t xml:space="preserve">The company began selling the drug over the counter in Germany in October 1957, under the brand name Contergan and by 1960, Grünenthal was selling thalidomide to thousands of women and spread to most corners of the </w:t>
      </w:r>
      <w:r w:rsidR="00440A92" w:rsidRPr="00873C4C">
        <w:rPr>
          <w:color w:val="000000"/>
        </w:rPr>
        <w:t>globe (except the United States</w:t>
      </w:r>
      <w:r w:rsidRPr="00873C4C">
        <w:rPr>
          <w:color w:val="000000"/>
        </w:rPr>
        <w:t xml:space="preserve">) without any additional independent testing, and was the drug of choice for pregnant women with morning sickness. Although thalidomide was available in </w:t>
      </w:r>
      <w:r w:rsidRPr="00873C4C">
        <w:rPr>
          <w:color w:val="000000"/>
        </w:rPr>
        <w:lastRenderedPageBreak/>
        <w:t xml:space="preserve">many countries and under several </w:t>
      </w:r>
      <w:r w:rsidR="00440A92" w:rsidRPr="00873C4C">
        <w:rPr>
          <w:color w:val="000000"/>
        </w:rPr>
        <w:t xml:space="preserve">trade </w:t>
      </w:r>
      <w:r w:rsidRPr="00873C4C">
        <w:rPr>
          <w:color w:val="000000"/>
        </w:rPr>
        <w:t>names, it was used mo</w:t>
      </w:r>
      <w:r w:rsidR="006B4236">
        <w:rPr>
          <w:color w:val="000000"/>
        </w:rPr>
        <w:t>stly in Germany and Britain and</w:t>
      </w:r>
      <w:r w:rsidR="006B4236">
        <w:rPr>
          <w:rFonts w:ascii="Tahoma" w:hAnsi="Tahoma" w:cs="Tahoma"/>
          <w:color w:val="000000"/>
          <w:sz w:val="20"/>
          <w:szCs w:val="20"/>
          <w:lang w:eastAsia="en-IE"/>
        </w:rPr>
        <w:t xml:space="preserve"> </w:t>
      </w:r>
      <w:r w:rsidR="006B4236" w:rsidRPr="00743C4F">
        <w:rPr>
          <w:color w:val="000000"/>
          <w:szCs w:val="20"/>
          <w:lang w:eastAsia="en-IE"/>
        </w:rPr>
        <w:t>to a lesser</w:t>
      </w:r>
      <w:r w:rsidRPr="00743C4F">
        <w:rPr>
          <w:color w:val="000000"/>
          <w:sz w:val="32"/>
        </w:rPr>
        <w:t xml:space="preserve"> </w:t>
      </w:r>
      <w:r w:rsidR="00743C4F">
        <w:rPr>
          <w:color w:val="000000"/>
        </w:rPr>
        <w:t>extent</w:t>
      </w:r>
      <w:r w:rsidRPr="00873C4C">
        <w:rPr>
          <w:color w:val="000000"/>
        </w:rPr>
        <w:t xml:space="preserve"> in Ireland</w:t>
      </w:r>
      <w:r w:rsidR="00440A92" w:rsidRPr="00873C4C">
        <w:rPr>
          <w:color w:val="000000"/>
        </w:rPr>
        <w:t>. B</w:t>
      </w:r>
      <w:r w:rsidR="005B6E59" w:rsidRPr="00873C4C">
        <w:rPr>
          <w:color w:val="000000"/>
        </w:rPr>
        <w:t>y 1961 thalidomide was the best-selling sleeping pill in West Germany and the UK. It was advertised as completely safe, even for pregnant and nursing mothers, although th</w:t>
      </w:r>
      <w:r w:rsidR="00440A92" w:rsidRPr="00873C4C">
        <w:rPr>
          <w:color w:val="000000"/>
        </w:rPr>
        <w:t>ere were no data to support this</w:t>
      </w:r>
      <w:r w:rsidR="005B6E59" w:rsidRPr="00873C4C">
        <w:rPr>
          <w:color w:val="000000"/>
        </w:rPr>
        <w:t xml:space="preserve"> claim.</w:t>
      </w:r>
      <w:r w:rsidRPr="00873C4C">
        <w:rPr>
          <w:color w:val="000000"/>
        </w:rPr>
        <w:t xml:space="preserve"> </w:t>
      </w:r>
    </w:p>
    <w:p w:rsidR="00743C4F" w:rsidRDefault="00743C4F" w:rsidP="00057B42">
      <w:pPr>
        <w:spacing w:line="360" w:lineRule="auto"/>
        <w:jc w:val="both"/>
        <w:rPr>
          <w:color w:val="000000"/>
        </w:rPr>
      </w:pPr>
    </w:p>
    <w:p w:rsidR="00AD682C" w:rsidRPr="00873C4C" w:rsidRDefault="00AD682C" w:rsidP="00057B42">
      <w:pPr>
        <w:spacing w:line="360" w:lineRule="auto"/>
        <w:jc w:val="both"/>
        <w:rPr>
          <w:color w:val="000000"/>
        </w:rPr>
      </w:pPr>
      <w:r w:rsidRPr="00873C4C">
        <w:rPr>
          <w:color w:val="000000"/>
        </w:rPr>
        <w:t>Thalidomide was never marketed in United States</w:t>
      </w:r>
      <w:r w:rsidR="00440A92" w:rsidRPr="00873C4C">
        <w:rPr>
          <w:color w:val="000000"/>
        </w:rPr>
        <w:t>. Dr Frances Kelsey</w:t>
      </w:r>
      <w:r w:rsidRPr="00873C4C">
        <w:rPr>
          <w:color w:val="000000"/>
        </w:rPr>
        <w:t xml:space="preserve"> a newly appointed  Medical Officer of the Food and Drug Administration</w:t>
      </w:r>
      <w:r w:rsidR="00440A92" w:rsidRPr="00873C4C">
        <w:rPr>
          <w:color w:val="000000"/>
        </w:rPr>
        <w:t xml:space="preserve"> (FDA)</w:t>
      </w:r>
      <w:r w:rsidRPr="00873C4C">
        <w:rPr>
          <w:color w:val="000000"/>
        </w:rPr>
        <w:t>, rejected the drug firm’s application to market Kevadon (thalidomide) in the United States, because</w:t>
      </w:r>
      <w:r w:rsidR="005B6E59" w:rsidRPr="00873C4C">
        <w:rPr>
          <w:color w:val="000000"/>
        </w:rPr>
        <w:t xml:space="preserve"> among other reasons, she was not</w:t>
      </w:r>
      <w:r w:rsidRPr="00873C4C">
        <w:rPr>
          <w:color w:val="000000"/>
        </w:rPr>
        <w:t xml:space="preserve"> satisfied that the drug would be safe to take during pregnancy. She was under tremendous pressure to approve thalidomide quickly, not just from the original manufacturer, but also from the l</w:t>
      </w:r>
      <w:r w:rsidR="005B6E59" w:rsidRPr="00873C4C">
        <w:rPr>
          <w:color w:val="000000"/>
        </w:rPr>
        <w:t xml:space="preserve">arger drug </w:t>
      </w:r>
      <w:r w:rsidR="006B4236">
        <w:rPr>
          <w:color w:val="000000"/>
        </w:rPr>
        <w:t xml:space="preserve">using </w:t>
      </w:r>
      <w:r w:rsidR="005B6E59" w:rsidRPr="00873C4C">
        <w:rPr>
          <w:color w:val="000000"/>
        </w:rPr>
        <w:t>community</w:t>
      </w:r>
      <w:r w:rsidR="006B4236">
        <w:rPr>
          <w:color w:val="000000"/>
        </w:rPr>
        <w:t>.</w:t>
      </w:r>
      <w:r w:rsidR="005B6E59" w:rsidRPr="00873C4C">
        <w:rPr>
          <w:color w:val="000000"/>
        </w:rPr>
        <w:t xml:space="preserve"> </w:t>
      </w:r>
      <w:r w:rsidRPr="00873C4C">
        <w:rPr>
          <w:color w:val="000000"/>
        </w:rPr>
        <w:t xml:space="preserve">As this </w:t>
      </w:r>
      <w:r w:rsidR="00440A92" w:rsidRPr="00873C4C">
        <w:rPr>
          <w:color w:val="000000"/>
        </w:rPr>
        <w:t>argument</w:t>
      </w:r>
      <w:r w:rsidR="005B6E59" w:rsidRPr="00873C4C">
        <w:rPr>
          <w:color w:val="000000"/>
        </w:rPr>
        <w:t xml:space="preserve"> was going on,</w:t>
      </w:r>
      <w:r w:rsidRPr="00873C4C">
        <w:rPr>
          <w:color w:val="000000"/>
        </w:rPr>
        <w:t xml:space="preserve"> which included calls from the industry for her removal, the reports from Europe about birth defects began showing up. </w:t>
      </w:r>
    </w:p>
    <w:p w:rsidR="002A4A43" w:rsidRPr="00873C4C" w:rsidRDefault="002A4A43" w:rsidP="00057B42">
      <w:pPr>
        <w:spacing w:line="360" w:lineRule="auto"/>
        <w:jc w:val="both"/>
        <w:rPr>
          <w:color w:val="000000"/>
        </w:rPr>
      </w:pPr>
    </w:p>
    <w:p w:rsidR="003473F8" w:rsidRPr="003473F8" w:rsidRDefault="00B613C8" w:rsidP="00645687">
      <w:pPr>
        <w:pStyle w:val="Heading3"/>
      </w:pPr>
      <w:bookmarkStart w:id="182" w:name="_Toc305759114"/>
      <w:bookmarkStart w:id="183" w:name="_Toc306570542"/>
      <w:bookmarkStart w:id="184" w:name="_Toc307067607"/>
      <w:r>
        <w:tab/>
      </w:r>
      <w:bookmarkStart w:id="185" w:name="_Toc312169166"/>
      <w:bookmarkStart w:id="186" w:name="_Toc312172093"/>
      <w:bookmarkStart w:id="187" w:name="_Toc312257642"/>
      <w:r w:rsidR="00501939" w:rsidRPr="00873C4C">
        <w:t>Teratogenicity</w:t>
      </w:r>
      <w:bookmarkEnd w:id="182"/>
      <w:bookmarkEnd w:id="183"/>
      <w:bookmarkEnd w:id="184"/>
      <w:bookmarkEnd w:id="185"/>
      <w:bookmarkEnd w:id="186"/>
      <w:bookmarkEnd w:id="187"/>
      <w:r w:rsidR="00501939" w:rsidRPr="00873C4C">
        <w:t xml:space="preserve"> </w:t>
      </w:r>
    </w:p>
    <w:p w:rsidR="00E50BA0" w:rsidRPr="00873C4C" w:rsidRDefault="00AD682C" w:rsidP="00057B42">
      <w:pPr>
        <w:spacing w:line="360" w:lineRule="auto"/>
        <w:jc w:val="both"/>
        <w:rPr>
          <w:color w:val="000000"/>
        </w:rPr>
      </w:pPr>
      <w:r w:rsidRPr="00873C4C">
        <w:rPr>
          <w:color w:val="000000"/>
        </w:rPr>
        <w:t>It was then discovered that this drug was teratogenic in f</w:t>
      </w:r>
      <w:r w:rsidR="005B6E59" w:rsidRPr="00873C4C">
        <w:rPr>
          <w:color w:val="000000"/>
        </w:rPr>
        <w:t>oetal development by</w:t>
      </w:r>
      <w:r w:rsidRPr="00873C4C">
        <w:rPr>
          <w:color w:val="000000"/>
        </w:rPr>
        <w:t xml:space="preserve"> interfering with blood vessel development and the worst </w:t>
      </w:r>
      <w:r w:rsidR="005B6E59" w:rsidRPr="00873C4C">
        <w:rPr>
          <w:color w:val="000000"/>
        </w:rPr>
        <w:t xml:space="preserve">side </w:t>
      </w:r>
      <w:r w:rsidRPr="00873C4C">
        <w:rPr>
          <w:color w:val="000000"/>
        </w:rPr>
        <w:t xml:space="preserve">effects happened in the first couple of months of pregnancy. </w:t>
      </w:r>
    </w:p>
    <w:p w:rsidR="00C32EB1" w:rsidRDefault="00C32EB1" w:rsidP="00057B42">
      <w:pPr>
        <w:spacing w:line="360" w:lineRule="auto"/>
        <w:jc w:val="both"/>
        <w:rPr>
          <w:color w:val="000000"/>
        </w:rPr>
      </w:pPr>
    </w:p>
    <w:p w:rsidR="00AD682C" w:rsidRPr="00873C4C" w:rsidRDefault="00E50BA0" w:rsidP="00057B42">
      <w:pPr>
        <w:spacing w:line="360" w:lineRule="auto"/>
        <w:jc w:val="both"/>
        <w:rPr>
          <w:color w:val="000000"/>
        </w:rPr>
      </w:pPr>
      <w:r w:rsidRPr="00873C4C">
        <w:rPr>
          <w:color w:val="000000"/>
        </w:rPr>
        <w:t xml:space="preserve">As many as 24,000 embryos may have been damaged by thalidomide. Nearly half died before birth. </w:t>
      </w:r>
      <w:r w:rsidR="00AD682C" w:rsidRPr="00873C4C">
        <w:rPr>
          <w:color w:val="000000"/>
        </w:rPr>
        <w:t xml:space="preserve">Around 12,000 children were born with some kind of </w:t>
      </w:r>
      <w:r w:rsidR="00440A92" w:rsidRPr="00873C4C">
        <w:rPr>
          <w:color w:val="000000"/>
        </w:rPr>
        <w:t>birth defect</w:t>
      </w:r>
      <w:r w:rsidR="00AD682C" w:rsidRPr="00873C4C">
        <w:rPr>
          <w:color w:val="000000"/>
        </w:rPr>
        <w:t xml:space="preserve"> due to damage caused by thalidomide between 1956 and 1962</w:t>
      </w:r>
      <w:r w:rsidRPr="00873C4C">
        <w:rPr>
          <w:color w:val="000000"/>
        </w:rPr>
        <w:t>. Many of survivors died soon after birth</w:t>
      </w:r>
      <w:r w:rsidR="00AD682C" w:rsidRPr="00873C4C">
        <w:rPr>
          <w:color w:val="000000"/>
        </w:rPr>
        <w:t xml:space="preserve">. </w:t>
      </w:r>
      <w:r w:rsidR="00B613C8" w:rsidRPr="00873C4C">
        <w:rPr>
          <w:color w:val="000000"/>
        </w:rPr>
        <w:t>Worldwide</w:t>
      </w:r>
      <w:r w:rsidRPr="00873C4C">
        <w:rPr>
          <w:color w:val="000000"/>
        </w:rPr>
        <w:t xml:space="preserve"> about 5000 are thought to be alive today. </w:t>
      </w:r>
      <w:r w:rsidR="00AD682C" w:rsidRPr="00873C4C">
        <w:rPr>
          <w:color w:val="000000"/>
        </w:rPr>
        <w:t>It was proved that thalidomide did cause these effects and was not used as a drug for decades.</w:t>
      </w:r>
    </w:p>
    <w:p w:rsidR="00E50BA0" w:rsidRPr="00873C4C" w:rsidRDefault="00E50BA0" w:rsidP="00057B42">
      <w:pPr>
        <w:spacing w:line="360" w:lineRule="auto"/>
        <w:jc w:val="both"/>
        <w:rPr>
          <w:color w:val="000000"/>
        </w:rPr>
      </w:pPr>
    </w:p>
    <w:p w:rsidR="003473F8" w:rsidRPr="003473F8" w:rsidRDefault="0092498C" w:rsidP="00645687">
      <w:pPr>
        <w:pStyle w:val="Heading3"/>
      </w:pPr>
      <w:bookmarkStart w:id="188" w:name="_Toc260495789"/>
      <w:bookmarkStart w:id="189" w:name="_Toc260496040"/>
      <w:bookmarkStart w:id="190" w:name="_Toc260500433"/>
      <w:bookmarkStart w:id="191" w:name="_Toc261098459"/>
      <w:bookmarkStart w:id="192" w:name="_Toc305759115"/>
      <w:r w:rsidRPr="00873C4C">
        <w:tab/>
      </w:r>
      <w:bookmarkStart w:id="193" w:name="_Toc306570543"/>
      <w:bookmarkStart w:id="194" w:name="_Toc307067608"/>
      <w:r w:rsidR="00B613C8">
        <w:t xml:space="preserve"> </w:t>
      </w:r>
      <w:bookmarkStart w:id="195" w:name="_Toc312169167"/>
      <w:bookmarkStart w:id="196" w:name="_Toc312172094"/>
      <w:bookmarkStart w:id="197" w:name="_Toc312257643"/>
      <w:r w:rsidR="00012637" w:rsidRPr="00873C4C">
        <w:t>Reinventing thalidomide</w:t>
      </w:r>
      <w:bookmarkEnd w:id="188"/>
      <w:bookmarkEnd w:id="189"/>
      <w:bookmarkEnd w:id="190"/>
      <w:bookmarkEnd w:id="191"/>
      <w:bookmarkEnd w:id="192"/>
      <w:bookmarkEnd w:id="193"/>
      <w:bookmarkEnd w:id="194"/>
      <w:bookmarkEnd w:id="195"/>
      <w:bookmarkEnd w:id="196"/>
      <w:bookmarkEnd w:id="197"/>
      <w:r w:rsidR="00012637" w:rsidRPr="00873C4C">
        <w:t xml:space="preserve"> </w:t>
      </w:r>
    </w:p>
    <w:p w:rsidR="00012637" w:rsidRPr="00873C4C" w:rsidRDefault="00012637" w:rsidP="00057B42">
      <w:pPr>
        <w:spacing w:before="100" w:beforeAutospacing="1" w:after="100" w:afterAutospacing="1" w:line="360" w:lineRule="auto"/>
        <w:jc w:val="both"/>
        <w:rPr>
          <w:color w:val="000000"/>
        </w:rPr>
      </w:pPr>
      <w:r w:rsidRPr="00873C4C">
        <w:rPr>
          <w:color w:val="000000"/>
        </w:rPr>
        <w:t xml:space="preserve">There </w:t>
      </w:r>
      <w:r w:rsidR="00647448" w:rsidRPr="00873C4C">
        <w:rPr>
          <w:color w:val="000000"/>
        </w:rPr>
        <w:t>are</w:t>
      </w:r>
      <w:r w:rsidRPr="00873C4C">
        <w:rPr>
          <w:color w:val="000000"/>
        </w:rPr>
        <w:t xml:space="preserve"> always </w:t>
      </w:r>
      <w:r w:rsidR="00743C4F">
        <w:rPr>
          <w:color w:val="000000"/>
        </w:rPr>
        <w:t xml:space="preserve">a </w:t>
      </w:r>
      <w:r w:rsidR="00440A92" w:rsidRPr="00873C4C">
        <w:rPr>
          <w:color w:val="000000"/>
        </w:rPr>
        <w:t xml:space="preserve">few </w:t>
      </w:r>
      <w:r w:rsidRPr="00873C4C">
        <w:rPr>
          <w:color w:val="000000"/>
        </w:rPr>
        <w:t xml:space="preserve">researchers </w:t>
      </w:r>
      <w:r w:rsidR="00440A92" w:rsidRPr="00873C4C">
        <w:rPr>
          <w:color w:val="000000"/>
        </w:rPr>
        <w:t xml:space="preserve">and scientists </w:t>
      </w:r>
      <w:r w:rsidRPr="00873C4C">
        <w:rPr>
          <w:color w:val="000000"/>
        </w:rPr>
        <w:t xml:space="preserve">looking for other ways to use the drug and continued testing </w:t>
      </w:r>
      <w:r w:rsidR="00440A92" w:rsidRPr="00873C4C">
        <w:rPr>
          <w:color w:val="000000"/>
        </w:rPr>
        <w:t>thalidomide</w:t>
      </w:r>
      <w:r w:rsidRPr="00873C4C">
        <w:rPr>
          <w:color w:val="000000"/>
        </w:rPr>
        <w:t xml:space="preserve"> in </w:t>
      </w:r>
      <w:r w:rsidR="00440A92" w:rsidRPr="00873C4C">
        <w:rPr>
          <w:color w:val="000000"/>
        </w:rPr>
        <w:t>various experiments and studies.</w:t>
      </w:r>
      <w:r w:rsidRPr="00873C4C">
        <w:rPr>
          <w:color w:val="000000"/>
        </w:rPr>
        <w:t xml:space="preserve"> New discoveries were made and it was proven that thalidomide had good effects on certain types of diseases such as leprosy and cancer including MM. </w:t>
      </w:r>
    </w:p>
    <w:p w:rsidR="00012637" w:rsidRPr="00873C4C" w:rsidRDefault="00012637" w:rsidP="00057B42">
      <w:pPr>
        <w:spacing w:before="100" w:beforeAutospacing="1" w:after="100" w:afterAutospacing="1" w:line="360" w:lineRule="auto"/>
        <w:jc w:val="both"/>
        <w:rPr>
          <w:rFonts w:eastAsia="Times New Roman"/>
          <w:color w:val="000000"/>
        </w:rPr>
      </w:pPr>
      <w:r w:rsidRPr="00873C4C">
        <w:rPr>
          <w:rFonts w:eastAsia="Times New Roman"/>
          <w:color w:val="000000"/>
        </w:rPr>
        <w:lastRenderedPageBreak/>
        <w:t xml:space="preserve">In 1964, a critically ill, bedridden patient with an advanced inflammatory complication of leprosy known as ENL (Erythema Nodosum Laprosum) was referred to </w:t>
      </w:r>
      <w:r w:rsidRPr="00873C4C">
        <w:rPr>
          <w:color w:val="000000"/>
        </w:rPr>
        <w:t xml:space="preserve">Dr </w:t>
      </w:r>
      <w:r w:rsidRPr="00873C4C">
        <w:rPr>
          <w:rFonts w:eastAsia="Times New Roman"/>
          <w:color w:val="000000"/>
        </w:rPr>
        <w:t xml:space="preserve">Jacob Sheskin at the Jerusalem Hospital for </w:t>
      </w:r>
      <w:r w:rsidRPr="00873C4C">
        <w:rPr>
          <w:color w:val="000000"/>
        </w:rPr>
        <w:t>Leprosy</w:t>
      </w:r>
      <w:r w:rsidRPr="00873C4C">
        <w:rPr>
          <w:rFonts w:eastAsia="Times New Roman"/>
          <w:color w:val="000000"/>
        </w:rPr>
        <w:t xml:space="preserve">. The man was in such severe pain that he hadn't slept in weeks. </w:t>
      </w:r>
    </w:p>
    <w:p w:rsidR="00012637" w:rsidRPr="00873C4C" w:rsidRDefault="00012637" w:rsidP="00057B42">
      <w:pPr>
        <w:spacing w:before="100" w:beforeAutospacing="1" w:after="100" w:afterAutospacing="1" w:line="360" w:lineRule="auto"/>
        <w:jc w:val="both"/>
        <w:rPr>
          <w:color w:val="000000"/>
        </w:rPr>
      </w:pPr>
      <w:r w:rsidRPr="00873C4C">
        <w:rPr>
          <w:color w:val="000000"/>
        </w:rPr>
        <w:t xml:space="preserve">Dr </w:t>
      </w:r>
      <w:r w:rsidRPr="00873C4C">
        <w:rPr>
          <w:rFonts w:eastAsia="Times New Roman"/>
          <w:color w:val="000000"/>
        </w:rPr>
        <w:t xml:space="preserve">Sheskin looked for something that might ease the pain or allow the man to sleep. He found a bottle of thalidomide and gave the patient two tablets. The man slept soundly for 20 hours, and, upon waking, was able to get out of bed. After two more tablets, his pain disappeared. Six other </w:t>
      </w:r>
      <w:r w:rsidR="00440A92" w:rsidRPr="00873C4C">
        <w:rPr>
          <w:rFonts w:eastAsia="Times New Roman"/>
          <w:color w:val="000000"/>
        </w:rPr>
        <w:t>ENL</w:t>
      </w:r>
      <w:r w:rsidRPr="00873C4C">
        <w:rPr>
          <w:rFonts w:eastAsia="Times New Roman"/>
          <w:color w:val="000000"/>
        </w:rPr>
        <w:t xml:space="preserve"> patients in the hospital were treated with similar results. </w:t>
      </w:r>
      <w:r w:rsidR="00440A92" w:rsidRPr="00873C4C">
        <w:rPr>
          <w:rFonts w:eastAsia="Times New Roman"/>
          <w:color w:val="000000"/>
        </w:rPr>
        <w:t xml:space="preserve">Dr </w:t>
      </w:r>
      <w:r w:rsidRPr="00873C4C">
        <w:rPr>
          <w:rFonts w:eastAsia="Times New Roman"/>
          <w:color w:val="000000"/>
        </w:rPr>
        <w:t xml:space="preserve">Sheskin later conducted double-blind clinical studies on ENL patients. Ninety-two per cent of 173 patients were relieved of symptoms. A follow-up study by the World Health Organization, involving 4552 ENL patients demonstrated that 99 per cent of patients improved. For leprosy patients, thalidomide was indeed a wonder drug. </w:t>
      </w:r>
      <w:r w:rsidRPr="00873C4C">
        <w:rPr>
          <w:color w:val="000000"/>
        </w:rPr>
        <w:t>Forty</w:t>
      </w:r>
      <w:r w:rsidRPr="00873C4C">
        <w:rPr>
          <w:rFonts w:eastAsia="Times New Roman"/>
          <w:color w:val="000000"/>
        </w:rPr>
        <w:t xml:space="preserve">-five years later, thalidomide </w:t>
      </w:r>
      <w:r w:rsidRPr="00873C4C">
        <w:rPr>
          <w:color w:val="000000"/>
        </w:rPr>
        <w:t xml:space="preserve">still remains </w:t>
      </w:r>
      <w:r w:rsidR="00743C4F">
        <w:rPr>
          <w:color w:val="000000"/>
        </w:rPr>
        <w:t xml:space="preserve">one </w:t>
      </w:r>
      <w:r w:rsidR="005502A3" w:rsidRPr="005502A3">
        <w:rPr>
          <w:color w:val="000000"/>
        </w:rPr>
        <w:t xml:space="preserve">of the drugs used to treat ENL. </w:t>
      </w:r>
    </w:p>
    <w:p w:rsidR="00012637" w:rsidRPr="00873C4C" w:rsidRDefault="00012637" w:rsidP="00057B42">
      <w:pPr>
        <w:spacing w:before="100" w:beforeAutospacing="1" w:after="100" w:afterAutospacing="1" w:line="360" w:lineRule="auto"/>
        <w:jc w:val="both"/>
        <w:rPr>
          <w:color w:val="000000"/>
        </w:rPr>
      </w:pPr>
      <w:r w:rsidRPr="00873C4C">
        <w:rPr>
          <w:rFonts w:eastAsia="Times New Roman"/>
          <w:color w:val="000000"/>
        </w:rPr>
        <w:t>Gilla Kaplan at Rockefeller University, US</w:t>
      </w:r>
      <w:r w:rsidR="000D4DD6" w:rsidRPr="00873C4C">
        <w:rPr>
          <w:rFonts w:eastAsia="Times New Roman"/>
          <w:color w:val="000000"/>
        </w:rPr>
        <w:t>A</w:t>
      </w:r>
      <w:r w:rsidRPr="00873C4C">
        <w:rPr>
          <w:rFonts w:eastAsia="Times New Roman"/>
          <w:color w:val="000000"/>
        </w:rPr>
        <w:t>, wanted to know how thalidomide works in treating EN</w:t>
      </w:r>
      <w:r w:rsidR="000D4DD6" w:rsidRPr="00873C4C">
        <w:rPr>
          <w:rFonts w:eastAsia="Times New Roman"/>
          <w:color w:val="000000"/>
        </w:rPr>
        <w:t xml:space="preserve">L. She has interest in two </w:t>
      </w:r>
      <w:r w:rsidR="00647448" w:rsidRPr="00873C4C">
        <w:rPr>
          <w:rFonts w:eastAsia="Times New Roman"/>
          <w:color w:val="000000"/>
        </w:rPr>
        <w:t>diseases</w:t>
      </w:r>
      <w:r w:rsidRPr="00873C4C">
        <w:rPr>
          <w:rFonts w:eastAsia="Times New Roman"/>
          <w:color w:val="000000"/>
        </w:rPr>
        <w:t xml:space="preserve">: tuberculosis and </w:t>
      </w:r>
      <w:r w:rsidR="000D4DD6" w:rsidRPr="00873C4C">
        <w:rPr>
          <w:rFonts w:eastAsia="Times New Roman"/>
          <w:color w:val="000000"/>
        </w:rPr>
        <w:t>ENL</w:t>
      </w:r>
      <w:r w:rsidRPr="00873C4C">
        <w:rPr>
          <w:rFonts w:eastAsia="Times New Roman"/>
          <w:color w:val="000000"/>
        </w:rPr>
        <w:t>, both of which are caused by mycobacteria. She began to look at the immune system for clues. One clue was that ENL patients have elevated levels of TNF-a</w:t>
      </w:r>
      <w:r w:rsidR="00743C4F">
        <w:rPr>
          <w:rFonts w:eastAsia="Times New Roman"/>
          <w:color w:val="000000"/>
        </w:rPr>
        <w:t>lpha</w:t>
      </w:r>
      <w:r w:rsidRPr="00873C4C">
        <w:rPr>
          <w:rFonts w:eastAsia="Times New Roman"/>
          <w:color w:val="000000"/>
        </w:rPr>
        <w:t xml:space="preserve"> (tumour necrosis factor alpha), which is responsible for the tissue inflammation accompanying the body's immune response to these diseases</w:t>
      </w:r>
      <w:r w:rsidRPr="00873C4C">
        <w:rPr>
          <w:color w:val="000000"/>
        </w:rPr>
        <w:t xml:space="preserve">. </w:t>
      </w:r>
      <w:r w:rsidRPr="00873C4C">
        <w:rPr>
          <w:rFonts w:eastAsia="Times New Roman"/>
          <w:color w:val="000000"/>
        </w:rPr>
        <w:t>In 1987, David Stirling, at Celgene, a new, small pharmaceutical company in Warren, New Jersey, was looking to develop a drug that could help combat the growing problem of tuberculosis in Aids patients. He contacted one of the leading authorities on tuberculosis, Gilla Kaplan. She told him about her work with thalidomide</w:t>
      </w:r>
      <w:r w:rsidRPr="00873C4C">
        <w:rPr>
          <w:color w:val="000000"/>
        </w:rPr>
        <w:t xml:space="preserve">. </w:t>
      </w:r>
      <w:r w:rsidRPr="00873C4C">
        <w:rPr>
          <w:rFonts w:eastAsia="Times New Roman"/>
          <w:color w:val="000000"/>
        </w:rPr>
        <w:t>Stirling and his group, in collaboration with Kaplan, have demonstrated that thalidomide and several of its analogues not only inhibit TNF-a but also stimulate T cell responses</w:t>
      </w:r>
      <w:r w:rsidRPr="00873C4C">
        <w:rPr>
          <w:color w:val="000000"/>
        </w:rPr>
        <w:t xml:space="preserve"> an </w:t>
      </w:r>
      <w:r w:rsidR="006100C4" w:rsidRPr="00873C4C">
        <w:rPr>
          <w:rFonts w:eastAsia="Times New Roman"/>
          <w:color w:val="000000"/>
        </w:rPr>
        <w:t>Immunomodulatory</w:t>
      </w:r>
      <w:r w:rsidRPr="00873C4C">
        <w:rPr>
          <w:color w:val="000000"/>
        </w:rPr>
        <w:t xml:space="preserve"> property. </w:t>
      </w:r>
    </w:p>
    <w:p w:rsidR="0074571E" w:rsidRDefault="00012637" w:rsidP="00057B42">
      <w:pPr>
        <w:spacing w:before="100" w:beforeAutospacing="1" w:after="100" w:afterAutospacing="1" w:line="360" w:lineRule="auto"/>
        <w:jc w:val="both"/>
        <w:rPr>
          <w:rFonts w:eastAsia="Times New Roman"/>
          <w:color w:val="000000"/>
        </w:rPr>
      </w:pPr>
      <w:r w:rsidRPr="00873C4C">
        <w:rPr>
          <w:color w:val="000000"/>
        </w:rPr>
        <w:t>The (U.</w:t>
      </w:r>
      <w:r w:rsidR="005B6E59" w:rsidRPr="00873C4C">
        <w:rPr>
          <w:color w:val="000000"/>
        </w:rPr>
        <w:t>S. Food and Drug Administration</w:t>
      </w:r>
      <w:r w:rsidRPr="00873C4C">
        <w:rPr>
          <w:color w:val="000000"/>
        </w:rPr>
        <w:t xml:space="preserve">) FDA approved thalidomide in 1998, under a restricted access system, for the treatment of </w:t>
      </w:r>
      <w:r w:rsidR="000D4DD6" w:rsidRPr="00873C4C">
        <w:rPr>
          <w:rFonts w:eastAsia="Times New Roman"/>
          <w:color w:val="000000"/>
        </w:rPr>
        <w:t>ENL</w:t>
      </w:r>
      <w:r w:rsidR="000D4DD6" w:rsidRPr="00873C4C">
        <w:rPr>
          <w:color w:val="000000"/>
        </w:rPr>
        <w:t xml:space="preserve"> </w:t>
      </w:r>
      <w:r w:rsidRPr="00873C4C">
        <w:rPr>
          <w:color w:val="000000"/>
        </w:rPr>
        <w:t>associated with leprosy (Hansen's disease)</w:t>
      </w:r>
      <w:r w:rsidR="000D4DD6" w:rsidRPr="00873C4C">
        <w:rPr>
          <w:color w:val="000000"/>
        </w:rPr>
        <w:t>.</w:t>
      </w:r>
      <w:r w:rsidR="005B6E59" w:rsidRPr="00873C4C">
        <w:rPr>
          <w:rFonts w:eastAsia="Times New Roman"/>
          <w:color w:val="000000"/>
        </w:rPr>
        <w:t>Based on</w:t>
      </w:r>
      <w:r w:rsidRPr="00873C4C">
        <w:rPr>
          <w:rFonts w:eastAsia="Times New Roman"/>
          <w:color w:val="000000"/>
        </w:rPr>
        <w:t xml:space="preserve"> earlier studies, </w:t>
      </w:r>
      <w:r w:rsidR="005B6E59" w:rsidRPr="00873C4C">
        <w:rPr>
          <w:rFonts w:eastAsia="Times New Roman"/>
          <w:color w:val="000000"/>
        </w:rPr>
        <w:t xml:space="preserve">Dr </w:t>
      </w:r>
      <w:r w:rsidRPr="00873C4C">
        <w:rPr>
          <w:rFonts w:eastAsia="Times New Roman"/>
          <w:color w:val="000000"/>
        </w:rPr>
        <w:t>Bart Barlogie at the University of Arkansas decided to see whether thalidomide might have any effect on cancer.</w:t>
      </w:r>
    </w:p>
    <w:p w:rsidR="00012637" w:rsidRPr="00873C4C" w:rsidRDefault="00012637" w:rsidP="00057B42">
      <w:pPr>
        <w:spacing w:before="100" w:beforeAutospacing="1" w:after="100" w:afterAutospacing="1" w:line="360" w:lineRule="auto"/>
        <w:jc w:val="both"/>
        <w:rPr>
          <w:color w:val="000000"/>
        </w:rPr>
      </w:pPr>
      <w:r w:rsidRPr="00873C4C">
        <w:rPr>
          <w:rFonts w:eastAsia="Times New Roman"/>
          <w:color w:val="000000"/>
        </w:rPr>
        <w:lastRenderedPageBreak/>
        <w:t xml:space="preserve"> In 1999, </w:t>
      </w:r>
      <w:r w:rsidR="0074571E" w:rsidRPr="0074571E">
        <w:rPr>
          <w:rFonts w:eastAsia="Times New Roman"/>
          <w:color w:val="000000"/>
        </w:rPr>
        <w:t>Singhal</w:t>
      </w:r>
      <w:r w:rsidR="0074571E">
        <w:rPr>
          <w:rFonts w:eastAsia="Times New Roman"/>
          <w:color w:val="000000"/>
        </w:rPr>
        <w:t xml:space="preserve"> and </w:t>
      </w:r>
      <w:r w:rsidRPr="00873C4C">
        <w:rPr>
          <w:rFonts w:eastAsia="Times New Roman"/>
          <w:color w:val="000000"/>
        </w:rPr>
        <w:t xml:space="preserve">Barlogie's group reported the results of studies of 84 patients </w:t>
      </w:r>
      <w:r w:rsidRPr="00873C4C">
        <w:rPr>
          <w:color w:val="000000"/>
        </w:rPr>
        <w:t xml:space="preserve">with advanced </w:t>
      </w:r>
      <w:r w:rsidR="000D4DD6" w:rsidRPr="00873C4C">
        <w:rPr>
          <w:color w:val="000000"/>
        </w:rPr>
        <w:t>MM.</w:t>
      </w:r>
      <w:r w:rsidRPr="00873C4C">
        <w:rPr>
          <w:color w:val="000000"/>
        </w:rPr>
        <w:t xml:space="preserve"> </w:t>
      </w:r>
      <w:r w:rsidRPr="00873C4C">
        <w:rPr>
          <w:rFonts w:eastAsia="Times New Roman"/>
          <w:color w:val="000000"/>
        </w:rPr>
        <w:t>Treatment with thalidomide gave some interesting results: about a third of patients showed a significant reduction in cancer progression</w:t>
      </w:r>
      <w:r w:rsidRPr="00873C4C">
        <w:rPr>
          <w:color w:val="000000"/>
        </w:rPr>
        <w:t xml:space="preserve"> with some</w:t>
      </w:r>
      <w:r w:rsidR="00743C4F">
        <w:rPr>
          <w:rFonts w:eastAsia="Times New Roman"/>
          <w:color w:val="000000"/>
        </w:rPr>
        <w:t xml:space="preserve"> patients achieving </w:t>
      </w:r>
      <w:r w:rsidRPr="00873C4C">
        <w:rPr>
          <w:rFonts w:eastAsia="Times New Roman"/>
          <w:color w:val="000000"/>
        </w:rPr>
        <w:t xml:space="preserve">complete remission. </w:t>
      </w:r>
      <w:r w:rsidR="005B6E59" w:rsidRPr="00873C4C">
        <w:rPr>
          <w:rFonts w:eastAsia="Times New Roman"/>
          <w:color w:val="000000"/>
        </w:rPr>
        <w:t>At t</w:t>
      </w:r>
      <w:r w:rsidRPr="00873C4C">
        <w:rPr>
          <w:rFonts w:eastAsia="Times New Roman"/>
          <w:color w:val="000000"/>
        </w:rPr>
        <w:t xml:space="preserve">he </w:t>
      </w:r>
      <w:r w:rsidR="005B6E59" w:rsidRPr="00873C4C">
        <w:rPr>
          <w:rFonts w:eastAsia="Times New Roman"/>
          <w:color w:val="000000"/>
        </w:rPr>
        <w:t xml:space="preserve">time </w:t>
      </w:r>
      <w:r w:rsidR="00743C4F">
        <w:rPr>
          <w:rFonts w:eastAsia="Times New Roman"/>
          <w:color w:val="000000"/>
        </w:rPr>
        <w:t xml:space="preserve">the </w:t>
      </w:r>
      <w:r w:rsidRPr="00873C4C">
        <w:rPr>
          <w:rFonts w:eastAsia="Times New Roman"/>
          <w:color w:val="000000"/>
        </w:rPr>
        <w:t xml:space="preserve">exact mechanism </w:t>
      </w:r>
      <w:r w:rsidR="005B6E59" w:rsidRPr="00873C4C">
        <w:rPr>
          <w:rFonts w:eastAsia="Times New Roman"/>
          <w:color w:val="000000"/>
        </w:rPr>
        <w:t xml:space="preserve">of </w:t>
      </w:r>
      <w:r w:rsidR="00B613C8" w:rsidRPr="00873C4C">
        <w:rPr>
          <w:rFonts w:eastAsia="Times New Roman"/>
          <w:color w:val="000000"/>
        </w:rPr>
        <w:t>anti-myeloma</w:t>
      </w:r>
      <w:r w:rsidR="005B6E59" w:rsidRPr="00873C4C">
        <w:rPr>
          <w:rFonts w:eastAsia="Times New Roman"/>
          <w:color w:val="000000"/>
        </w:rPr>
        <w:t xml:space="preserve"> </w:t>
      </w:r>
      <w:r w:rsidRPr="00873C4C">
        <w:rPr>
          <w:rFonts w:eastAsia="Times New Roman"/>
          <w:color w:val="000000"/>
        </w:rPr>
        <w:t>was unknown, but it was likely that thalidomide was working as an anti-angiogenic agent</w:t>
      </w:r>
      <w:r w:rsidRPr="00873C4C">
        <w:rPr>
          <w:color w:val="000000"/>
        </w:rPr>
        <w:t>. On May 26, 2006, FDA granted accelerated approval for thalidomide (Thalomid, Celgene Corporation) for the treatment of newly diagnosed MM patients</w:t>
      </w:r>
      <w:r w:rsidR="000D4DD6" w:rsidRPr="00873C4C">
        <w:rPr>
          <w:color w:val="000000"/>
        </w:rPr>
        <w:t>.</w:t>
      </w:r>
    </w:p>
    <w:p w:rsidR="00012637" w:rsidRDefault="00012637" w:rsidP="00057B42">
      <w:pPr>
        <w:spacing w:before="100" w:beforeAutospacing="1" w:after="100" w:afterAutospacing="1" w:line="360" w:lineRule="auto"/>
        <w:jc w:val="both"/>
        <w:rPr>
          <w:color w:val="000000"/>
        </w:rPr>
      </w:pPr>
      <w:r w:rsidRPr="00873C4C">
        <w:rPr>
          <w:color w:val="000000"/>
        </w:rPr>
        <w:t>At this moment in time, studies are still underway to see if this drug could help with other cancer treatment. Thalidomide is also being investigated in HIV-related symptoms by reducing inflammation (blocking TNF), prostate cancer, glioblastoma, and Crohn's disease</w:t>
      </w:r>
      <w:r w:rsidR="000D4DD6" w:rsidRPr="00873C4C">
        <w:rPr>
          <w:color w:val="000000"/>
        </w:rPr>
        <w:t xml:space="preserve"> </w:t>
      </w:r>
      <w:r w:rsidR="000D4DD6" w:rsidRPr="00873C4C">
        <w:rPr>
          <w:color w:val="000000"/>
        </w:rPr>
        <w:fldChar w:fldCharType="begin">
          <w:fldData xml:space="preserve">PEVuZE5vdGU+PENpdGU+PEF1dGhvcj5TaGFubm9uPC9BdXRob3I+PFllYXI+MjAwNzwvWWVhcj48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</w:fldData>
        </w:fldChar>
      </w:r>
      <w:r w:rsidR="00493517">
        <w:rPr>
          <w:color w:val="000000"/>
        </w:rPr>
        <w:instrText xml:space="preserve"> ADDIN EN.CITE </w:instrText>
      </w:r>
      <w:r w:rsidR="00493517">
        <w:rPr>
          <w:color w:val="000000"/>
        </w:rPr>
        <w:fldChar w:fldCharType="begin">
          <w:fldData xml:space="preserve">PEVuZE5vdGU+PENpdGU+PEF1dGhvcj5TaGFubm9uPC9BdXRob3I+PFllYXI+MjAwNzwvWWVhcj48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</w:fldData>
        </w:fldChar>
      </w:r>
      <w:r w:rsidR="00493517">
        <w:rPr>
          <w:color w:val="000000"/>
        </w:rPr>
        <w:instrText xml:space="preserve"> ADDIN EN.CITE.DATA </w:instrText>
      </w:r>
      <w:r w:rsidR="00493517">
        <w:rPr>
          <w:color w:val="000000"/>
        </w:rPr>
      </w:r>
      <w:r w:rsidR="00493517">
        <w:rPr>
          <w:color w:val="000000"/>
        </w:rPr>
        <w:fldChar w:fldCharType="end"/>
      </w:r>
      <w:r w:rsidR="000D4DD6" w:rsidRPr="00873C4C">
        <w:rPr>
          <w:color w:val="000000"/>
        </w:rPr>
      </w:r>
      <w:r w:rsidR="000D4DD6" w:rsidRPr="00873C4C">
        <w:rPr>
          <w:color w:val="000000"/>
        </w:rPr>
        <w:fldChar w:fldCharType="separate"/>
      </w:r>
      <w:r w:rsidR="006F41FE">
        <w:rPr>
          <w:noProof/>
          <w:color w:val="000000"/>
        </w:rPr>
        <w:t>(</w:t>
      </w:r>
      <w:hyperlink w:anchor="_ENREF_381" w:tooltip="Shannon, 2007 #6484" w:history="1">
        <w:r w:rsidR="004A784D">
          <w:rPr>
            <w:noProof/>
            <w:color w:val="000000"/>
          </w:rPr>
          <w:t>Shannon et al., 2007</w:t>
        </w:r>
      </w:hyperlink>
      <w:r w:rsidR="006F41FE">
        <w:rPr>
          <w:noProof/>
          <w:color w:val="000000"/>
        </w:rPr>
        <w:t>)</w:t>
      </w:r>
      <w:r w:rsidR="000D4DD6" w:rsidRPr="00873C4C">
        <w:rPr>
          <w:color w:val="000000"/>
        </w:rPr>
        <w:fldChar w:fldCharType="end"/>
      </w:r>
      <w:r w:rsidR="000D4DD6" w:rsidRPr="00873C4C">
        <w:rPr>
          <w:color w:val="000000"/>
        </w:rPr>
        <w:t xml:space="preserve">.  </w:t>
      </w:r>
    </w:p>
    <w:p w:rsidR="003473F8" w:rsidRPr="003473F8" w:rsidRDefault="0092498C" w:rsidP="00645687">
      <w:pPr>
        <w:pStyle w:val="Heading3"/>
      </w:pPr>
      <w:bookmarkStart w:id="198" w:name="_Toc260495790"/>
      <w:bookmarkStart w:id="199" w:name="_Toc260496041"/>
      <w:bookmarkStart w:id="200" w:name="_Toc260500434"/>
      <w:bookmarkStart w:id="201" w:name="_Toc261098460"/>
      <w:bookmarkStart w:id="202" w:name="_Toc305759116"/>
      <w:r w:rsidRPr="00873C4C">
        <w:tab/>
      </w:r>
      <w:bookmarkStart w:id="203" w:name="_Toc306570544"/>
      <w:bookmarkStart w:id="204" w:name="_Toc307067609"/>
      <w:bookmarkStart w:id="205" w:name="_Toc312169168"/>
      <w:bookmarkStart w:id="206" w:name="_Toc312172095"/>
      <w:bookmarkStart w:id="207" w:name="_Toc312257644"/>
      <w:r w:rsidR="00496FA5" w:rsidRPr="00873C4C">
        <w:t>Pharmacokinetics</w:t>
      </w:r>
      <w:bookmarkEnd w:id="198"/>
      <w:bookmarkEnd w:id="199"/>
      <w:bookmarkEnd w:id="200"/>
      <w:bookmarkEnd w:id="201"/>
      <w:bookmarkEnd w:id="202"/>
      <w:bookmarkEnd w:id="203"/>
      <w:bookmarkEnd w:id="204"/>
      <w:bookmarkEnd w:id="205"/>
      <w:bookmarkEnd w:id="206"/>
      <w:bookmarkEnd w:id="207"/>
      <w:r w:rsidR="00496FA5" w:rsidRPr="00873C4C">
        <w:t xml:space="preserve"> </w:t>
      </w:r>
    </w:p>
    <w:p w:rsidR="00496FA5" w:rsidRDefault="00496FA5" w:rsidP="00057B42">
      <w:pPr>
        <w:spacing w:line="360" w:lineRule="auto"/>
        <w:jc w:val="both"/>
        <w:rPr>
          <w:color w:val="000000"/>
          <w:shd w:val="clear" w:color="auto" w:fill="FFFFFF"/>
        </w:rPr>
      </w:pPr>
      <w:r w:rsidRPr="00873C4C">
        <w:rPr>
          <w:color w:val="000000"/>
        </w:rPr>
        <w:t xml:space="preserve">Thalidomide, when taken orally absorbs slowly from the gastrointestinal tract. It is less soluble in the gastrointestinal tract. Thalidomide is sparingly soluble in water so there is no intravenous preparation for administration. It undergoes spontaneous hydrolysis in aqueous solution at pH 7.0. Thalidomide is a lipophilic substance and so, can be distributed throughout the body. It can also cross the placenta and the blood brain barrier. Thalidomide is metabolized by cytochrome P450 isozyme and converted into active metabolites. Maximum serum concentration of a </w:t>
      </w:r>
      <w:r w:rsidR="00647448" w:rsidRPr="00873C4C">
        <w:rPr>
          <w:color w:val="000000"/>
        </w:rPr>
        <w:t>200 mg</w:t>
      </w:r>
      <w:r w:rsidRPr="00873C4C">
        <w:rPr>
          <w:color w:val="000000"/>
        </w:rPr>
        <w:t xml:space="preserve"> dose of thalidomide is reached within a mean of 4 hours. Thalidomide metabolites can be rapidly excreted in urine whereas </w:t>
      </w:r>
      <w:r w:rsidR="00743C4F">
        <w:rPr>
          <w:color w:val="000000"/>
        </w:rPr>
        <w:t xml:space="preserve">the </w:t>
      </w:r>
      <w:r w:rsidR="00743C4F" w:rsidRPr="00873C4C">
        <w:rPr>
          <w:color w:val="000000"/>
        </w:rPr>
        <w:t>non-absorbed</w:t>
      </w:r>
      <w:r w:rsidRPr="00873C4C">
        <w:rPr>
          <w:color w:val="000000"/>
        </w:rPr>
        <w:t xml:space="preserve"> part is excreted in faeces. </w:t>
      </w:r>
      <w:r w:rsidRPr="00873C4C">
        <w:rPr>
          <w:color w:val="000000"/>
          <w:shd w:val="clear" w:color="auto" w:fill="FFFFFF"/>
        </w:rPr>
        <w:t xml:space="preserve">Pharmacokinetics of the hepatic and renal function has not been established. Over 90% of the absorbed dose is excreted in urine and faeces within 48 hours. The mean elimination </w:t>
      </w:r>
      <w:r w:rsidR="00907F6D" w:rsidRPr="00873C4C">
        <w:rPr>
          <w:color w:val="000000"/>
          <w:shd w:val="clear" w:color="auto" w:fill="FFFFFF"/>
        </w:rPr>
        <w:t>half-life</w:t>
      </w:r>
      <w:r w:rsidRPr="00873C4C">
        <w:rPr>
          <w:color w:val="000000"/>
          <w:shd w:val="clear" w:color="auto" w:fill="FFFFFF"/>
        </w:rPr>
        <w:t xml:space="preserve"> is about 5 to 7 hours after a single dose and does not change with repeated dosing. Thalidomide itself has a renal clearance of 1.15 ml/min with less than 0.7% of the dose excreted in urine unchanged. Age, sex and smoking have no effect on the </w:t>
      </w:r>
      <w:r w:rsidR="00647448" w:rsidRPr="00873C4C">
        <w:rPr>
          <w:color w:val="000000"/>
          <w:shd w:val="clear" w:color="auto" w:fill="FFFFFF"/>
        </w:rPr>
        <w:t xml:space="preserve">toxic </w:t>
      </w:r>
      <w:r w:rsidR="005502A3" w:rsidRPr="005502A3">
        <w:rPr>
          <w:color w:val="000000"/>
          <w:shd w:val="clear" w:color="auto" w:fill="FFFFFF"/>
        </w:rPr>
        <w:t>kinetics</w:t>
      </w:r>
      <w:r w:rsidRPr="00873C4C">
        <w:rPr>
          <w:color w:val="000000"/>
          <w:shd w:val="clear" w:color="auto" w:fill="FFFFFF"/>
        </w:rPr>
        <w:t xml:space="preserve"> of thalidomide. Food also has minimum </w:t>
      </w:r>
      <w:r w:rsidR="00647448" w:rsidRPr="00873C4C">
        <w:rPr>
          <w:color w:val="000000"/>
          <w:shd w:val="clear" w:color="auto" w:fill="FFFFFF"/>
        </w:rPr>
        <w:t>toxic kinetic</w:t>
      </w:r>
      <w:r w:rsidRPr="00873C4C">
        <w:rPr>
          <w:color w:val="000000"/>
          <w:shd w:val="clear" w:color="auto" w:fill="FFFFFF"/>
        </w:rPr>
        <w:t xml:space="preserve"> effect</w:t>
      </w:r>
      <w:r w:rsidR="000D4DD6" w:rsidRPr="00873C4C">
        <w:rPr>
          <w:color w:val="000000"/>
          <w:shd w:val="clear" w:color="auto" w:fill="FFFFFF"/>
        </w:rPr>
        <w:t xml:space="preserve"> </w:t>
      </w:r>
      <w:r w:rsidR="000D4DD6" w:rsidRPr="00873C4C">
        <w:rPr>
          <w:color w:val="000000"/>
          <w:shd w:val="clear" w:color="auto" w:fill="FFFFFF"/>
        </w:rPr>
        <w:fldChar w:fldCharType="begin">
          <w:fldData xml:space="preserve">PEVuZE5vdGU+PENpdGU+PEF1dGhvcj5LYW1pa2F3YTwvQXV0aG9yPjxZZWFyPjIwMDY8L1llYXI+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</w:fldData>
        </w:fldChar>
      </w:r>
      <w:r w:rsidR="006F41FE">
        <w:rPr>
          <w:color w:val="000000"/>
          <w:shd w:val="clear" w:color="auto" w:fill="FFFFFF"/>
        </w:rPr>
        <w:instrText xml:space="preserve"> ADDIN EN.CITE </w:instrText>
      </w:r>
      <w:r w:rsidR="006F41FE">
        <w:rPr>
          <w:color w:val="000000"/>
          <w:shd w:val="clear" w:color="auto" w:fill="FFFFFF"/>
        </w:rPr>
        <w:fldChar w:fldCharType="begin">
          <w:fldData xml:space="preserve">PEVuZE5vdGU+PENpdGU+PEF1dGhvcj5LYW1pa2F3YTwvQXV0aG9yPjxZZWFyPjIwMDY8L1llYXI+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</w:fldData>
        </w:fldChar>
      </w:r>
      <w:r w:rsidR="006F41FE">
        <w:rPr>
          <w:color w:val="000000"/>
          <w:shd w:val="clear" w:color="auto" w:fill="FFFFFF"/>
        </w:rPr>
        <w:instrText xml:space="preserve"> ADDIN EN.CITE.DATA </w:instrText>
      </w:r>
      <w:r w:rsidR="006F41FE">
        <w:rPr>
          <w:color w:val="000000"/>
          <w:shd w:val="clear" w:color="auto" w:fill="FFFFFF"/>
        </w:rPr>
      </w:r>
      <w:r w:rsidR="006F41FE">
        <w:rPr>
          <w:color w:val="000000"/>
          <w:shd w:val="clear" w:color="auto" w:fill="FFFFFF"/>
        </w:rPr>
        <w:fldChar w:fldCharType="end"/>
      </w:r>
      <w:r w:rsidR="000D4DD6" w:rsidRPr="00873C4C">
        <w:rPr>
          <w:color w:val="000000"/>
          <w:shd w:val="clear" w:color="auto" w:fill="FFFFFF"/>
        </w:rPr>
      </w:r>
      <w:r w:rsidR="000D4DD6" w:rsidRPr="00873C4C">
        <w:rPr>
          <w:color w:val="000000"/>
          <w:shd w:val="clear" w:color="auto" w:fill="FFFFFF"/>
        </w:rPr>
        <w:fldChar w:fldCharType="separate"/>
      </w:r>
      <w:r w:rsidR="006F41FE">
        <w:rPr>
          <w:noProof/>
          <w:color w:val="000000"/>
          <w:shd w:val="clear" w:color="auto" w:fill="FFFFFF"/>
        </w:rPr>
        <w:t>(</w:t>
      </w:r>
      <w:hyperlink w:anchor="_ENREF_199" w:tooltip="Kamikawa, 2006 #3575" w:history="1">
        <w:r w:rsidR="004A784D">
          <w:rPr>
            <w:noProof/>
            <w:color w:val="000000"/>
            <w:shd w:val="clear" w:color="auto" w:fill="FFFFFF"/>
          </w:rPr>
          <w:t>Kamikawa et al., 2006</w:t>
        </w:r>
      </w:hyperlink>
      <w:r w:rsidR="006F41FE">
        <w:rPr>
          <w:noProof/>
          <w:color w:val="000000"/>
          <w:shd w:val="clear" w:color="auto" w:fill="FFFFFF"/>
        </w:rPr>
        <w:t xml:space="preserve">, </w:t>
      </w:r>
      <w:hyperlink w:anchor="_ENREF_56" w:tooltip="Breitkreutz, 2008 #332" w:history="1">
        <w:r w:rsidR="004A784D">
          <w:rPr>
            <w:noProof/>
            <w:color w:val="000000"/>
            <w:shd w:val="clear" w:color="auto" w:fill="FFFFFF"/>
          </w:rPr>
          <w:t>Breitkreutz and Anderson, 2008</w:t>
        </w:r>
      </w:hyperlink>
      <w:r w:rsidR="006F41FE">
        <w:rPr>
          <w:noProof/>
          <w:color w:val="000000"/>
          <w:shd w:val="clear" w:color="auto" w:fill="FFFFFF"/>
        </w:rPr>
        <w:t>)</w:t>
      </w:r>
      <w:r w:rsidR="000D4DD6" w:rsidRPr="00873C4C">
        <w:rPr>
          <w:color w:val="000000"/>
          <w:shd w:val="clear" w:color="auto" w:fill="FFFFFF"/>
        </w:rPr>
        <w:fldChar w:fldCharType="end"/>
      </w:r>
      <w:r w:rsidRPr="00873C4C">
        <w:rPr>
          <w:color w:val="000000"/>
          <w:shd w:val="clear" w:color="auto" w:fill="FFFFFF"/>
        </w:rPr>
        <w:t>.</w:t>
      </w:r>
    </w:p>
    <w:p w:rsidR="00E53409" w:rsidRDefault="00E53409" w:rsidP="00057B42">
      <w:pPr>
        <w:spacing w:line="360" w:lineRule="auto"/>
        <w:jc w:val="both"/>
        <w:rPr>
          <w:color w:val="000000"/>
          <w:shd w:val="clear" w:color="auto" w:fill="FFFFFF"/>
        </w:rPr>
      </w:pPr>
    </w:p>
    <w:p w:rsidR="00E53409" w:rsidRPr="00873C4C" w:rsidRDefault="00E53409" w:rsidP="00057B42">
      <w:pPr>
        <w:spacing w:line="360" w:lineRule="auto"/>
        <w:jc w:val="both"/>
        <w:rPr>
          <w:color w:val="000000"/>
          <w:shd w:val="clear" w:color="auto" w:fill="FFFFFF"/>
        </w:rPr>
      </w:pPr>
    </w:p>
    <w:p w:rsidR="00A32A32" w:rsidRPr="00873C4C" w:rsidRDefault="00A32A32" w:rsidP="00057B42">
      <w:pPr>
        <w:spacing w:line="360" w:lineRule="auto"/>
        <w:jc w:val="both"/>
        <w:rPr>
          <w:color w:val="000000"/>
          <w:shd w:val="clear" w:color="auto" w:fill="FFFFFF"/>
        </w:rPr>
      </w:pPr>
    </w:p>
    <w:p w:rsidR="003473F8" w:rsidRPr="003473F8" w:rsidRDefault="0092498C" w:rsidP="00645687">
      <w:pPr>
        <w:pStyle w:val="Heading3"/>
      </w:pPr>
      <w:bookmarkStart w:id="208" w:name="_Toc260495791"/>
      <w:bookmarkStart w:id="209" w:name="_Toc260496042"/>
      <w:bookmarkStart w:id="210" w:name="_Toc260500435"/>
      <w:bookmarkStart w:id="211" w:name="_Toc261098461"/>
      <w:bookmarkStart w:id="212" w:name="_Toc305759117"/>
      <w:r w:rsidRPr="00873C4C">
        <w:lastRenderedPageBreak/>
        <w:tab/>
      </w:r>
      <w:bookmarkStart w:id="213" w:name="_Toc306570545"/>
      <w:bookmarkStart w:id="214" w:name="_Toc307067610"/>
      <w:bookmarkStart w:id="215" w:name="_Toc312169169"/>
      <w:bookmarkStart w:id="216" w:name="_Toc312172096"/>
      <w:bookmarkStart w:id="217" w:name="_Toc312257645"/>
      <w:r w:rsidR="00496FA5" w:rsidRPr="00873C4C">
        <w:t>Mechanism of action</w:t>
      </w:r>
      <w:bookmarkEnd w:id="208"/>
      <w:bookmarkEnd w:id="209"/>
      <w:bookmarkEnd w:id="210"/>
      <w:bookmarkEnd w:id="211"/>
      <w:bookmarkEnd w:id="212"/>
      <w:bookmarkEnd w:id="213"/>
      <w:bookmarkEnd w:id="214"/>
      <w:bookmarkEnd w:id="215"/>
      <w:bookmarkEnd w:id="216"/>
      <w:bookmarkEnd w:id="217"/>
    </w:p>
    <w:p w:rsidR="00496FA5" w:rsidRPr="00873C4C" w:rsidRDefault="00496FA5" w:rsidP="00057B42">
      <w:pPr>
        <w:spacing w:line="360" w:lineRule="auto"/>
        <w:jc w:val="both"/>
        <w:rPr>
          <w:color w:val="000000"/>
          <w:shd w:val="clear" w:color="auto" w:fill="FFFFFF"/>
        </w:rPr>
      </w:pPr>
      <w:r w:rsidRPr="00873C4C">
        <w:rPr>
          <w:color w:val="000000"/>
          <w:shd w:val="clear" w:color="auto" w:fill="FFFFFF"/>
        </w:rPr>
        <w:t>There is no clear mechanism as to how thalidomide affects the body. However, three main possible mechanisms have been proposed. These proposals are based on side effects patients experience after taking thalidomide</w:t>
      </w:r>
      <w:r w:rsidR="00743C4F">
        <w:rPr>
          <w:color w:val="000000"/>
          <w:shd w:val="clear" w:color="auto" w:fill="FFFFFF"/>
        </w:rPr>
        <w:t xml:space="preserve"> such as </w:t>
      </w:r>
      <w:r w:rsidR="007E7E53" w:rsidRPr="00873C4C">
        <w:rPr>
          <w:color w:val="000000"/>
          <w:shd w:val="clear" w:color="auto" w:fill="FFFFFF"/>
        </w:rPr>
        <w:t>birth defects, sedat</w:t>
      </w:r>
      <w:r w:rsidR="00743C4F">
        <w:rPr>
          <w:color w:val="000000"/>
          <w:shd w:val="clear" w:color="auto" w:fill="FFFFFF"/>
        </w:rPr>
        <w:t xml:space="preserve">ion, </w:t>
      </w:r>
      <w:r w:rsidR="007E7E53" w:rsidRPr="00873C4C">
        <w:rPr>
          <w:color w:val="000000"/>
          <w:shd w:val="clear" w:color="auto" w:fill="FFFFFF"/>
        </w:rPr>
        <w:t>risk of blood clots, vomiting, loss of appetite, swelling and fluid retention</w:t>
      </w:r>
      <w:r w:rsidRPr="00873C4C">
        <w:rPr>
          <w:color w:val="000000"/>
          <w:shd w:val="clear" w:color="auto" w:fill="FFFFFF"/>
        </w:rPr>
        <w:t xml:space="preserve">. </w:t>
      </w:r>
    </w:p>
    <w:p w:rsidR="00CE7847" w:rsidRDefault="00CE7847" w:rsidP="00057B42">
      <w:pPr>
        <w:spacing w:line="360" w:lineRule="auto"/>
        <w:jc w:val="both"/>
        <w:rPr>
          <w:color w:val="000000"/>
        </w:rPr>
      </w:pPr>
    </w:p>
    <w:p w:rsidR="005B0FB7" w:rsidRPr="00873C4C" w:rsidRDefault="00496FA5" w:rsidP="00057B42">
      <w:pPr>
        <w:spacing w:line="360" w:lineRule="auto"/>
        <w:jc w:val="both"/>
        <w:rPr>
          <w:color w:val="000000"/>
        </w:rPr>
      </w:pPr>
      <w:r w:rsidRPr="00873C4C">
        <w:rPr>
          <w:color w:val="000000"/>
        </w:rPr>
        <w:t xml:space="preserve">First proposed mechanism shows that the brain is a target of thalidomide. This is because; it was able to induce sleep in pregnant women. This also shows that, thalidomide stimulated the part of the brain responsible for sleep while inhibiting </w:t>
      </w:r>
      <w:r w:rsidR="003579FE" w:rsidRPr="003579FE">
        <w:rPr>
          <w:color w:val="000000"/>
        </w:rPr>
        <w:t xml:space="preserve">the part of the brain responsible </w:t>
      </w:r>
      <w:r w:rsidR="003579FE">
        <w:rPr>
          <w:color w:val="000000"/>
        </w:rPr>
        <w:t>f</w:t>
      </w:r>
      <w:r w:rsidRPr="00873C4C">
        <w:rPr>
          <w:color w:val="000000"/>
        </w:rPr>
        <w:t xml:space="preserve">or being alert or staying awake. Since thalidomide prevented normal limb growth of </w:t>
      </w:r>
      <w:r w:rsidR="00743C4F">
        <w:rPr>
          <w:color w:val="000000"/>
        </w:rPr>
        <w:t xml:space="preserve">the </w:t>
      </w:r>
      <w:r w:rsidRPr="00873C4C">
        <w:rPr>
          <w:color w:val="000000"/>
        </w:rPr>
        <w:t xml:space="preserve">foetus, the second mechanism proposed indicated that thalidomide inhibits angiogenesis and hence truncated foetal development. Thirdly, it has been proposed that thalidomide reduces inflammation since TNF-alpha production is blocked by thalidomide </w:t>
      </w:r>
      <w:r w:rsidRPr="00873C4C">
        <w:rPr>
          <w:color w:val="000000"/>
        </w:rPr>
        <w:fldChar w:fldCharType="begin">
          <w:fldData xml:space="preserve">PEVuZE5vdGU+PENpdGU+PEF1dGhvcj5PbGl2ZWlyYTwvQXV0aG9yPjxZZWFyPjIwMDk8L1llYXI+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</w:fldData>
        </w:fldChar>
      </w:r>
      <w:r w:rsidR="006F41FE">
        <w:rPr>
          <w:color w:val="000000"/>
        </w:rPr>
        <w:instrText xml:space="preserve"> ADDIN EN.CITE </w:instrText>
      </w:r>
      <w:r w:rsidR="006F41FE">
        <w:rPr>
          <w:color w:val="000000"/>
        </w:rPr>
        <w:fldChar w:fldCharType="begin">
          <w:fldData xml:space="preserve">PEVuZE5vdGU+PENpdGU+PEF1dGhvcj5PbGl2ZWlyYTwvQXV0aG9yPjxZZWFyPjIwMDk8L1llYXI+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299" w:tooltip="Oliveira, 2009 #265" w:history="1">
        <w:r w:rsidR="004A784D">
          <w:rPr>
            <w:noProof/>
            <w:color w:val="000000"/>
          </w:rPr>
          <w:t>Oliveira et al., 2009</w:t>
        </w:r>
      </w:hyperlink>
      <w:r w:rsidR="006F41FE">
        <w:rPr>
          <w:noProof/>
          <w:color w:val="000000"/>
        </w:rPr>
        <w:t>)</w:t>
      </w:r>
      <w:r w:rsidRPr="00873C4C">
        <w:rPr>
          <w:color w:val="000000"/>
        </w:rPr>
        <w:fldChar w:fldCharType="end"/>
      </w:r>
      <w:r w:rsidRPr="00873C4C">
        <w:rPr>
          <w:color w:val="000000"/>
        </w:rPr>
        <w:t xml:space="preserve">. </w:t>
      </w:r>
      <w:r w:rsidR="00A32A32" w:rsidRPr="00873C4C">
        <w:rPr>
          <w:color w:val="000000"/>
        </w:rPr>
        <w:t>In MM, the</w:t>
      </w:r>
      <w:r w:rsidRPr="00873C4C">
        <w:rPr>
          <w:color w:val="000000"/>
        </w:rPr>
        <w:t xml:space="preserve"> </w:t>
      </w:r>
      <w:r w:rsidR="00676041" w:rsidRPr="00873C4C">
        <w:rPr>
          <w:color w:val="000000"/>
        </w:rPr>
        <w:t>mechanism of action of thalidomide is</w:t>
      </w:r>
      <w:r w:rsidRPr="00873C4C">
        <w:rPr>
          <w:color w:val="000000"/>
        </w:rPr>
        <w:t xml:space="preserve"> more </w:t>
      </w:r>
      <w:r w:rsidR="005B0FB7" w:rsidRPr="00873C4C">
        <w:rPr>
          <w:color w:val="000000"/>
        </w:rPr>
        <w:t>complex.  Thalidomide was found to boost</w:t>
      </w:r>
      <w:r w:rsidR="00743C4F">
        <w:rPr>
          <w:color w:val="000000"/>
        </w:rPr>
        <w:t xml:space="preserve"> the </w:t>
      </w:r>
      <w:r w:rsidR="005B0FB7" w:rsidRPr="00873C4C">
        <w:rPr>
          <w:color w:val="000000"/>
        </w:rPr>
        <w:t xml:space="preserve">immune system of MM patients and by anti-angiogenesis </w:t>
      </w:r>
      <w:r w:rsidR="00676041" w:rsidRPr="00873C4C">
        <w:rPr>
          <w:color w:val="000000"/>
        </w:rPr>
        <w:t>property;</w:t>
      </w:r>
      <w:r w:rsidR="005B0FB7" w:rsidRPr="00873C4C">
        <w:rPr>
          <w:color w:val="000000"/>
        </w:rPr>
        <w:t xml:space="preserve"> </w:t>
      </w:r>
      <w:r w:rsidR="00676041" w:rsidRPr="00873C4C">
        <w:rPr>
          <w:color w:val="000000"/>
        </w:rPr>
        <w:t>it</w:t>
      </w:r>
      <w:r w:rsidR="005B0FB7" w:rsidRPr="00873C4C">
        <w:rPr>
          <w:color w:val="000000"/>
        </w:rPr>
        <w:t xml:space="preserve"> </w:t>
      </w:r>
      <w:r w:rsidR="00676041" w:rsidRPr="00873C4C">
        <w:rPr>
          <w:color w:val="000000"/>
        </w:rPr>
        <w:t>is capable</w:t>
      </w:r>
      <w:r w:rsidR="005B0FB7" w:rsidRPr="00873C4C">
        <w:rPr>
          <w:color w:val="000000"/>
        </w:rPr>
        <w:t xml:space="preserve"> of block</w:t>
      </w:r>
      <w:r w:rsidR="00907F6D">
        <w:rPr>
          <w:color w:val="000000"/>
        </w:rPr>
        <w:t xml:space="preserve">ing tumour cells’ blood supply </w:t>
      </w:r>
      <w:r w:rsidR="005B0FB7" w:rsidRPr="00873C4C">
        <w:rPr>
          <w:color w:val="000000"/>
        </w:rPr>
        <w:fldChar w:fldCharType="begin">
          <w:fldData xml:space="preserve">PEVuZE5vdGU+PENpdGU+PEF1dGhvcj5CbGFkZTwvQXV0aG9yPjxZZWFyPjIwMDg8L1llYXI+PFJl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</w:fldData>
        </w:fldChar>
      </w:r>
      <w:r w:rsidR="00413040">
        <w:rPr>
          <w:color w:val="000000"/>
        </w:rPr>
        <w:instrText xml:space="preserve"> ADDIN EN.CITE </w:instrText>
      </w:r>
      <w:r w:rsidR="00413040">
        <w:rPr>
          <w:color w:val="000000"/>
        </w:rPr>
        <w:fldChar w:fldCharType="begin">
          <w:fldData xml:space="preserve">PEVuZE5vdGU+PENpdGU+PEF1dGhvcj5CbGFkZTwvQXV0aG9yPjxZZWFyPjIwMDg8L1llYXI+PFJl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</w:fldData>
        </w:fldChar>
      </w:r>
      <w:r w:rsidR="00413040">
        <w:rPr>
          <w:color w:val="000000"/>
        </w:rPr>
        <w:instrText xml:space="preserve"> ADDIN EN.CITE.DATA </w:instrText>
      </w:r>
      <w:r w:rsidR="00413040">
        <w:rPr>
          <w:color w:val="000000"/>
        </w:rPr>
      </w:r>
      <w:r w:rsidR="00413040">
        <w:rPr>
          <w:color w:val="000000"/>
        </w:rPr>
        <w:fldChar w:fldCharType="end"/>
      </w:r>
      <w:r w:rsidR="005B0FB7" w:rsidRPr="00873C4C">
        <w:rPr>
          <w:color w:val="000000"/>
        </w:rPr>
      </w:r>
      <w:r w:rsidR="005B0FB7" w:rsidRPr="00873C4C">
        <w:rPr>
          <w:color w:val="000000"/>
        </w:rPr>
        <w:fldChar w:fldCharType="separate"/>
      </w:r>
      <w:r w:rsidR="006F41FE">
        <w:rPr>
          <w:noProof/>
          <w:color w:val="000000"/>
        </w:rPr>
        <w:t>(</w:t>
      </w:r>
      <w:hyperlink w:anchor="_ENREF_48" w:tooltip="Blade, 2008 #4996" w:history="1">
        <w:r w:rsidR="004A784D">
          <w:rPr>
            <w:noProof/>
            <w:color w:val="000000"/>
          </w:rPr>
          <w:t>Blade and Rosinol, 2008</w:t>
        </w:r>
      </w:hyperlink>
      <w:r w:rsidR="006F41FE">
        <w:rPr>
          <w:noProof/>
          <w:color w:val="000000"/>
        </w:rPr>
        <w:t xml:space="preserve">, </w:t>
      </w:r>
      <w:hyperlink w:anchor="_ENREF_34" w:tooltip="Barlogie, 2008 #286" w:history="1">
        <w:r w:rsidR="004A784D">
          <w:rPr>
            <w:noProof/>
            <w:color w:val="000000"/>
          </w:rPr>
          <w:t>Barlogie et al., 2008a</w:t>
        </w:r>
      </w:hyperlink>
      <w:r w:rsidR="006F41FE">
        <w:rPr>
          <w:noProof/>
          <w:color w:val="000000"/>
        </w:rPr>
        <w:t>)</w:t>
      </w:r>
      <w:r w:rsidR="005B0FB7" w:rsidRPr="00873C4C">
        <w:rPr>
          <w:color w:val="000000"/>
        </w:rPr>
        <w:fldChar w:fldCharType="end"/>
      </w:r>
      <w:r w:rsidR="005B0FB7" w:rsidRPr="00873C4C">
        <w:rPr>
          <w:color w:val="000000"/>
        </w:rPr>
        <w:t xml:space="preserve">. In MM patients, thalidomide also </w:t>
      </w:r>
      <w:r w:rsidR="00F72C96" w:rsidRPr="00873C4C">
        <w:rPr>
          <w:color w:val="000000"/>
        </w:rPr>
        <w:t>mediates</w:t>
      </w:r>
      <w:r w:rsidR="005B0FB7" w:rsidRPr="00873C4C">
        <w:rPr>
          <w:color w:val="000000"/>
        </w:rPr>
        <w:t xml:space="preserve"> through modulation of the </w:t>
      </w:r>
      <w:r w:rsidR="00983558" w:rsidRPr="00873C4C">
        <w:rPr>
          <w:color w:val="000000"/>
        </w:rPr>
        <w:t>bone marrow microenvironment</w:t>
      </w:r>
      <w:r w:rsidR="005B0FB7" w:rsidRPr="00873C4C">
        <w:rPr>
          <w:color w:val="000000"/>
        </w:rPr>
        <w:t>. These include down-regulation of stromal cell adhesion molecules, inhibition of secretion of angiogenic and survival growth factors, pleiotropic immunomodulatory effects including inhibition of tumour</w:t>
      </w:r>
      <w:r w:rsidR="00014753" w:rsidRPr="00873C4C">
        <w:rPr>
          <w:color w:val="000000"/>
        </w:rPr>
        <w:t xml:space="preserve"> necrosis factor-alpha (TNFa) </w:t>
      </w:r>
      <w:r w:rsidR="005B0FB7" w:rsidRPr="00873C4C">
        <w:rPr>
          <w:color w:val="000000"/>
        </w:rPr>
        <w:t xml:space="preserve">secretion, stimulation of IL2 and </w:t>
      </w:r>
      <w:r w:rsidR="005B0FB7" w:rsidRPr="00873C4C">
        <w:rPr>
          <w:bCs/>
          <w:color w:val="000000"/>
        </w:rPr>
        <w:t>Interferon-gamma</w:t>
      </w:r>
      <w:r w:rsidR="005B0FB7" w:rsidRPr="00873C4C">
        <w:rPr>
          <w:color w:val="000000"/>
        </w:rPr>
        <w:t>. Cellular targets include lymphocytes, monocytes, and NK cells</w:t>
      </w:r>
      <w:r w:rsidR="00A32A32" w:rsidRPr="00873C4C">
        <w:rPr>
          <w:color w:val="000000"/>
        </w:rPr>
        <w:t xml:space="preserve"> </w:t>
      </w:r>
      <w:r w:rsidR="005B0FB7" w:rsidRPr="00873C4C">
        <w:rPr>
          <w:color w:val="000000"/>
        </w:rPr>
        <w:fldChar w:fldCharType="begin">
          <w:fldData xml:space="preserve">PEVuZE5vdGU+PENpdGU+PEF1dGhvcj5BbmRlcnNvbjwvQXV0aG9yPjxZZWFyPjIwMDU8L1llYXI+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</w:fldData>
        </w:fldChar>
      </w:r>
      <w:r w:rsidR="006F41FE">
        <w:rPr>
          <w:color w:val="000000"/>
        </w:rPr>
        <w:instrText xml:space="preserve"> ADDIN EN.CITE </w:instrText>
      </w:r>
      <w:r w:rsidR="006F41FE">
        <w:rPr>
          <w:color w:val="000000"/>
        </w:rPr>
        <w:fldChar w:fldCharType="begin">
          <w:fldData xml:space="preserve">PEVuZE5vdGU+PENpdGU+PEF1dGhvcj5BbmRlcnNvbjwvQXV0aG9yPjxZZWFyPjIwMDU8L1llYXI+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</w:fldData>
        </w:fldChar>
      </w:r>
      <w:r w:rsidR="006F41FE">
        <w:rPr>
          <w:color w:val="000000"/>
        </w:rPr>
        <w:instrText xml:space="preserve"> ADDIN EN.CITE.DATA </w:instrText>
      </w:r>
      <w:r w:rsidR="006F41FE">
        <w:rPr>
          <w:color w:val="000000"/>
        </w:rPr>
      </w:r>
      <w:r w:rsidR="006F41FE">
        <w:rPr>
          <w:color w:val="000000"/>
        </w:rPr>
        <w:fldChar w:fldCharType="end"/>
      </w:r>
      <w:r w:rsidR="005B0FB7" w:rsidRPr="00873C4C">
        <w:rPr>
          <w:color w:val="000000"/>
        </w:rPr>
      </w:r>
      <w:r w:rsidR="005B0FB7" w:rsidRPr="00873C4C">
        <w:rPr>
          <w:color w:val="000000"/>
        </w:rPr>
        <w:fldChar w:fldCharType="separate"/>
      </w:r>
      <w:r w:rsidR="006F41FE">
        <w:rPr>
          <w:noProof/>
          <w:color w:val="000000"/>
        </w:rPr>
        <w:t>(</w:t>
      </w:r>
      <w:hyperlink w:anchor="_ENREF_21" w:tooltip="Anderson, 2005 #6" w:history="1">
        <w:r w:rsidR="004A784D">
          <w:rPr>
            <w:noProof/>
            <w:color w:val="000000"/>
          </w:rPr>
          <w:t>Anderson, 2005</w:t>
        </w:r>
      </w:hyperlink>
      <w:r w:rsidR="006F41FE">
        <w:rPr>
          <w:noProof/>
          <w:color w:val="000000"/>
        </w:rPr>
        <w:t xml:space="preserve">, </w:t>
      </w:r>
      <w:hyperlink w:anchor="_ENREF_457" w:tooltip="Yasui, 2005 #3979" w:history="1">
        <w:r w:rsidR="004A784D">
          <w:rPr>
            <w:noProof/>
            <w:color w:val="000000"/>
          </w:rPr>
          <w:t>Yasui et al., 2005</w:t>
        </w:r>
      </w:hyperlink>
      <w:r w:rsidR="006F41FE">
        <w:rPr>
          <w:noProof/>
          <w:color w:val="000000"/>
        </w:rPr>
        <w:t xml:space="preserve">, </w:t>
      </w:r>
      <w:hyperlink w:anchor="_ENREF_147" w:tooltip="Gockel, 2004 #1" w:history="1">
        <w:r w:rsidR="004A784D">
          <w:rPr>
            <w:noProof/>
            <w:color w:val="000000"/>
          </w:rPr>
          <w:t>Gockel et al., 2004</w:t>
        </w:r>
      </w:hyperlink>
      <w:r w:rsidR="006F41FE">
        <w:rPr>
          <w:noProof/>
          <w:color w:val="000000"/>
        </w:rPr>
        <w:t xml:space="preserve">, </w:t>
      </w:r>
      <w:hyperlink w:anchor="_ENREF_428" w:tooltip="Vallet, 2008 #8" w:history="1">
        <w:r w:rsidR="004A784D">
          <w:rPr>
            <w:noProof/>
            <w:color w:val="000000"/>
          </w:rPr>
          <w:t>Vallet et al., 2008</w:t>
        </w:r>
      </w:hyperlink>
      <w:r w:rsidR="006F41FE">
        <w:rPr>
          <w:noProof/>
          <w:color w:val="000000"/>
        </w:rPr>
        <w:t>)</w:t>
      </w:r>
      <w:r w:rsidR="005B0FB7" w:rsidRPr="00873C4C">
        <w:rPr>
          <w:color w:val="000000"/>
        </w:rPr>
        <w:fldChar w:fldCharType="end"/>
      </w:r>
      <w:r w:rsidR="005B0FB7" w:rsidRPr="00873C4C">
        <w:rPr>
          <w:color w:val="000000"/>
        </w:rPr>
        <w:t xml:space="preserve">. </w:t>
      </w:r>
    </w:p>
    <w:p w:rsidR="00CE7847" w:rsidRDefault="00CE7847" w:rsidP="00057B42">
      <w:pPr>
        <w:spacing w:line="360" w:lineRule="auto"/>
        <w:jc w:val="both"/>
        <w:rPr>
          <w:color w:val="000000"/>
        </w:rPr>
      </w:pPr>
    </w:p>
    <w:p w:rsidR="005B0FB7" w:rsidRPr="00873C4C" w:rsidRDefault="005B0FB7" w:rsidP="00057B42">
      <w:pPr>
        <w:spacing w:line="360" w:lineRule="auto"/>
        <w:jc w:val="both"/>
        <w:rPr>
          <w:color w:val="000000"/>
        </w:rPr>
      </w:pPr>
      <w:r w:rsidRPr="00873C4C">
        <w:rPr>
          <w:color w:val="000000"/>
        </w:rPr>
        <w:t>In patients with an activated immune system thalidomide inhibits TNF</w:t>
      </w:r>
      <w:r w:rsidR="00743C4F">
        <w:rPr>
          <w:color w:val="000000"/>
        </w:rPr>
        <w:t>-</w:t>
      </w:r>
      <w:r w:rsidRPr="00873C4C">
        <w:rPr>
          <w:color w:val="000000"/>
        </w:rPr>
        <w:t>a</w:t>
      </w:r>
      <w:r w:rsidR="00743C4F">
        <w:rPr>
          <w:color w:val="000000"/>
        </w:rPr>
        <w:t>lpha</w:t>
      </w:r>
      <w:r w:rsidRPr="00873C4C">
        <w:rPr>
          <w:color w:val="000000"/>
        </w:rPr>
        <w:t xml:space="preserve"> secretion from monocytes</w:t>
      </w:r>
      <w:r w:rsidR="00990985" w:rsidRPr="00873C4C">
        <w:rPr>
          <w:color w:val="000000"/>
        </w:rPr>
        <w:t xml:space="preserve"> </w:t>
      </w:r>
      <w:r w:rsidRPr="00873C4C">
        <w:rPr>
          <w:color w:val="000000"/>
        </w:rPr>
        <w:t xml:space="preserve"> and down regulates secretion of stimulatory cytokines including IL1, IL6, IL12, GMCSF</w:t>
      </w:r>
      <w:r w:rsidRPr="00873C4C">
        <w:rPr>
          <w:color w:val="000000"/>
        </w:rPr>
        <w:fldChar w:fldCharType="begin">
          <w:fldData xml:space="preserve">PEVuZE5vdGU+PENpdGU+PEF1dGhvcj5CYXJ0bGV0dDwvQXV0aG9yPjxZZWFyPjIwMDQ8L1llYXI+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</w:fldData>
        </w:fldChar>
      </w:r>
      <w:r w:rsidR="006F41FE">
        <w:rPr>
          <w:color w:val="000000"/>
        </w:rPr>
        <w:instrText xml:space="preserve"> ADDIN EN.CITE </w:instrText>
      </w:r>
      <w:r w:rsidR="006F41FE">
        <w:rPr>
          <w:color w:val="000000"/>
        </w:rPr>
        <w:fldChar w:fldCharType="begin">
          <w:fldData xml:space="preserve">PEVuZE5vdGU+PENpdGU+PEF1dGhvcj5CYXJ0bGV0dDwvQXV0aG9yPjxZZWFyPjIwMDQ8L1llYXI+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39" w:tooltip="Bartlett, 2004 #1" w:history="1">
        <w:r w:rsidR="004A784D">
          <w:rPr>
            <w:noProof/>
            <w:color w:val="000000"/>
          </w:rPr>
          <w:t>Bartlett et al., 2004</w:t>
        </w:r>
      </w:hyperlink>
      <w:r w:rsidR="006F41FE">
        <w:rPr>
          <w:noProof/>
          <w:color w:val="000000"/>
        </w:rPr>
        <w:t>)</w:t>
      </w:r>
      <w:r w:rsidRPr="00873C4C">
        <w:rPr>
          <w:color w:val="000000"/>
        </w:rPr>
        <w:fldChar w:fldCharType="end"/>
      </w:r>
      <w:r w:rsidRPr="00873C4C">
        <w:rPr>
          <w:color w:val="000000"/>
        </w:rPr>
        <w:t xml:space="preserve"> (Granulocyte-macrophage colony-stimulating factor). Conversely, thalidomide has been shown to co-stimulate CD4+ T cells by CD28 phosphorylation</w:t>
      </w:r>
      <w:r w:rsidR="007E7E53" w:rsidRPr="00873C4C">
        <w:rPr>
          <w:color w:val="000000"/>
        </w:rPr>
        <w:t xml:space="preserve"> </w:t>
      </w:r>
      <w:r w:rsidRPr="00873C4C">
        <w:rPr>
          <w:color w:val="000000"/>
        </w:rPr>
        <w:fldChar w:fldCharType="begin">
          <w:fldData xml:space="preserve">PEVuZE5vdGU+PENpdGU+PEF1dGhvcj5MZUJsYW5jPC9BdXRob3I+PFllYXI+MjAwNDwvWWVhcj48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=
</w:fldData>
        </w:fldChar>
      </w:r>
      <w:r w:rsidR="00C96E96">
        <w:rPr>
          <w:color w:val="000000"/>
        </w:rPr>
        <w:instrText xml:space="preserve"> ADDIN EN.CITE </w:instrText>
      </w:r>
      <w:r w:rsidR="00C96E96">
        <w:rPr>
          <w:color w:val="000000"/>
        </w:rPr>
        <w:fldChar w:fldCharType="begin">
          <w:fldData xml:space="preserve">PEVuZE5vdGU+PENpdGU+PEF1dGhvcj5MZUJsYW5jPC9BdXRob3I+PFllYXI+MjAwNDwvWWVhcj48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=
</w:fldData>
        </w:fldChar>
      </w:r>
      <w:r w:rsidR="00C96E96">
        <w:rPr>
          <w:color w:val="000000"/>
        </w:rPr>
        <w:instrText xml:space="preserve"> ADDIN EN.CITE.DATA </w:instrText>
      </w:r>
      <w:r w:rsidR="00C96E96">
        <w:rPr>
          <w:color w:val="000000"/>
        </w:rPr>
      </w:r>
      <w:r w:rsidR="00C96E96">
        <w:rPr>
          <w:color w:val="000000"/>
        </w:rPr>
        <w:fldChar w:fldCharType="end"/>
      </w:r>
      <w:r w:rsidRPr="00873C4C">
        <w:rPr>
          <w:color w:val="000000"/>
        </w:rPr>
      </w:r>
      <w:r w:rsidRPr="00873C4C">
        <w:rPr>
          <w:color w:val="000000"/>
        </w:rPr>
        <w:fldChar w:fldCharType="separate"/>
      </w:r>
      <w:r w:rsidR="00C96E96">
        <w:rPr>
          <w:noProof/>
          <w:color w:val="000000"/>
        </w:rPr>
        <w:t>(</w:t>
      </w:r>
      <w:hyperlink w:anchor="_ENREF_238" w:tooltip="LeBlanc, 2004 #3746" w:history="1">
        <w:r w:rsidR="004A784D">
          <w:rPr>
            <w:noProof/>
            <w:color w:val="000000"/>
          </w:rPr>
          <w:t>LeBlanc et al., 2004</w:t>
        </w:r>
      </w:hyperlink>
      <w:r w:rsidR="00C96E96">
        <w:rPr>
          <w:noProof/>
          <w:color w:val="000000"/>
        </w:rPr>
        <w:t xml:space="preserve">, </w:t>
      </w:r>
      <w:hyperlink w:anchor="_ENREF_473" w:tooltip="Zidi, 2009 #34" w:history="1">
        <w:r w:rsidR="004A784D">
          <w:rPr>
            <w:noProof/>
            <w:color w:val="000000"/>
          </w:rPr>
          <w:t>Zidi et al., 2009</w:t>
        </w:r>
      </w:hyperlink>
      <w:r w:rsidR="00C96E96">
        <w:rPr>
          <w:noProof/>
          <w:color w:val="000000"/>
        </w:rPr>
        <w:t>)</w:t>
      </w:r>
      <w:r w:rsidRPr="00873C4C">
        <w:rPr>
          <w:color w:val="000000"/>
        </w:rPr>
        <w:fldChar w:fldCharType="end"/>
      </w:r>
      <w:r w:rsidRPr="00873C4C">
        <w:rPr>
          <w:color w:val="000000"/>
        </w:rPr>
        <w:t xml:space="preserve">. </w:t>
      </w:r>
    </w:p>
    <w:p w:rsidR="005B0FB7" w:rsidRPr="00873C4C" w:rsidRDefault="005B0FB7" w:rsidP="00057B42">
      <w:pPr>
        <w:spacing w:line="360" w:lineRule="auto"/>
        <w:jc w:val="both"/>
        <w:rPr>
          <w:color w:val="000000"/>
        </w:rPr>
      </w:pPr>
    </w:p>
    <w:p w:rsidR="00990985" w:rsidRPr="00873C4C" w:rsidRDefault="00ED7D82" w:rsidP="00057B42">
      <w:pPr>
        <w:keepNext/>
        <w:spacing w:line="360" w:lineRule="auto"/>
        <w:jc w:val="both"/>
        <w:rPr>
          <w:color w:val="000000"/>
        </w:rPr>
      </w:pPr>
      <w:r>
        <w:rPr>
          <w:noProof/>
          <w:color w:val="000000"/>
          <w:lang w:eastAsia="en-IE"/>
        </w:rPr>
        <w:lastRenderedPageBreak/>
        <w:drawing>
          <wp:inline distT="0" distB="0" distL="0" distR="0" wp14:anchorId="5FF8180E" wp14:editId="4BBFBD82">
            <wp:extent cx="5030470" cy="2525395"/>
            <wp:effectExtent l="0" t="0" r="0" b="8255"/>
            <wp:docPr id="11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0470" cy="2525395"/>
                    </a:xfrm>
                    <a:prstGeom prst="rect">
                      <a:avLst/>
                    </a:prstGeom>
                    <a:noFill/>
                  </pic:spPr>
                </pic:pic>
              </a:graphicData>
            </a:graphic>
          </wp:inline>
        </w:drawing>
      </w:r>
    </w:p>
    <w:p w:rsidR="00501939" w:rsidRPr="00873C4C" w:rsidRDefault="00501939" w:rsidP="00057B42">
      <w:pPr>
        <w:pStyle w:val="Caption"/>
        <w:keepNext/>
        <w:jc w:val="center"/>
        <w:rPr>
          <w:color w:val="000000"/>
        </w:rPr>
      </w:pPr>
    </w:p>
    <w:p w:rsidR="00907F6D" w:rsidRDefault="00A72545" w:rsidP="00057B42">
      <w:pPr>
        <w:pStyle w:val="Caption"/>
        <w:pBdr>
          <w:bottom w:val="single" w:sz="12" w:space="1" w:color="auto"/>
        </w:pBdr>
        <w:jc w:val="both"/>
        <w:rPr>
          <w:color w:val="000000"/>
        </w:rPr>
      </w:pPr>
      <w:bookmarkStart w:id="218" w:name="_Toc260495732"/>
      <w:bookmarkStart w:id="219" w:name="_Toc304195965"/>
      <w:bookmarkStart w:id="220" w:name="_Toc260927157"/>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7</w:t>
      </w:r>
      <w:r w:rsidR="008A68DC">
        <w:rPr>
          <w:color w:val="000000"/>
        </w:rPr>
        <w:fldChar w:fldCharType="end"/>
      </w:r>
      <w:r w:rsidR="00951F53" w:rsidRPr="00873C4C">
        <w:rPr>
          <w:color w:val="000000"/>
        </w:rPr>
        <w:t xml:space="preserve"> </w:t>
      </w:r>
      <w:r w:rsidR="004D56C5">
        <w:rPr>
          <w:color w:val="000000"/>
        </w:rPr>
        <w:t>Shows</w:t>
      </w:r>
      <w:r w:rsidR="00647448">
        <w:rPr>
          <w:color w:val="000000"/>
        </w:rPr>
        <w:t xml:space="preserve"> the p</w:t>
      </w:r>
      <w:r w:rsidR="00951F53" w:rsidRPr="00873C4C">
        <w:rPr>
          <w:color w:val="000000"/>
        </w:rPr>
        <w:t xml:space="preserve">athways of thalidomide activity against multiple myeloma (MM) in the host microenvironment. </w:t>
      </w:r>
      <w:r w:rsidR="00676041" w:rsidRPr="00873C4C">
        <w:rPr>
          <w:color w:val="000000"/>
        </w:rPr>
        <w:t>A, Induction of apoptosis or gro</w:t>
      </w:r>
      <w:r w:rsidR="00647448">
        <w:rPr>
          <w:color w:val="000000"/>
        </w:rPr>
        <w:t>wth arrest of MM cells; B, anti-</w:t>
      </w:r>
      <w:r w:rsidR="00676041" w:rsidRPr="00873C4C">
        <w:rPr>
          <w:color w:val="000000"/>
        </w:rPr>
        <w:t xml:space="preserve">angiogenesis in bone marrow (BM) milieu; C, inhibition of MM cell adherence to BM stromal cells (BMSCs); D, inhibition of cytokine secretion from MM cells and BMSCs; E, augmentation of host anti-MM activity. </w:t>
      </w:r>
      <w:bookmarkEnd w:id="218"/>
      <w:r w:rsidR="00676041" w:rsidRPr="00873C4C">
        <w:rPr>
          <w:color w:val="000000"/>
        </w:rPr>
        <w:t xml:space="preserve">bFGF = basic fibroblast growth factor; CTL = cytotoxic T lymphocytes; ICAM-1 = intercellular adhesion molecule 1; IFN = interferon; IGF-1 = insulin-like growth factor 1; IL = interleukin; NF-κB = nuclear factor κ B; NK = natural killer cells; SDF-1α = stromal cell-derived factor 1α; TGF-β1 = transforming growth factor β1; TNFα = tumour necrosis factor α; VCAM-1 = vascular cell adhesion molecule; VEGF = vascular endothelial growth factor </w:t>
      </w:r>
      <w:r w:rsidR="00676041" w:rsidRPr="00873C4C">
        <w:rPr>
          <w:color w:val="000000"/>
        </w:rPr>
        <w:fldChar w:fldCharType="begin">
          <w:fldData xml:space="preserve">PEVuZE5vdGU+PENpdGU+PEF1dGhvcj5SaWNoYXJkc29uPC9BdXRob3I+PFllYXI+MjAwNDwvWWVh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</w:fldData>
        </w:fldChar>
      </w:r>
      <w:r w:rsidR="006F41FE">
        <w:rPr>
          <w:color w:val="000000"/>
        </w:rPr>
        <w:instrText xml:space="preserve"> ADDIN EN.CITE </w:instrText>
      </w:r>
      <w:r w:rsidR="006F41FE">
        <w:rPr>
          <w:color w:val="000000"/>
        </w:rPr>
        <w:fldChar w:fldCharType="begin">
          <w:fldData xml:space="preserve">PEVuZE5vdGU+PENpdGU+PEF1dGhvcj5SaWNoYXJkc29uPC9BdXRob3I+PFllYXI+MjAwNDwvWWVh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</w:fldData>
        </w:fldChar>
      </w:r>
      <w:r w:rsidR="006F41FE">
        <w:rPr>
          <w:color w:val="000000"/>
        </w:rPr>
        <w:instrText xml:space="preserve"> ADDIN EN.CITE.DATA </w:instrText>
      </w:r>
      <w:r w:rsidR="006F41FE">
        <w:rPr>
          <w:color w:val="000000"/>
        </w:rPr>
      </w:r>
      <w:r w:rsidR="006F41FE">
        <w:rPr>
          <w:color w:val="000000"/>
        </w:rPr>
        <w:fldChar w:fldCharType="end"/>
      </w:r>
      <w:r w:rsidR="00676041" w:rsidRPr="00873C4C">
        <w:rPr>
          <w:color w:val="000000"/>
        </w:rPr>
      </w:r>
      <w:r w:rsidR="00676041" w:rsidRPr="00873C4C">
        <w:rPr>
          <w:color w:val="000000"/>
        </w:rPr>
        <w:fldChar w:fldCharType="separate"/>
      </w:r>
      <w:bookmarkEnd w:id="219"/>
      <w:bookmarkEnd w:id="220"/>
      <w:r w:rsidR="006F41FE">
        <w:rPr>
          <w:noProof/>
          <w:color w:val="000000"/>
        </w:rPr>
        <w:t>(</w:t>
      </w:r>
      <w:hyperlink w:anchor="_ENREF_343" w:tooltip="Richardson, 2004 #3710" w:history="1">
        <w:r w:rsidR="004A784D">
          <w:rPr>
            <w:noProof/>
            <w:color w:val="000000"/>
          </w:rPr>
          <w:t>Richardson et al., 2004</w:t>
        </w:r>
      </w:hyperlink>
      <w:r w:rsidR="006F41FE">
        <w:rPr>
          <w:noProof/>
          <w:color w:val="000000"/>
        </w:rPr>
        <w:t>)</w:t>
      </w:r>
      <w:r w:rsidR="00676041" w:rsidRPr="00873C4C">
        <w:rPr>
          <w:color w:val="000000"/>
        </w:rPr>
        <w:fldChar w:fldCharType="end"/>
      </w:r>
      <w:r w:rsidR="002A4A43" w:rsidRPr="00873C4C">
        <w:rPr>
          <w:color w:val="000000"/>
        </w:rPr>
        <w:t>.</w:t>
      </w:r>
    </w:p>
    <w:p w:rsidR="00496FA5" w:rsidRDefault="00496FA5" w:rsidP="00057B42">
      <w:pPr>
        <w:pStyle w:val="Caption"/>
        <w:pBdr>
          <w:bottom w:val="single" w:sz="12" w:space="1" w:color="auto"/>
        </w:pBdr>
        <w:jc w:val="both"/>
        <w:rPr>
          <w:color w:val="000000"/>
        </w:rPr>
      </w:pPr>
    </w:p>
    <w:p w:rsidR="00CE7847" w:rsidRDefault="00CE7847" w:rsidP="00057B42">
      <w:pPr>
        <w:spacing w:line="360" w:lineRule="auto"/>
        <w:rPr>
          <w:b/>
          <w:color w:val="000000"/>
          <w:sz w:val="26"/>
          <w:szCs w:val="26"/>
          <w:lang w:eastAsia="en-US"/>
        </w:rPr>
      </w:pPr>
      <w:bookmarkStart w:id="221" w:name="_Toc260495792"/>
      <w:bookmarkStart w:id="222" w:name="_Toc260496043"/>
      <w:bookmarkStart w:id="223" w:name="_Toc260500436"/>
      <w:bookmarkStart w:id="224" w:name="_Toc261098462"/>
      <w:bookmarkStart w:id="225" w:name="_Toc305759118"/>
      <w:r>
        <w:br w:type="page"/>
      </w:r>
    </w:p>
    <w:p w:rsidR="00D972E7" w:rsidRPr="00DD7FC9" w:rsidRDefault="0092498C" w:rsidP="00645687">
      <w:pPr>
        <w:pStyle w:val="Heading3"/>
      </w:pPr>
      <w:r w:rsidRPr="00873C4C">
        <w:lastRenderedPageBreak/>
        <w:tab/>
      </w:r>
      <w:bookmarkStart w:id="226" w:name="_Toc306570546"/>
      <w:bookmarkStart w:id="227" w:name="_Toc307067611"/>
      <w:bookmarkStart w:id="228" w:name="_Toc312169170"/>
      <w:bookmarkStart w:id="229" w:name="_Toc312172097"/>
      <w:bookmarkStart w:id="230" w:name="_Toc312257646"/>
      <w:r w:rsidR="00D972E7" w:rsidRPr="00873C4C">
        <w:t>Thalidomide in Clinical trials</w:t>
      </w:r>
      <w:bookmarkEnd w:id="221"/>
      <w:bookmarkEnd w:id="222"/>
      <w:bookmarkEnd w:id="223"/>
      <w:bookmarkEnd w:id="224"/>
      <w:bookmarkEnd w:id="225"/>
      <w:bookmarkEnd w:id="226"/>
      <w:bookmarkEnd w:id="227"/>
      <w:bookmarkEnd w:id="228"/>
      <w:bookmarkEnd w:id="229"/>
      <w:bookmarkEnd w:id="230"/>
    </w:p>
    <w:p w:rsidR="00D972E7" w:rsidRDefault="00D972E7" w:rsidP="00057B42">
      <w:pPr>
        <w:spacing w:line="360" w:lineRule="auto"/>
        <w:jc w:val="both"/>
        <w:rPr>
          <w:color w:val="000000"/>
        </w:rPr>
      </w:pPr>
      <w:r w:rsidRPr="00873C4C">
        <w:rPr>
          <w:color w:val="000000"/>
        </w:rPr>
        <w:t>Thousands of patients with myeloma have already benefited from thalidomide and it continues to be researched widely in order to find the best ways in which it may be use</w:t>
      </w:r>
      <w:r w:rsidR="00A92892">
        <w:rPr>
          <w:color w:val="000000"/>
        </w:rPr>
        <w:t>d</w:t>
      </w:r>
      <w:r w:rsidR="007E7E53" w:rsidRPr="00873C4C">
        <w:rPr>
          <w:color w:val="000000"/>
        </w:rPr>
        <w:t xml:space="preserve"> </w:t>
      </w:r>
      <w:r w:rsidRPr="00873C4C">
        <w:rPr>
          <w:color w:val="000000"/>
        </w:rPr>
        <w:fldChar w:fldCharType="begin">
          <w:fldData xml:space="preserve">PEVuZE5vdGU+PENpdGU+PEF1dGhvcj5DYXZvPC9BdXRob3I+PFllYXI+MjAwOTwvWWVhcj48UmVj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</w:fldData>
        </w:fldChar>
      </w:r>
      <w:r w:rsidR="00857D49">
        <w:rPr>
          <w:color w:val="000000"/>
        </w:rPr>
        <w:instrText xml:space="preserve"> ADDIN EN.CITE </w:instrText>
      </w:r>
      <w:r w:rsidR="00857D49">
        <w:rPr>
          <w:color w:val="000000"/>
        </w:rPr>
        <w:fldChar w:fldCharType="begin">
          <w:fldData xml:space="preserve">PEVuZE5vdGU+PENpdGU+PEF1dGhvcj5DYXZvPC9BdXRob3I+PFllYXI+MjAwOTwvWWVhcj48UmVj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</w:fldData>
        </w:fldChar>
      </w:r>
      <w:r w:rsidR="00857D49">
        <w:rPr>
          <w:color w:val="000000"/>
        </w:rPr>
        <w:instrText xml:space="preserve"> ADDIN EN.CITE.DATA </w:instrText>
      </w:r>
      <w:r w:rsidR="00857D49">
        <w:rPr>
          <w:color w:val="000000"/>
        </w:rPr>
      </w:r>
      <w:r w:rsidR="00857D49">
        <w:rPr>
          <w:color w:val="000000"/>
        </w:rPr>
        <w:fldChar w:fldCharType="end"/>
      </w:r>
      <w:r w:rsidRPr="00873C4C">
        <w:rPr>
          <w:color w:val="000000"/>
        </w:rPr>
      </w:r>
      <w:r w:rsidRPr="00873C4C">
        <w:rPr>
          <w:color w:val="000000"/>
        </w:rPr>
        <w:fldChar w:fldCharType="separate"/>
      </w:r>
      <w:r w:rsidR="006F41FE">
        <w:rPr>
          <w:noProof/>
          <w:color w:val="000000"/>
        </w:rPr>
        <w:t>(</w:t>
      </w:r>
      <w:hyperlink w:anchor="_ENREF_67" w:tooltip="Cavo, 2009 #119" w:history="1">
        <w:r w:rsidR="004A784D">
          <w:rPr>
            <w:noProof/>
            <w:color w:val="000000"/>
          </w:rPr>
          <w:t>Cavo et al., 2009</w:t>
        </w:r>
      </w:hyperlink>
      <w:r w:rsidR="006F41FE">
        <w:rPr>
          <w:noProof/>
          <w:color w:val="000000"/>
        </w:rPr>
        <w:t xml:space="preserve">, </w:t>
      </w:r>
      <w:hyperlink w:anchor="_ENREF_233" w:tooltip="Kyle, 2009 #6744" w:history="1">
        <w:r w:rsidR="004A784D">
          <w:rPr>
            <w:noProof/>
            <w:color w:val="000000"/>
          </w:rPr>
          <w:t>Kyle and Rajkumar, 2009b</w:t>
        </w:r>
      </w:hyperlink>
      <w:r w:rsidR="006F41FE">
        <w:rPr>
          <w:noProof/>
          <w:color w:val="000000"/>
        </w:rPr>
        <w:t xml:space="preserve">, </w:t>
      </w:r>
      <w:hyperlink w:anchor="_ENREF_56" w:tooltip="Breitkreutz, 2008 #332" w:history="1">
        <w:r w:rsidR="004A784D">
          <w:rPr>
            <w:noProof/>
            <w:color w:val="000000"/>
          </w:rPr>
          <w:t>Breitkreutz and Anderson, 2008</w:t>
        </w:r>
      </w:hyperlink>
      <w:r w:rsidR="006F41FE">
        <w:rPr>
          <w:noProof/>
          <w:color w:val="000000"/>
        </w:rPr>
        <w:t>)</w:t>
      </w:r>
      <w:r w:rsidRPr="00873C4C">
        <w:rPr>
          <w:color w:val="000000"/>
        </w:rPr>
        <w:fldChar w:fldCharType="end"/>
      </w:r>
      <w:r w:rsidRPr="00873C4C">
        <w:rPr>
          <w:color w:val="000000"/>
        </w:rPr>
        <w:t>.  Induction chemotherapy with thalidomide-dexamethasone consistently provides a high response rate prior to transplantation.  There are also a significant number of complete remissions and near complete remissions.  Further, patients are able to undergo transplantation successfully</w:t>
      </w:r>
      <w:r w:rsidR="004A357B" w:rsidRPr="00873C4C">
        <w:rPr>
          <w:color w:val="000000"/>
        </w:rPr>
        <w:t xml:space="preserve"> </w:t>
      </w:r>
      <w:r w:rsidRPr="00873C4C">
        <w:rPr>
          <w:color w:val="000000"/>
        </w:rPr>
        <w:fldChar w:fldCharType="begin"/>
      </w:r>
      <w:r w:rsidR="006F41FE">
        <w:rPr>
          <w:color w:val="000000"/>
        </w:rPr>
        <w:instrText xml:space="preserve"> ADDIN EN.CITE &lt;EndNote&gt;&lt;Cite&gt;&lt;Author&gt;Saad&lt;/Author&gt;&lt;Year&gt;2009&lt;/Year&gt;&lt;RecNum&gt;219&lt;/RecNum&gt;&lt;DisplayText&gt;(Saad et al., 2009)&lt;/DisplayText&gt;&lt;record&gt;&lt;rec-number&gt;219&lt;/rec-number&gt;&lt;ref-type name="Journal Article"&gt;17&lt;/ref-type&gt;&lt;contributors&gt;&lt;authors&gt;&lt;author&gt;Saad, A. A.&lt;/author&gt;&lt;author&gt;Sharma, M.&lt;/author&gt;&lt;author&gt;Higa, G. M.&lt;/author&gt;&lt;/authors&gt;&lt;/contributors&gt;&lt;auth-address&gt;Section of Neoplastic Diseases and Related Disorders, Department of Internal Medicine, Medical College of Wisconsin, Milwaukee, WI, USA.&lt;/auth-address&gt;&lt;titles&gt;&lt;title&gt;Treatment of multiple myeloma in the targeted therapy era&lt;/title&gt;&lt;secondary-title&gt;Ann Pharmacother&lt;/secondary-title&gt;&lt;/titles&gt;&lt;periodical&gt;&lt;full-title&gt;Ann Pharmacother&lt;/full-title&gt;&lt;/periodical&gt;&lt;pages&gt;329-38&lt;/pages&gt;&lt;volume&gt;43&lt;/volume&gt;&lt;number&gt;2&lt;/number&gt;&lt;keywords&gt;&lt;keyword&gt;Aged&lt;/keyword&gt;&lt;keyword&gt;Antineoplastic Combined Chemotherapy Protocols/therapeutic use&lt;/keyword&gt;&lt;keyword&gt;Boronic Acids/*administration &amp;amp; dosage&lt;/keyword&gt;&lt;keyword&gt;Clinical Trials as Topic&lt;/keyword&gt;&lt;keyword&gt;Combined Modality Therapy&lt;/keyword&gt;&lt;keyword&gt;Dexamethasone/*administration &amp;amp; dosage&lt;/keyword&gt;&lt;keyword&gt;*Drug Delivery Systems&lt;/keyword&gt;&lt;keyword&gt;*Hematopoietic Stem Cell Transplantation&lt;/keyword&gt;&lt;keyword&gt;Humans&lt;/keyword&gt;&lt;keyword&gt;Melphalan/therapeutic use&lt;/keyword&gt;&lt;keyword&gt;Multiple Myeloma/diagnosis/physiopathology/*therapy&lt;/keyword&gt;&lt;keyword&gt;Prednisolone/therapeutic use&lt;/keyword&gt;&lt;keyword&gt;Pyrazines/*administration &amp;amp; dosage&lt;/keyword&gt;&lt;keyword&gt;Salvage Therapy&lt;/keyword&gt;&lt;keyword&gt;Thalidomide/*administration &amp;amp; dosage/*analogs &amp;amp; derivatives&lt;/keyword&gt;&lt;keyword&gt;*Transplantation Conditioning&lt;/keyword&gt;&lt;/keywords&gt;&lt;dates&gt;&lt;year&gt;2009&lt;/year&gt;&lt;pub-dates&gt;&lt;date&gt;Feb&lt;/date&gt;&lt;/pub-dates&gt;&lt;/dates&gt;&lt;accession-num&gt;19193585&lt;/accession-num&gt;&lt;urls&gt;&lt;related-urls&gt;&lt;url&gt;http://www.ncbi.nlm.nih.gov/entrez/query.fcgi?cmd=Retrieve&amp;amp;db=PubMed&amp;amp;dopt=Citation&amp;amp;list_uids=19193585 &lt;/url&gt;&lt;/related-urls&gt;&lt;/urls&gt;&lt;/record&gt;&lt;/Cite&gt;&lt;/EndNote&gt;</w:instrText>
      </w:r>
      <w:r w:rsidRPr="00873C4C">
        <w:rPr>
          <w:color w:val="000000"/>
        </w:rPr>
        <w:fldChar w:fldCharType="separate"/>
      </w:r>
      <w:r w:rsidR="006F41FE">
        <w:rPr>
          <w:noProof/>
          <w:color w:val="000000"/>
        </w:rPr>
        <w:t>(</w:t>
      </w:r>
      <w:hyperlink w:anchor="_ENREF_361" w:tooltip="Saad, 2009 #219" w:history="1">
        <w:r w:rsidR="004A784D">
          <w:rPr>
            <w:noProof/>
            <w:color w:val="000000"/>
          </w:rPr>
          <w:t>Saad et al., 2009</w:t>
        </w:r>
      </w:hyperlink>
      <w:r w:rsidR="006F41FE">
        <w:rPr>
          <w:noProof/>
          <w:color w:val="000000"/>
        </w:rPr>
        <w:t>)</w:t>
      </w:r>
      <w:r w:rsidRPr="00873C4C">
        <w:rPr>
          <w:color w:val="000000"/>
        </w:rPr>
        <w:fldChar w:fldCharType="end"/>
      </w:r>
      <w:r w:rsidRPr="00873C4C">
        <w:rPr>
          <w:color w:val="000000"/>
        </w:rPr>
        <w:t>.  In contrast to VAD (vincristine, adriamycin, dexamethasone) induction chemotherapy, the thalidomide</w:t>
      </w:r>
      <w:r w:rsidR="007E7E53" w:rsidRPr="00873C4C">
        <w:rPr>
          <w:color w:val="000000"/>
        </w:rPr>
        <w:t xml:space="preserve"> bases</w:t>
      </w:r>
      <w:r w:rsidRPr="00873C4C">
        <w:rPr>
          <w:color w:val="000000"/>
        </w:rPr>
        <w:t xml:space="preserve"> regimen is oral and does not require a hospital stay.  Thalidomide</w:t>
      </w:r>
      <w:r w:rsidR="007E7E53" w:rsidRPr="00873C4C">
        <w:rPr>
          <w:color w:val="000000"/>
        </w:rPr>
        <w:t xml:space="preserve"> based </w:t>
      </w:r>
      <w:r w:rsidR="00647448" w:rsidRPr="00873C4C">
        <w:rPr>
          <w:color w:val="000000"/>
        </w:rPr>
        <w:t>regimen</w:t>
      </w:r>
      <w:r w:rsidRPr="00873C4C">
        <w:rPr>
          <w:color w:val="000000"/>
        </w:rPr>
        <w:t xml:space="preserve"> has a higher response rate than dexamethasone alone, but is associated with higher toxicity.  </w:t>
      </w:r>
      <w:r w:rsidR="007E7E53" w:rsidRPr="00873C4C">
        <w:rPr>
          <w:color w:val="000000"/>
        </w:rPr>
        <w:t>However, t</w:t>
      </w:r>
      <w:r w:rsidRPr="00873C4C">
        <w:rPr>
          <w:color w:val="000000"/>
        </w:rPr>
        <w:t>he use of thalidomi</w:t>
      </w:r>
      <w:r w:rsidR="007E7E53" w:rsidRPr="00873C4C">
        <w:rPr>
          <w:color w:val="000000"/>
        </w:rPr>
        <w:t xml:space="preserve">de </w:t>
      </w:r>
      <w:r w:rsidRPr="00873C4C">
        <w:rPr>
          <w:color w:val="000000"/>
        </w:rPr>
        <w:t>dexamethasone</w:t>
      </w:r>
      <w:r w:rsidR="007E7E53" w:rsidRPr="00873C4C">
        <w:rPr>
          <w:color w:val="000000"/>
        </w:rPr>
        <w:t xml:space="preserve"> in combination</w:t>
      </w:r>
      <w:r w:rsidRPr="00873C4C">
        <w:rPr>
          <w:color w:val="000000"/>
        </w:rPr>
        <w:t xml:space="preserve"> is associated with an increased risk of deep vein thrombosis and pulmonary embolism. Accurate prediction of sensitivity to thalid</w:t>
      </w:r>
      <w:r w:rsidR="00DD7FC9">
        <w:rPr>
          <w:color w:val="000000"/>
        </w:rPr>
        <w:t>omide will help to</w:t>
      </w:r>
      <w:r w:rsidRPr="00873C4C">
        <w:rPr>
          <w:color w:val="000000"/>
        </w:rPr>
        <w:t xml:space="preserve"> progress toward the goal of personalized medicine in </w:t>
      </w:r>
      <w:r w:rsidR="007E7E53" w:rsidRPr="00873C4C">
        <w:rPr>
          <w:color w:val="000000"/>
        </w:rPr>
        <w:t>MM</w:t>
      </w:r>
      <w:r w:rsidRPr="00873C4C">
        <w:rPr>
          <w:color w:val="000000"/>
        </w:rPr>
        <w:t xml:space="preserve"> patients</w:t>
      </w:r>
      <w:r w:rsidR="007E7E53" w:rsidRPr="00873C4C">
        <w:rPr>
          <w:color w:val="000000"/>
        </w:rPr>
        <w:t xml:space="preserve"> by avoiding thalidomide in unresponsive patients</w:t>
      </w:r>
      <w:r w:rsidR="00C96E96">
        <w:rPr>
          <w:color w:val="000000"/>
        </w:rPr>
        <w:t xml:space="preserve"> </w:t>
      </w:r>
      <w:r w:rsidR="00C96E96" w:rsidRPr="00873C4C">
        <w:rPr>
          <w:color w:val="000000"/>
        </w:rPr>
        <w:fldChar w:fldCharType="begin">
          <w:fldData xml:space="preserve">PEVuZE5vdGU+PENpdGU+PEF1dGhvcj5MZUJsYW5jPC9BdXRob3I+PFllYXI+MjAwNDwvWWVhcj48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</w:fldData>
        </w:fldChar>
      </w:r>
      <w:r w:rsidR="00C96E96">
        <w:rPr>
          <w:color w:val="000000"/>
        </w:rPr>
        <w:instrText xml:space="preserve"> ADDIN EN.CITE </w:instrText>
      </w:r>
      <w:r w:rsidR="00C96E96">
        <w:rPr>
          <w:color w:val="000000"/>
        </w:rPr>
        <w:fldChar w:fldCharType="begin">
          <w:fldData xml:space="preserve">PEVuZE5vdGU+PENpdGU+PEF1dGhvcj5MZUJsYW5jPC9BdXRob3I+PFllYXI+MjAwNDwvWWVhcj48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</w:fldData>
        </w:fldChar>
      </w:r>
      <w:r w:rsidR="00C96E96">
        <w:rPr>
          <w:color w:val="000000"/>
        </w:rPr>
        <w:instrText xml:space="preserve"> ADDIN EN.CITE.DATA </w:instrText>
      </w:r>
      <w:r w:rsidR="00C96E96">
        <w:rPr>
          <w:color w:val="000000"/>
        </w:rPr>
      </w:r>
      <w:r w:rsidR="00C96E96">
        <w:rPr>
          <w:color w:val="000000"/>
        </w:rPr>
        <w:fldChar w:fldCharType="end"/>
      </w:r>
      <w:r w:rsidR="00C96E96" w:rsidRPr="00873C4C">
        <w:rPr>
          <w:color w:val="000000"/>
        </w:rPr>
      </w:r>
      <w:r w:rsidR="00C96E96" w:rsidRPr="00873C4C">
        <w:rPr>
          <w:color w:val="000000"/>
        </w:rPr>
        <w:fldChar w:fldCharType="separate"/>
      </w:r>
      <w:r w:rsidR="00C96E96">
        <w:rPr>
          <w:noProof/>
          <w:color w:val="000000"/>
        </w:rPr>
        <w:t>(</w:t>
      </w:r>
      <w:hyperlink w:anchor="_ENREF_238" w:tooltip="LeBlanc, 2004 #3746" w:history="1">
        <w:r w:rsidR="004A784D">
          <w:rPr>
            <w:noProof/>
            <w:color w:val="000000"/>
          </w:rPr>
          <w:t>LeBlanc et al., 2004</w:t>
        </w:r>
      </w:hyperlink>
      <w:r w:rsidR="00C96E96">
        <w:rPr>
          <w:noProof/>
          <w:color w:val="000000"/>
        </w:rPr>
        <w:t>)</w:t>
      </w:r>
      <w:r w:rsidR="00C96E96" w:rsidRPr="00873C4C">
        <w:rPr>
          <w:color w:val="000000"/>
        </w:rPr>
        <w:fldChar w:fldCharType="end"/>
      </w:r>
      <w:r w:rsidRPr="00873C4C">
        <w:rPr>
          <w:color w:val="000000"/>
        </w:rPr>
        <w:t>.</w:t>
      </w:r>
    </w:p>
    <w:p w:rsidR="00CE7847" w:rsidRPr="00873C4C" w:rsidRDefault="00CE7847" w:rsidP="00057B42">
      <w:pPr>
        <w:spacing w:line="360" w:lineRule="auto"/>
        <w:jc w:val="both"/>
        <w:rPr>
          <w:color w:val="000000"/>
        </w:rPr>
      </w:pPr>
    </w:p>
    <w:p w:rsidR="00D972E7" w:rsidRPr="00873C4C" w:rsidRDefault="00501939" w:rsidP="00645687">
      <w:pPr>
        <w:pStyle w:val="Heading4"/>
      </w:pPr>
      <w:r w:rsidRPr="00873C4C">
        <w:tab/>
      </w:r>
      <w:bookmarkStart w:id="231" w:name="_Toc305759119"/>
      <w:bookmarkStart w:id="232" w:name="_Toc306570547"/>
      <w:bookmarkStart w:id="233" w:name="_Toc307067612"/>
      <w:r w:rsidR="008329E6">
        <w:t xml:space="preserve"> </w:t>
      </w:r>
      <w:bookmarkStart w:id="234" w:name="_Toc312169171"/>
      <w:bookmarkStart w:id="235" w:name="_Toc312172098"/>
      <w:bookmarkStart w:id="236" w:name="_Toc312257647"/>
      <w:r w:rsidR="00D972E7" w:rsidRPr="00873C4C">
        <w:t xml:space="preserve">Land mark </w:t>
      </w:r>
      <w:r w:rsidR="007E7E53" w:rsidRPr="00873C4C">
        <w:t xml:space="preserve">thalidomide </w:t>
      </w:r>
      <w:r w:rsidR="00D972E7" w:rsidRPr="00873C4C">
        <w:t>papers</w:t>
      </w:r>
      <w:r w:rsidR="007E7E53" w:rsidRPr="00873C4C">
        <w:t xml:space="preserve"> in MM</w:t>
      </w:r>
      <w:bookmarkEnd w:id="231"/>
      <w:bookmarkEnd w:id="232"/>
      <w:bookmarkEnd w:id="233"/>
      <w:bookmarkEnd w:id="234"/>
      <w:bookmarkEnd w:id="235"/>
      <w:bookmarkEnd w:id="236"/>
    </w:p>
    <w:p w:rsidR="00501939" w:rsidRDefault="00907F6D" w:rsidP="00235965">
      <w:pPr>
        <w:spacing w:before="240" w:line="360" w:lineRule="auto"/>
        <w:jc w:val="both"/>
        <w:rPr>
          <w:color w:val="000000"/>
        </w:rPr>
      </w:pPr>
      <w:r>
        <w:rPr>
          <w:color w:val="000000"/>
        </w:rPr>
        <w:t>Paper by</w:t>
      </w:r>
      <w:r w:rsidR="00BC3A4D" w:rsidRPr="00873C4C">
        <w:rPr>
          <w:color w:val="000000"/>
        </w:rPr>
        <w:t xml:space="preserve"> Barlogie's group </w:t>
      </w:r>
      <w:r w:rsidR="00BC3A4D" w:rsidRPr="00873C4C">
        <w:rPr>
          <w:color w:val="000000"/>
        </w:rPr>
        <w:fldChar w:fldCharType="begin">
          <w:fldData xml:space="preserve">PEVuZE5vdGU+PENpdGU+PEF1dGhvcj5TaW5naGFsPC9BdXRob3I+PFllYXI+MTk5OTwvWWVhcj48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</w:fldData>
        </w:fldChar>
      </w:r>
      <w:r w:rsidR="00B933E7">
        <w:rPr>
          <w:color w:val="000000"/>
        </w:rPr>
        <w:instrText xml:space="preserve"> ADDIN EN.CITE </w:instrText>
      </w:r>
      <w:r w:rsidR="00B933E7">
        <w:rPr>
          <w:color w:val="000000"/>
        </w:rPr>
        <w:fldChar w:fldCharType="begin">
          <w:fldData xml:space="preserve">PEVuZE5vdGU+PENpdGU+PEF1dGhvcj5TaW5naGFsPC9BdXRob3I+PFllYXI+MTk5OTwvWWVhcj48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</w:fldData>
        </w:fldChar>
      </w:r>
      <w:r w:rsidR="00B933E7">
        <w:rPr>
          <w:color w:val="000000"/>
        </w:rPr>
        <w:instrText xml:space="preserve"> ADDIN EN.CITE.DATA </w:instrText>
      </w:r>
      <w:r w:rsidR="00B933E7">
        <w:rPr>
          <w:color w:val="000000"/>
        </w:rPr>
      </w:r>
      <w:r w:rsidR="00B933E7">
        <w:rPr>
          <w:color w:val="000000"/>
        </w:rPr>
        <w:fldChar w:fldCharType="end"/>
      </w:r>
      <w:r w:rsidR="00BC3A4D" w:rsidRPr="00873C4C">
        <w:rPr>
          <w:color w:val="000000"/>
        </w:rPr>
      </w:r>
      <w:r w:rsidR="00BC3A4D" w:rsidRPr="00873C4C">
        <w:rPr>
          <w:color w:val="000000"/>
        </w:rPr>
        <w:fldChar w:fldCharType="separate"/>
      </w:r>
      <w:r w:rsidR="006F41FE">
        <w:rPr>
          <w:noProof/>
          <w:color w:val="000000"/>
        </w:rPr>
        <w:t>(</w:t>
      </w:r>
      <w:hyperlink w:anchor="_ENREF_388" w:tooltip="Singhal, 1999 #4933" w:history="1">
        <w:r w:rsidR="004A784D">
          <w:rPr>
            <w:noProof/>
            <w:color w:val="000000"/>
          </w:rPr>
          <w:t>Singhal et al., 1999</w:t>
        </w:r>
      </w:hyperlink>
      <w:r w:rsidR="006F41FE">
        <w:rPr>
          <w:noProof/>
          <w:color w:val="000000"/>
        </w:rPr>
        <w:t>)</w:t>
      </w:r>
      <w:r w:rsidR="00BC3A4D" w:rsidRPr="00873C4C">
        <w:rPr>
          <w:color w:val="000000"/>
        </w:rPr>
        <w:fldChar w:fldCharType="end"/>
      </w:r>
      <w:r w:rsidR="00BC3A4D" w:rsidRPr="00873C4C">
        <w:rPr>
          <w:color w:val="000000"/>
        </w:rPr>
        <w:t>, Eighty-four previously treated patients with refractory myeloma (76 with a relapse after high-dose chemotherapy) received oral thalidomide as a single agent for a median of 80 days. After 12 months of follow-up, Kaplan-Meier estimates of the mean (+/-SE) rates of event-free survival and overall survival for all patients were 22</w:t>
      </w:r>
      <w:r w:rsidR="007E7E53" w:rsidRPr="00873C4C">
        <w:rPr>
          <w:color w:val="000000"/>
        </w:rPr>
        <w:t>+/-</w:t>
      </w:r>
      <w:r w:rsidR="00BC3A4D" w:rsidRPr="00873C4C">
        <w:rPr>
          <w:color w:val="000000"/>
        </w:rPr>
        <w:t xml:space="preserve">5 percent and 58+/-5 percent, respectively. This is one of the first </w:t>
      </w:r>
      <w:r w:rsidR="00195CB1" w:rsidRPr="00873C4C">
        <w:rPr>
          <w:color w:val="000000"/>
        </w:rPr>
        <w:t>studies</w:t>
      </w:r>
      <w:r w:rsidR="00BC3A4D" w:rsidRPr="00873C4C">
        <w:rPr>
          <w:color w:val="000000"/>
        </w:rPr>
        <w:t xml:space="preserve"> </w:t>
      </w:r>
      <w:r w:rsidR="00235965">
        <w:rPr>
          <w:color w:val="000000"/>
        </w:rPr>
        <w:t>to demonstrate</w:t>
      </w:r>
      <w:r w:rsidR="00BC3A4D" w:rsidRPr="00873C4C">
        <w:rPr>
          <w:color w:val="000000"/>
        </w:rPr>
        <w:t xml:space="preserve"> that thalidomide is active against advanced </w:t>
      </w:r>
      <w:r w:rsidR="007E7E53" w:rsidRPr="00873C4C">
        <w:rPr>
          <w:color w:val="000000"/>
        </w:rPr>
        <w:t>MM and</w:t>
      </w:r>
      <w:r w:rsidR="00BC3A4D" w:rsidRPr="00873C4C">
        <w:rPr>
          <w:color w:val="000000"/>
        </w:rPr>
        <w:t xml:space="preserve"> can induce marked and durable </w:t>
      </w:r>
      <w:r w:rsidR="007E7E53" w:rsidRPr="00873C4C">
        <w:rPr>
          <w:color w:val="000000"/>
        </w:rPr>
        <w:t xml:space="preserve">clinical </w:t>
      </w:r>
      <w:r w:rsidR="00BC3A4D" w:rsidRPr="00873C4C">
        <w:rPr>
          <w:color w:val="000000"/>
        </w:rPr>
        <w:t>responses in some patients including those who relapse after high-dose chemotherapy</w:t>
      </w:r>
      <w:r w:rsidR="00086A32" w:rsidRPr="00873C4C">
        <w:rPr>
          <w:color w:val="000000"/>
        </w:rPr>
        <w:t>.</w:t>
      </w:r>
      <w:r w:rsidR="00501939" w:rsidRPr="00873C4C">
        <w:rPr>
          <w:color w:val="000000"/>
        </w:rPr>
        <w:t xml:space="preserve"> </w:t>
      </w:r>
    </w:p>
    <w:p w:rsidR="00CE7847" w:rsidRPr="00873C4C" w:rsidRDefault="00CE7847" w:rsidP="00057B42">
      <w:pPr>
        <w:spacing w:line="360" w:lineRule="auto"/>
        <w:jc w:val="both"/>
        <w:rPr>
          <w:color w:val="000000"/>
        </w:rPr>
      </w:pPr>
    </w:p>
    <w:p w:rsidR="00D972E7" w:rsidRDefault="00D972E7" w:rsidP="00057B42">
      <w:pPr>
        <w:spacing w:line="360" w:lineRule="auto"/>
        <w:jc w:val="both"/>
        <w:rPr>
          <w:color w:val="000000"/>
        </w:rPr>
      </w:pPr>
      <w:r w:rsidRPr="00873C4C">
        <w:rPr>
          <w:color w:val="000000"/>
        </w:rPr>
        <w:t>Paper by Cavo</w:t>
      </w:r>
      <w:r w:rsidR="007F68D2" w:rsidRPr="00873C4C">
        <w:rPr>
          <w:color w:val="000000"/>
        </w:rPr>
        <w:t>,</w:t>
      </w:r>
      <w:r w:rsidRPr="00873C4C">
        <w:rPr>
          <w:color w:val="000000"/>
        </w:rPr>
        <w:t xml:space="preserve"> </w:t>
      </w:r>
      <w:r w:rsidR="007F68D2" w:rsidRPr="00873C4C">
        <w:rPr>
          <w:color w:val="000000"/>
        </w:rPr>
        <w:fldChar w:fldCharType="begin">
          <w:fldData xml:space="preserve">PEVuZE5vdGU+PENpdGU+PEF1dGhvcj5DYXZvPC9BdXRob3I+PFllYXI+MjAwNTwvWWVhcj48UmVj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</w:fldData>
        </w:fldChar>
      </w:r>
      <w:r w:rsidR="006F41FE">
        <w:rPr>
          <w:color w:val="000000"/>
        </w:rPr>
        <w:instrText xml:space="preserve"> ADDIN EN.CITE </w:instrText>
      </w:r>
      <w:r w:rsidR="006F41FE">
        <w:rPr>
          <w:color w:val="000000"/>
        </w:rPr>
        <w:fldChar w:fldCharType="begin">
          <w:fldData xml:space="preserve">PEVuZE5vdGU+PENpdGU+PEF1dGhvcj5DYXZvPC9BdXRob3I+PFllYXI+MjAwNTwvWWVhcj48UmVj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</w:fldData>
        </w:fldChar>
      </w:r>
      <w:r w:rsidR="006F41FE">
        <w:rPr>
          <w:color w:val="000000"/>
        </w:rPr>
        <w:instrText xml:space="preserve"> ADDIN EN.CITE.DATA </w:instrText>
      </w:r>
      <w:r w:rsidR="006F41FE">
        <w:rPr>
          <w:color w:val="000000"/>
        </w:rPr>
      </w:r>
      <w:r w:rsidR="006F41FE">
        <w:rPr>
          <w:color w:val="000000"/>
        </w:rPr>
        <w:fldChar w:fldCharType="end"/>
      </w:r>
      <w:r w:rsidR="007F68D2" w:rsidRPr="00873C4C">
        <w:rPr>
          <w:color w:val="000000"/>
        </w:rPr>
      </w:r>
      <w:r w:rsidR="007F68D2" w:rsidRPr="00873C4C">
        <w:rPr>
          <w:color w:val="000000"/>
        </w:rPr>
        <w:fldChar w:fldCharType="separate"/>
      </w:r>
      <w:r w:rsidR="006F41FE">
        <w:rPr>
          <w:noProof/>
          <w:color w:val="000000"/>
        </w:rPr>
        <w:t>(</w:t>
      </w:r>
      <w:hyperlink w:anchor="_ENREF_68" w:tooltip="Cavo, 2005 #16" w:history="1">
        <w:r w:rsidR="004A784D">
          <w:rPr>
            <w:noProof/>
            <w:color w:val="000000"/>
          </w:rPr>
          <w:t>Cavo et al., 2005</w:t>
        </w:r>
      </w:hyperlink>
      <w:r w:rsidR="006F41FE">
        <w:rPr>
          <w:noProof/>
          <w:color w:val="000000"/>
        </w:rPr>
        <w:t>)</w:t>
      </w:r>
      <w:r w:rsidR="007F68D2" w:rsidRPr="00873C4C">
        <w:rPr>
          <w:color w:val="000000"/>
        </w:rPr>
        <w:fldChar w:fldCharType="end"/>
      </w:r>
      <w:r w:rsidR="007F68D2" w:rsidRPr="00873C4C">
        <w:rPr>
          <w:color w:val="000000"/>
        </w:rPr>
        <w:t xml:space="preserve"> </w:t>
      </w:r>
      <w:r w:rsidRPr="00873C4C">
        <w:rPr>
          <w:color w:val="000000"/>
        </w:rPr>
        <w:t>is a retrospective case control study with two hundred patients.  The response rate was higher for thalidomide-de</w:t>
      </w:r>
      <w:r w:rsidR="00235965">
        <w:rPr>
          <w:color w:val="000000"/>
        </w:rPr>
        <w:t xml:space="preserve">xamethasone than for VAD. </w:t>
      </w:r>
      <w:r w:rsidRPr="00873C4C">
        <w:rPr>
          <w:color w:val="000000"/>
        </w:rPr>
        <w:t>Thalidomide-dexamethasone also produced larger reductions in immunoglobulin levels for patients with both IgG myelomas (</w:t>
      </w:r>
      <w:r w:rsidR="0010315E" w:rsidRPr="0010315E">
        <w:rPr>
          <w:i/>
          <w:color w:val="000000"/>
        </w:rPr>
        <w:t>p=</w:t>
      </w:r>
      <w:r w:rsidRPr="00873C4C">
        <w:rPr>
          <w:color w:val="000000"/>
        </w:rPr>
        <w:t>0.02) and IgA myelomas (</w:t>
      </w:r>
      <w:r w:rsidR="0010315E" w:rsidRPr="0010315E">
        <w:rPr>
          <w:i/>
          <w:color w:val="000000"/>
        </w:rPr>
        <w:t>P=</w:t>
      </w:r>
      <w:r w:rsidRPr="00873C4C">
        <w:rPr>
          <w:color w:val="000000"/>
        </w:rPr>
        <w:t>0.03). Deep venous thrombosis was more frequent in the thalidomide-</w:t>
      </w:r>
      <w:r w:rsidRPr="00873C4C">
        <w:rPr>
          <w:color w:val="000000"/>
        </w:rPr>
        <w:lastRenderedPageBreak/>
        <w:t xml:space="preserve">dexamethasone arm (15% versus 2%); neutropenia was more common in the VAD arm (12% versus 0%).  </w:t>
      </w:r>
    </w:p>
    <w:p w:rsidR="00D972E7" w:rsidRDefault="00D972E7" w:rsidP="00057B42">
      <w:pPr>
        <w:spacing w:line="360" w:lineRule="auto"/>
        <w:jc w:val="both"/>
        <w:rPr>
          <w:color w:val="000000"/>
        </w:rPr>
      </w:pPr>
      <w:r w:rsidRPr="00873C4C">
        <w:rPr>
          <w:color w:val="000000"/>
        </w:rPr>
        <w:t>T</w:t>
      </w:r>
      <w:r w:rsidR="007F68D2" w:rsidRPr="00873C4C">
        <w:rPr>
          <w:color w:val="000000"/>
        </w:rPr>
        <w:t xml:space="preserve">he paper by Rajkumar  </w:t>
      </w:r>
      <w:r w:rsidR="007F68D2" w:rsidRPr="00873C4C">
        <w:rPr>
          <w:color w:val="000000"/>
        </w:rPr>
        <w:fldChar w:fldCharType="begin"/>
      </w:r>
      <w:r w:rsidR="006F41FE">
        <w:rPr>
          <w:color w:val="000000"/>
        </w:rPr>
        <w:instrText xml:space="preserve"> ADDIN EN.CITE &lt;EndNote&gt;&lt;Cite&gt;&lt;Author&gt;Rajkumar&lt;/Author&gt;&lt;Year&gt;2006&lt;/Year&gt;&lt;RecNum&gt;3625&lt;/RecNum&gt;&lt;DisplayText&gt;(Rajkumar et al., 2006)&lt;/DisplayText&gt;&lt;record&gt;&lt;rec-number&gt;3625&lt;/rec-number&gt;&lt;foreign-keys&gt;&lt;key app="EN" db-id="zf0awxsaczrdd3eft5qvw9wrtxxawdfrvw2a"&gt;3625&lt;/key&gt;&lt;/foreign-keys&gt;&lt;ref-type name="Journal Article"&gt;17&lt;/ref-type&gt;&lt;contributors&gt;&lt;authors&gt;&lt;author&gt;Rajkumar, S. V.&lt;/author&gt;&lt;author&gt;Blood, E.&lt;/author&gt;&lt;author&gt;Vesole, D.&lt;/author&gt;&lt;author&gt;Fonseca, R.&lt;/author&gt;&lt;author&gt;Greipp, P. R.&lt;/author&gt;&lt;/authors&gt;&lt;/contributors&gt;&lt;auth-address&gt;Division of Hematology, Mayo Clinic, Rochester, MN 55905, USA. rajks@mayo.edu&lt;/auth-address&gt;&lt;titles&gt;&lt;title&gt;Phase III clinical trial of thalidomide plus dexamethasone compared with dexamethasone alone in newly diagnosed multiple myeloma: a clinical trial coordinated by the Eastern Cooperative Oncology Group&lt;/title&gt;&lt;secondary-title&gt;J Clin Oncol&lt;/secondary-title&gt;&lt;/titles&gt;&lt;periodical&gt;&lt;full-title&gt;J Clin Oncol&lt;/full-title&gt;&lt;/periodical&gt;&lt;pages&gt;431-6&lt;/pages&gt;&lt;volume&gt;24&lt;/volume&gt;&lt;number&gt;3&lt;/number&gt;&lt;edition&gt;2005/12/21&lt;/edition&gt;&lt;keywords&gt;&lt;keyword&gt;Adult&lt;/keyword&gt;&lt;keyword&gt;Aged&lt;/keyword&gt;&lt;keyword&gt;Antineoplastic Combined Chemotherapy Protocols/*therapeutic use&lt;/keyword&gt;&lt;keyword&gt;Dexamethasone/administration &amp;amp; dosage/*therapeutic use&lt;/keyword&gt;&lt;keyword&gt;Disease-Free Survival&lt;/keyword&gt;&lt;keyword&gt;Drug Synergism&lt;/keyword&gt;&lt;keyword&gt;Female&lt;/keyword&gt;&lt;keyword&gt;Humans&lt;/keyword&gt;&lt;keyword&gt;Male&lt;/keyword&gt;&lt;keyword&gt;Middle Aged&lt;/keyword&gt;&lt;keyword&gt;Multiple Myeloma/diagnosis/*drug therapy&lt;/keyword&gt;&lt;keyword&gt;Survival Analysis&lt;/keyword&gt;&lt;keyword&gt;Thalidomide/administration &amp;amp; dosage&lt;/keyword&gt;&lt;keyword&gt;Treatment Outcome&lt;/keyword&gt;&lt;/keywords&gt;&lt;dates&gt;&lt;year&gt;2006&lt;/year&gt;&lt;pub-dates&gt;&lt;date&gt;Jan 20&lt;/date&gt;&lt;/pub-dates&gt;&lt;/dates&gt;&lt;isbn&gt;1527-7755 (Electronic)&amp;#xD;0732-183X (Linking)&lt;/isbn&gt;&lt;accession-num&gt;16365178&lt;/accession-num&gt;&lt;urls&gt;&lt;related-urls&gt;&lt;url&gt;http://www.ncbi.nlm.nih.gov/pubmed/16365178&lt;/url&gt;&lt;/related-urls&gt;&lt;/urls&gt;&lt;electronic-resource-num&gt;JCO.2005.03.0221 [pii]&amp;#xD;10.1200/JCO.2005.03.0221&lt;/electronic-resource-num&gt;&lt;language&gt;eng&lt;/language&gt;&lt;/record&gt;&lt;/Cite&gt;&lt;/EndNote&gt;</w:instrText>
      </w:r>
      <w:r w:rsidR="007F68D2" w:rsidRPr="00873C4C">
        <w:rPr>
          <w:color w:val="000000"/>
        </w:rPr>
        <w:fldChar w:fldCharType="separate"/>
      </w:r>
      <w:r w:rsidR="006F41FE">
        <w:rPr>
          <w:noProof/>
          <w:color w:val="000000"/>
        </w:rPr>
        <w:t>(</w:t>
      </w:r>
      <w:hyperlink w:anchor="_ENREF_332" w:tooltip="Rajkumar, 2006 #3625" w:history="1">
        <w:r w:rsidR="004A784D">
          <w:rPr>
            <w:noProof/>
            <w:color w:val="000000"/>
          </w:rPr>
          <w:t>Rajkumar et al., 2006</w:t>
        </w:r>
      </w:hyperlink>
      <w:r w:rsidR="006F41FE">
        <w:rPr>
          <w:noProof/>
          <w:color w:val="000000"/>
        </w:rPr>
        <w:t>)</w:t>
      </w:r>
      <w:r w:rsidR="007F68D2" w:rsidRPr="00873C4C">
        <w:rPr>
          <w:color w:val="000000"/>
        </w:rPr>
        <w:fldChar w:fldCharType="end"/>
      </w:r>
      <w:r w:rsidRPr="00873C4C">
        <w:rPr>
          <w:color w:val="000000"/>
        </w:rPr>
        <w:t xml:space="preserve"> was a randomized clinical trial involving 207 patients.  The response rate to thalidomide-dexamethasone </w:t>
      </w:r>
      <w:r w:rsidR="007F68D2" w:rsidRPr="00873C4C">
        <w:rPr>
          <w:color w:val="000000"/>
        </w:rPr>
        <w:t xml:space="preserve">was significantly superior in newly diagnosed </w:t>
      </w:r>
      <w:r w:rsidR="00204550" w:rsidRPr="00873C4C">
        <w:rPr>
          <w:color w:val="000000"/>
        </w:rPr>
        <w:t>MM</w:t>
      </w:r>
      <w:r w:rsidR="007F68D2" w:rsidRPr="00873C4C">
        <w:rPr>
          <w:color w:val="000000"/>
        </w:rPr>
        <w:t xml:space="preserve"> compared with dexamethasone alone</w:t>
      </w:r>
      <w:r w:rsidRPr="00873C4C">
        <w:rPr>
          <w:color w:val="000000"/>
        </w:rPr>
        <w:t xml:space="preserve"> (</w:t>
      </w:r>
      <w:r w:rsidR="0010315E" w:rsidRPr="0010315E">
        <w:rPr>
          <w:i/>
          <w:color w:val="000000"/>
        </w:rPr>
        <w:t>p=</w:t>
      </w:r>
      <w:r w:rsidRPr="00873C4C">
        <w:rPr>
          <w:color w:val="000000"/>
        </w:rPr>
        <w:t>0.0017). Toxicity was higher in patients receiving thalidomide</w:t>
      </w:r>
      <w:r w:rsidR="00204550" w:rsidRPr="00873C4C">
        <w:rPr>
          <w:color w:val="000000"/>
        </w:rPr>
        <w:t xml:space="preserve"> based </w:t>
      </w:r>
      <w:r w:rsidR="00647448" w:rsidRPr="00873C4C">
        <w:rPr>
          <w:color w:val="000000"/>
        </w:rPr>
        <w:t>regimen</w:t>
      </w:r>
      <w:r w:rsidRPr="00873C4C">
        <w:rPr>
          <w:color w:val="000000"/>
        </w:rPr>
        <w:t xml:space="preserve">.  Deep venous thrombosis and neuropathy (≥ grade 3) were more common in the thalidomide-dexamethasone arm.  Stem cell collection was successful in 90% of patients in each arm.  </w:t>
      </w:r>
    </w:p>
    <w:p w:rsidR="00CE7847" w:rsidRPr="00873C4C" w:rsidRDefault="00CE7847" w:rsidP="00057B42">
      <w:pPr>
        <w:spacing w:line="360" w:lineRule="auto"/>
        <w:jc w:val="both"/>
        <w:rPr>
          <w:color w:val="000000"/>
        </w:rPr>
      </w:pPr>
    </w:p>
    <w:p w:rsidR="00D972E7" w:rsidRDefault="00D972E7" w:rsidP="00057B42">
      <w:pPr>
        <w:spacing w:line="360" w:lineRule="auto"/>
        <w:jc w:val="both"/>
        <w:rPr>
          <w:color w:val="000000"/>
        </w:rPr>
      </w:pPr>
      <w:r w:rsidRPr="00873C4C">
        <w:rPr>
          <w:color w:val="000000"/>
        </w:rPr>
        <w:t xml:space="preserve">The paper by Kumar et al </w:t>
      </w:r>
      <w:r w:rsidR="007F68D2" w:rsidRPr="00873C4C">
        <w:rPr>
          <w:color w:val="000000"/>
        </w:rPr>
        <w:fldChar w:fldCharType="begin">
          <w:fldData xml:space="preserve">PEVuZE5vdGU+PENpdGU+PEF1dGhvcj5LdW1hcjwvQXV0aG9yPjxZZWFyPjIwMDg8L1llYXI+PFJl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</w:fldData>
        </w:fldChar>
      </w:r>
      <w:r w:rsidR="006F41FE">
        <w:rPr>
          <w:color w:val="000000"/>
        </w:rPr>
        <w:instrText xml:space="preserve"> ADDIN EN.CITE </w:instrText>
      </w:r>
      <w:r w:rsidR="006F41FE">
        <w:rPr>
          <w:color w:val="000000"/>
        </w:rPr>
        <w:fldChar w:fldCharType="begin">
          <w:fldData xml:space="preserve">PEVuZE5vdGU+PENpdGU+PEF1dGhvcj5LdW1hcjwvQXV0aG9yPjxZZWFyPjIwMDg8L1llYXI+PFJl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</w:fldData>
        </w:fldChar>
      </w:r>
      <w:r w:rsidR="006F41FE">
        <w:rPr>
          <w:color w:val="000000"/>
        </w:rPr>
        <w:instrText xml:space="preserve"> ADDIN EN.CITE.DATA </w:instrText>
      </w:r>
      <w:r w:rsidR="006F41FE">
        <w:rPr>
          <w:color w:val="000000"/>
        </w:rPr>
      </w:r>
      <w:r w:rsidR="006F41FE">
        <w:rPr>
          <w:color w:val="000000"/>
        </w:rPr>
        <w:fldChar w:fldCharType="end"/>
      </w:r>
      <w:r w:rsidR="007F68D2" w:rsidRPr="00873C4C">
        <w:rPr>
          <w:color w:val="000000"/>
        </w:rPr>
      </w:r>
      <w:r w:rsidR="007F68D2" w:rsidRPr="00873C4C">
        <w:rPr>
          <w:color w:val="000000"/>
        </w:rPr>
        <w:fldChar w:fldCharType="separate"/>
      </w:r>
      <w:r w:rsidR="006F41FE">
        <w:rPr>
          <w:noProof/>
          <w:color w:val="000000"/>
        </w:rPr>
        <w:t>(</w:t>
      </w:r>
      <w:hyperlink w:anchor="_ENREF_226" w:tooltip="Kumar, 2008 #7" w:history="1">
        <w:r w:rsidR="004A784D">
          <w:rPr>
            <w:noProof/>
            <w:color w:val="000000"/>
          </w:rPr>
          <w:t>Kumar et al., 2008</w:t>
        </w:r>
      </w:hyperlink>
      <w:r w:rsidR="006F41FE">
        <w:rPr>
          <w:noProof/>
          <w:color w:val="000000"/>
        </w:rPr>
        <w:t>)</w:t>
      </w:r>
      <w:r w:rsidR="007F68D2" w:rsidRPr="00873C4C">
        <w:rPr>
          <w:color w:val="000000"/>
        </w:rPr>
        <w:fldChar w:fldCharType="end"/>
      </w:r>
      <w:r w:rsidR="007F68D2" w:rsidRPr="00873C4C">
        <w:rPr>
          <w:color w:val="000000"/>
        </w:rPr>
        <w:t xml:space="preserve"> </w:t>
      </w:r>
      <w:r w:rsidRPr="00873C4C">
        <w:rPr>
          <w:color w:val="000000"/>
        </w:rPr>
        <w:t xml:space="preserve">was a retrospective study of 472 patients who underwent stem cell transplantation within 12 months of diagnosis.  The purpose of the study was to determine if the type of initial chemotherapy affected the post-transplant outcome.  There were four treatment groups, VAD, dexamethasone alone, thalidomide plus dexamethasone and lenalidomide plus dexamethasone.  No difference in survival or time to progression was found.  </w:t>
      </w:r>
      <w:r w:rsidR="007F68D2" w:rsidRPr="00873C4C">
        <w:rPr>
          <w:color w:val="000000"/>
        </w:rPr>
        <w:t>However on further analysis t</w:t>
      </w:r>
      <w:r w:rsidRPr="00873C4C">
        <w:rPr>
          <w:color w:val="000000"/>
        </w:rPr>
        <w:t xml:space="preserve">he major weakness of this study is that it is retrospective and the different treatment groups were not matched.  </w:t>
      </w:r>
    </w:p>
    <w:p w:rsidR="00CE7847" w:rsidRPr="00873C4C" w:rsidRDefault="00CE7847" w:rsidP="00057B42">
      <w:pPr>
        <w:spacing w:line="360" w:lineRule="auto"/>
        <w:jc w:val="both"/>
        <w:rPr>
          <w:color w:val="000000"/>
        </w:rPr>
      </w:pPr>
    </w:p>
    <w:p w:rsidR="00501939" w:rsidRDefault="00D972E7" w:rsidP="00057B42">
      <w:pPr>
        <w:spacing w:line="360" w:lineRule="auto"/>
        <w:jc w:val="both"/>
        <w:rPr>
          <w:color w:val="000000"/>
        </w:rPr>
      </w:pPr>
      <w:r w:rsidRPr="00873C4C">
        <w:rPr>
          <w:color w:val="000000"/>
        </w:rPr>
        <w:t>T</w:t>
      </w:r>
      <w:r w:rsidR="009444BF" w:rsidRPr="00873C4C">
        <w:rPr>
          <w:color w:val="000000"/>
        </w:rPr>
        <w:t xml:space="preserve">he paper by Hussein </w:t>
      </w:r>
      <w:r w:rsidR="009444BF" w:rsidRPr="00873C4C">
        <w:rPr>
          <w:color w:val="000000"/>
        </w:rPr>
        <w:fldChar w:fldCharType="begin">
          <w:fldData xml:space="preserve">PEVuZE5vdGU+PENpdGU+PEF1dGhvcj5IdXNzZWluPC9BdXRob3I+PFllYXI+MjAwOTwvWWVhcj48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</w:fldData>
        </w:fldChar>
      </w:r>
      <w:r w:rsidR="00857D49">
        <w:rPr>
          <w:color w:val="000000"/>
        </w:rPr>
        <w:instrText xml:space="preserve"> ADDIN EN.CITE </w:instrText>
      </w:r>
      <w:r w:rsidR="00857D49">
        <w:rPr>
          <w:color w:val="000000"/>
        </w:rPr>
        <w:fldChar w:fldCharType="begin">
          <w:fldData xml:space="preserve">PEVuZE5vdGU+PENpdGU+PEF1dGhvcj5IdXNzZWluPC9BdXRob3I+PFllYXI+MjAwOTwvWWVhcj48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</w:fldData>
        </w:fldChar>
      </w:r>
      <w:r w:rsidR="00857D49">
        <w:rPr>
          <w:color w:val="000000"/>
        </w:rPr>
        <w:instrText xml:space="preserve"> ADDIN EN.CITE.DATA </w:instrText>
      </w:r>
      <w:r w:rsidR="00857D49">
        <w:rPr>
          <w:color w:val="000000"/>
        </w:rPr>
      </w:r>
      <w:r w:rsidR="00857D49">
        <w:rPr>
          <w:color w:val="000000"/>
        </w:rPr>
        <w:fldChar w:fldCharType="end"/>
      </w:r>
      <w:r w:rsidR="009444BF" w:rsidRPr="00873C4C">
        <w:rPr>
          <w:color w:val="000000"/>
        </w:rPr>
      </w:r>
      <w:r w:rsidR="009444BF" w:rsidRPr="00873C4C">
        <w:rPr>
          <w:color w:val="000000"/>
        </w:rPr>
        <w:fldChar w:fldCharType="separate"/>
      </w:r>
      <w:r w:rsidR="006F41FE">
        <w:rPr>
          <w:noProof/>
          <w:color w:val="000000"/>
        </w:rPr>
        <w:t>(</w:t>
      </w:r>
      <w:hyperlink w:anchor="_ENREF_188" w:tooltip="Hussein, 2009 #7163" w:history="1">
        <w:r w:rsidR="004A784D">
          <w:rPr>
            <w:noProof/>
            <w:color w:val="000000"/>
          </w:rPr>
          <w:t>Hussein et al., 2009</w:t>
        </w:r>
      </w:hyperlink>
      <w:r w:rsidR="006F41FE">
        <w:rPr>
          <w:noProof/>
          <w:color w:val="000000"/>
        </w:rPr>
        <w:t>)</w:t>
      </w:r>
      <w:r w:rsidR="009444BF" w:rsidRPr="00873C4C">
        <w:rPr>
          <w:color w:val="000000"/>
        </w:rPr>
        <w:fldChar w:fldCharType="end"/>
      </w:r>
      <w:r w:rsidRPr="00873C4C">
        <w:rPr>
          <w:color w:val="000000"/>
        </w:rPr>
        <w:t xml:space="preserve"> was a phase II study with 142 patients treated with thalidomide-dexamethasone and second group with VAD based regimen.  Collection of stem cells sufficient for two transplantations was achieved in 88% of 111 patients.   Two analyses were carried out.  The first was for all patients on each protocol.  In the second analysis, 121 patients were matched for ISS stage</w:t>
      </w:r>
      <w:r w:rsidR="00204550" w:rsidRPr="00873C4C">
        <w:rPr>
          <w:color w:val="000000"/>
        </w:rPr>
        <w:t>.</w:t>
      </w:r>
      <w:r w:rsidRPr="00873C4C">
        <w:rPr>
          <w:color w:val="000000"/>
        </w:rPr>
        <w:t xml:space="preserve">  The overall survival (</w:t>
      </w:r>
      <w:r w:rsidR="0010315E" w:rsidRPr="0010315E">
        <w:rPr>
          <w:i/>
          <w:color w:val="000000"/>
        </w:rPr>
        <w:t>p=</w:t>
      </w:r>
      <w:r w:rsidRPr="00873C4C">
        <w:rPr>
          <w:color w:val="000000"/>
        </w:rPr>
        <w:t>0.0002) and event-free survival (</w:t>
      </w:r>
      <w:r w:rsidR="0010315E" w:rsidRPr="0010315E">
        <w:rPr>
          <w:i/>
          <w:color w:val="000000"/>
        </w:rPr>
        <w:t>p=</w:t>
      </w:r>
      <w:r w:rsidRPr="00873C4C">
        <w:rPr>
          <w:color w:val="000000"/>
        </w:rPr>
        <w:t xml:space="preserve">0.0001) for patients treated with thalidomide-dexamethasone </w:t>
      </w:r>
      <w:r w:rsidR="00204550" w:rsidRPr="00873C4C">
        <w:rPr>
          <w:color w:val="000000"/>
        </w:rPr>
        <w:t xml:space="preserve">in both analysis </w:t>
      </w:r>
      <w:r w:rsidRPr="00873C4C">
        <w:rPr>
          <w:color w:val="000000"/>
        </w:rPr>
        <w:t>were superior to patients treated with VAD</w:t>
      </w:r>
      <w:r w:rsidR="00204550" w:rsidRPr="00873C4C">
        <w:rPr>
          <w:color w:val="000000"/>
        </w:rPr>
        <w:t xml:space="preserve"> chemotherapy</w:t>
      </w:r>
      <w:r w:rsidRPr="00873C4C">
        <w:rPr>
          <w:color w:val="000000"/>
        </w:rPr>
        <w:t xml:space="preserve">. </w:t>
      </w:r>
      <w:bookmarkStart w:id="237" w:name="_Toc260495793"/>
      <w:bookmarkStart w:id="238" w:name="_Toc260496044"/>
      <w:bookmarkStart w:id="239" w:name="_Toc260500437"/>
      <w:bookmarkStart w:id="240" w:name="_Toc261098463"/>
    </w:p>
    <w:p w:rsidR="00057B42" w:rsidRDefault="00057B42" w:rsidP="00057B42">
      <w:pPr>
        <w:spacing w:line="360" w:lineRule="auto"/>
        <w:jc w:val="both"/>
        <w:rPr>
          <w:color w:val="000000"/>
        </w:rPr>
      </w:pPr>
    </w:p>
    <w:p w:rsidR="00501939" w:rsidRPr="00873C4C" w:rsidRDefault="00501939" w:rsidP="00057B42">
      <w:pPr>
        <w:spacing w:line="360" w:lineRule="auto"/>
        <w:rPr>
          <w:color w:val="000000"/>
        </w:rPr>
      </w:pPr>
    </w:p>
    <w:p w:rsidR="001D042C" w:rsidRDefault="001D042C">
      <w:pPr>
        <w:rPr>
          <w:b/>
          <w:color w:val="000000"/>
          <w:sz w:val="26"/>
          <w:szCs w:val="26"/>
          <w:lang w:eastAsia="en-US"/>
        </w:rPr>
      </w:pPr>
      <w:r>
        <w:br w:type="page"/>
      </w:r>
    </w:p>
    <w:p w:rsidR="00106058" w:rsidRDefault="00501939" w:rsidP="00645687">
      <w:pPr>
        <w:pStyle w:val="Heading3"/>
      </w:pPr>
      <w:r w:rsidRPr="00873C4C">
        <w:lastRenderedPageBreak/>
        <w:tab/>
      </w:r>
      <w:bookmarkStart w:id="241" w:name="_Toc305759120"/>
      <w:bookmarkStart w:id="242" w:name="_Toc306570548"/>
      <w:bookmarkStart w:id="243" w:name="_Toc307067613"/>
      <w:bookmarkStart w:id="244" w:name="_Toc312169172"/>
      <w:bookmarkStart w:id="245" w:name="_Toc312172099"/>
      <w:bookmarkStart w:id="246" w:name="_Toc312257648"/>
      <w:r w:rsidR="00106058" w:rsidRPr="00873C4C">
        <w:t>Thalidomide side effects</w:t>
      </w:r>
      <w:bookmarkEnd w:id="237"/>
      <w:bookmarkEnd w:id="238"/>
      <w:bookmarkEnd w:id="239"/>
      <w:bookmarkEnd w:id="240"/>
      <w:bookmarkEnd w:id="241"/>
      <w:bookmarkEnd w:id="242"/>
      <w:bookmarkEnd w:id="243"/>
      <w:bookmarkEnd w:id="244"/>
      <w:bookmarkEnd w:id="245"/>
      <w:bookmarkEnd w:id="246"/>
    </w:p>
    <w:p w:rsidR="00501939" w:rsidRDefault="002B5EFF" w:rsidP="00FF6B80">
      <w:pPr>
        <w:pStyle w:val="NormalWeb"/>
        <w:spacing w:before="0" w:beforeAutospacing="0" w:after="0" w:afterAutospacing="0" w:line="360" w:lineRule="auto"/>
        <w:jc w:val="both"/>
        <w:rPr>
          <w:color w:val="000000"/>
          <w:lang w:val="en-IE"/>
        </w:rPr>
      </w:pPr>
      <w:r w:rsidRPr="00873C4C">
        <w:rPr>
          <w:color w:val="000000"/>
        </w:rPr>
        <w:t>Thalidomide is associated with several known side effects</w:t>
      </w:r>
      <w:r w:rsidRPr="00873C4C">
        <w:rPr>
          <w:color w:val="000000"/>
          <w:lang w:val="en-IE"/>
        </w:rPr>
        <w:t xml:space="preserve">. </w:t>
      </w:r>
      <w:r w:rsidR="00106058" w:rsidRPr="00873C4C">
        <w:rPr>
          <w:color w:val="000000"/>
          <w:lang w:val="en-IE"/>
        </w:rPr>
        <w:t xml:space="preserve">The most frequently reported serious adverse events in </w:t>
      </w:r>
      <w:r w:rsidR="00204550" w:rsidRPr="00873C4C">
        <w:rPr>
          <w:color w:val="000000"/>
          <w:lang w:val="en-IE"/>
        </w:rPr>
        <w:t xml:space="preserve">MM patients, </w:t>
      </w:r>
      <w:r w:rsidR="00106058" w:rsidRPr="00873C4C">
        <w:rPr>
          <w:color w:val="000000"/>
          <w:lang w:val="en-IE"/>
        </w:rPr>
        <w:t>occurring in ≥20% of patients treated with thalidomide are</w:t>
      </w:r>
      <w:r w:rsidR="00A92892">
        <w:rPr>
          <w:color w:val="000000"/>
          <w:lang w:val="en-IE"/>
        </w:rPr>
        <w:t xml:space="preserve"> </w:t>
      </w:r>
      <w:r w:rsidR="00FF6B80">
        <w:rPr>
          <w:color w:val="000000"/>
          <w:lang w:val="en-IE"/>
        </w:rPr>
        <w:t>listed below</w:t>
      </w:r>
      <w:r w:rsidR="00A92892">
        <w:rPr>
          <w:color w:val="000000"/>
          <w:lang w:val="en-IE"/>
        </w:rPr>
        <w:t>:</w:t>
      </w:r>
      <w:r w:rsidR="00204550" w:rsidRPr="00873C4C">
        <w:rPr>
          <w:color w:val="000000"/>
          <w:lang w:val="en-IE"/>
        </w:rPr>
        <w:t xml:space="preserve"> </w:t>
      </w:r>
    </w:p>
    <w:p w:rsidR="003473F8" w:rsidRPr="00873C4C" w:rsidRDefault="003473F8" w:rsidP="00057B42">
      <w:pPr>
        <w:pStyle w:val="NormalWeb"/>
        <w:spacing w:before="0" w:beforeAutospacing="0" w:after="0" w:afterAutospacing="0" w:line="360" w:lineRule="auto"/>
        <w:jc w:val="both"/>
        <w:rPr>
          <w:color w:val="000000"/>
          <w:lang w:val="en-IE"/>
        </w:rPr>
      </w:pPr>
    </w:p>
    <w:p w:rsidR="00106058" w:rsidRDefault="0092498C" w:rsidP="00645687">
      <w:pPr>
        <w:pStyle w:val="Heading4"/>
      </w:pPr>
      <w:r w:rsidRPr="00873C4C">
        <w:tab/>
      </w:r>
      <w:bookmarkStart w:id="247" w:name="_Toc305759121"/>
      <w:bookmarkStart w:id="248" w:name="_Toc306570549"/>
      <w:bookmarkStart w:id="249" w:name="_Toc307067614"/>
      <w:bookmarkStart w:id="250" w:name="_Toc312169173"/>
      <w:bookmarkStart w:id="251" w:name="_Toc312172100"/>
      <w:bookmarkStart w:id="252" w:name="_Toc312257649"/>
      <w:r w:rsidR="005444EB" w:rsidRPr="00873C4C">
        <w:t>Common side effects</w:t>
      </w:r>
      <w:bookmarkEnd w:id="247"/>
      <w:bookmarkEnd w:id="248"/>
      <w:bookmarkEnd w:id="249"/>
      <w:bookmarkEnd w:id="250"/>
      <w:bookmarkEnd w:id="251"/>
      <w:bookmarkEnd w:id="252"/>
      <w:r w:rsidR="00501939" w:rsidRPr="00873C4C">
        <w:t xml:space="preserve"> </w:t>
      </w:r>
    </w:p>
    <w:p w:rsidR="00FF6B80" w:rsidRDefault="005444EB" w:rsidP="00FF6B80">
      <w:pPr>
        <w:pStyle w:val="NormalWeb"/>
        <w:spacing w:before="0" w:beforeAutospacing="0" w:after="0" w:afterAutospacing="0" w:line="360" w:lineRule="auto"/>
        <w:jc w:val="both"/>
        <w:rPr>
          <w:color w:val="000000"/>
          <w:lang w:val="en-IE"/>
        </w:rPr>
      </w:pPr>
      <w:r w:rsidRPr="00873C4C">
        <w:rPr>
          <w:color w:val="000000"/>
        </w:rPr>
        <w:t>Common side effect are, c</w:t>
      </w:r>
      <w:r w:rsidR="00106058" w:rsidRPr="00873C4C">
        <w:rPr>
          <w:bCs/>
          <w:color w:val="000000"/>
        </w:rPr>
        <w:t>onstipation</w:t>
      </w:r>
      <w:r w:rsidRPr="00873C4C">
        <w:rPr>
          <w:bCs/>
          <w:color w:val="000000"/>
        </w:rPr>
        <w:t>, t</w:t>
      </w:r>
      <w:r w:rsidR="00106058" w:rsidRPr="00873C4C">
        <w:rPr>
          <w:bCs/>
          <w:color w:val="000000"/>
        </w:rPr>
        <w:t>iredness</w:t>
      </w:r>
      <w:r w:rsidRPr="00873C4C">
        <w:rPr>
          <w:bCs/>
          <w:color w:val="000000"/>
        </w:rPr>
        <w:t>, g</w:t>
      </w:r>
      <w:r w:rsidR="00204550" w:rsidRPr="00873C4C">
        <w:rPr>
          <w:bCs/>
          <w:color w:val="000000"/>
        </w:rPr>
        <w:t>eneralized w</w:t>
      </w:r>
      <w:r w:rsidR="00106058" w:rsidRPr="00873C4C">
        <w:rPr>
          <w:bCs/>
          <w:color w:val="000000"/>
        </w:rPr>
        <w:t>eakness</w:t>
      </w:r>
      <w:r w:rsidRPr="00873C4C">
        <w:rPr>
          <w:bCs/>
          <w:color w:val="000000"/>
        </w:rPr>
        <w:t>, b</w:t>
      </w:r>
      <w:r w:rsidR="00106058" w:rsidRPr="00873C4C">
        <w:rPr>
          <w:bCs/>
          <w:color w:val="000000"/>
        </w:rPr>
        <w:t>odily discomfort</w:t>
      </w:r>
      <w:r w:rsidRPr="00873C4C">
        <w:rPr>
          <w:bCs/>
          <w:color w:val="000000"/>
        </w:rPr>
        <w:t>, s</w:t>
      </w:r>
      <w:r w:rsidR="00106058" w:rsidRPr="00873C4C">
        <w:rPr>
          <w:color w:val="000000"/>
        </w:rPr>
        <w:t>leepiness and decreased alertness</w:t>
      </w:r>
      <w:r w:rsidR="00FF6B80">
        <w:rPr>
          <w:color w:val="000000"/>
        </w:rPr>
        <w:t>, n</w:t>
      </w:r>
      <w:r w:rsidRPr="00873C4C">
        <w:rPr>
          <w:color w:val="000000"/>
        </w:rPr>
        <w:t xml:space="preserve">ausea, </w:t>
      </w:r>
      <w:r w:rsidR="00FF6B80">
        <w:rPr>
          <w:color w:val="000000"/>
        </w:rPr>
        <w:t>s</w:t>
      </w:r>
      <w:r w:rsidR="00106058" w:rsidRPr="00873C4C">
        <w:rPr>
          <w:color w:val="000000"/>
        </w:rPr>
        <w:t>kin rash; itchiness</w:t>
      </w:r>
      <w:r w:rsidRPr="00873C4C">
        <w:rPr>
          <w:color w:val="000000"/>
        </w:rPr>
        <w:t xml:space="preserve">, </w:t>
      </w:r>
      <w:r w:rsidR="00FF6B80">
        <w:rPr>
          <w:color w:val="000000"/>
        </w:rPr>
        <w:t>d</w:t>
      </w:r>
      <w:r w:rsidR="00106058" w:rsidRPr="00873C4C">
        <w:rPr>
          <w:color w:val="000000"/>
        </w:rPr>
        <w:t xml:space="preserve">ryness of </w:t>
      </w:r>
      <w:r w:rsidR="00204550" w:rsidRPr="00873C4C">
        <w:rPr>
          <w:color w:val="000000"/>
        </w:rPr>
        <w:t>skin, mouth, eyes</w:t>
      </w:r>
      <w:r w:rsidRPr="00873C4C">
        <w:rPr>
          <w:color w:val="000000"/>
        </w:rPr>
        <w:t xml:space="preserve">, </w:t>
      </w:r>
      <w:r w:rsidR="00FF6B80">
        <w:rPr>
          <w:color w:val="000000"/>
        </w:rPr>
        <w:t>n</w:t>
      </w:r>
      <w:r w:rsidR="00106058" w:rsidRPr="00873C4C">
        <w:rPr>
          <w:color w:val="000000"/>
        </w:rPr>
        <w:t xml:space="preserve">umbness, tingling, or pain in hands or feet caused by damage to the </w:t>
      </w:r>
      <w:r w:rsidR="00204550" w:rsidRPr="00873C4C">
        <w:rPr>
          <w:color w:val="000000"/>
        </w:rPr>
        <w:t xml:space="preserve">peripheral </w:t>
      </w:r>
      <w:r w:rsidR="00106058" w:rsidRPr="00873C4C">
        <w:rPr>
          <w:color w:val="000000"/>
        </w:rPr>
        <w:t>nerves that may be permanent</w:t>
      </w:r>
      <w:r w:rsidR="00FF6B80">
        <w:rPr>
          <w:color w:val="000000"/>
        </w:rPr>
        <w:t>,</w:t>
      </w:r>
      <w:r w:rsidR="00C50753" w:rsidRPr="00873C4C">
        <w:rPr>
          <w:color w:val="000000"/>
        </w:rPr>
        <w:t xml:space="preserve"> </w:t>
      </w:r>
      <w:r w:rsidR="00FF6B80">
        <w:rPr>
          <w:bCs/>
          <w:color w:val="000000"/>
        </w:rPr>
        <w:t>m</w:t>
      </w:r>
      <w:r w:rsidR="00106058" w:rsidRPr="00873C4C">
        <w:rPr>
          <w:bCs/>
          <w:color w:val="000000"/>
        </w:rPr>
        <w:t>uscle pain</w:t>
      </w:r>
      <w:r w:rsidR="00C50753" w:rsidRPr="00873C4C">
        <w:rPr>
          <w:bCs/>
          <w:color w:val="000000"/>
        </w:rPr>
        <w:t xml:space="preserve">, </w:t>
      </w:r>
      <w:r w:rsidR="00FF6B80">
        <w:rPr>
          <w:color w:val="000000"/>
        </w:rPr>
        <w:t>h</w:t>
      </w:r>
      <w:r w:rsidR="00204550" w:rsidRPr="00873C4C">
        <w:rPr>
          <w:color w:val="000000"/>
        </w:rPr>
        <w:t>eartburn and</w:t>
      </w:r>
      <w:r w:rsidR="00106058" w:rsidRPr="00873C4C">
        <w:rPr>
          <w:color w:val="000000"/>
        </w:rPr>
        <w:t xml:space="preserve"> indigestion </w:t>
      </w:r>
      <w:r w:rsidR="00FF6B80" w:rsidRPr="00873C4C">
        <w:rPr>
          <w:color w:val="000000"/>
          <w:lang w:val="en-IE"/>
        </w:rPr>
        <w:fldChar w:fldCharType="begin">
          <w:fldData xml:space="preserve">PEVuZE5vdGU+PENpdGU+PEF1dGhvcj5XYXJ6b2NoYTwvQXV0aG9yPjxZZWFyPjIwMDg8L1llYXI+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</w:fldData>
        </w:fldChar>
      </w:r>
      <w:r w:rsidR="00FF6B80">
        <w:rPr>
          <w:color w:val="000000"/>
          <w:lang w:val="en-IE"/>
        </w:rPr>
        <w:instrText xml:space="preserve"> ADDIN EN.CITE </w:instrText>
      </w:r>
      <w:r w:rsidR="00FF6B80">
        <w:rPr>
          <w:color w:val="000000"/>
          <w:lang w:val="en-IE"/>
        </w:rPr>
        <w:fldChar w:fldCharType="begin">
          <w:fldData xml:space="preserve">PEVuZE5vdGU+PENpdGU+PEF1dGhvcj5XYXJ6b2NoYTwvQXV0aG9yPjxZZWFyPjIwMDg8L1llYXI+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</w:fldData>
        </w:fldChar>
      </w:r>
      <w:r w:rsidR="00FF6B80">
        <w:rPr>
          <w:color w:val="000000"/>
          <w:lang w:val="en-IE"/>
        </w:rPr>
        <w:instrText xml:space="preserve"> ADDIN EN.CITE.DATA </w:instrText>
      </w:r>
      <w:r w:rsidR="00FF6B80">
        <w:rPr>
          <w:color w:val="000000"/>
          <w:lang w:val="en-IE"/>
        </w:rPr>
      </w:r>
      <w:r w:rsidR="00FF6B80">
        <w:rPr>
          <w:color w:val="000000"/>
          <w:lang w:val="en-IE"/>
        </w:rPr>
        <w:fldChar w:fldCharType="end"/>
      </w:r>
      <w:r w:rsidR="00FF6B80" w:rsidRPr="00873C4C">
        <w:rPr>
          <w:color w:val="000000"/>
          <w:lang w:val="en-IE"/>
        </w:rPr>
      </w:r>
      <w:r w:rsidR="00FF6B80" w:rsidRPr="00873C4C">
        <w:rPr>
          <w:color w:val="000000"/>
          <w:lang w:val="en-IE"/>
        </w:rPr>
        <w:fldChar w:fldCharType="separate"/>
      </w:r>
      <w:r w:rsidR="00FF6B80">
        <w:rPr>
          <w:noProof/>
          <w:color w:val="000000"/>
          <w:lang w:val="en-IE"/>
        </w:rPr>
        <w:t>(</w:t>
      </w:r>
      <w:hyperlink w:anchor="_ENREF_447" w:tooltip="Warzocha, 2008 #225" w:history="1">
        <w:r w:rsidR="004A784D">
          <w:rPr>
            <w:noProof/>
            <w:color w:val="000000"/>
            <w:lang w:val="en-IE"/>
          </w:rPr>
          <w:t>Warzocha et al., 2008</w:t>
        </w:r>
      </w:hyperlink>
      <w:r w:rsidR="00FF6B80">
        <w:rPr>
          <w:noProof/>
          <w:color w:val="000000"/>
          <w:lang w:val="en-IE"/>
        </w:rPr>
        <w:t xml:space="preserve">, </w:t>
      </w:r>
      <w:hyperlink w:anchor="_ENREF_241" w:tooltip="Levesque, 2009 #321" w:history="1">
        <w:r w:rsidR="004A784D">
          <w:rPr>
            <w:noProof/>
            <w:color w:val="000000"/>
            <w:lang w:val="en-IE"/>
          </w:rPr>
          <w:t>Levesque and Bradette, 2009</w:t>
        </w:r>
      </w:hyperlink>
      <w:r w:rsidR="00FF6B80">
        <w:rPr>
          <w:noProof/>
          <w:color w:val="000000"/>
          <w:lang w:val="en-IE"/>
        </w:rPr>
        <w:t xml:space="preserve">, </w:t>
      </w:r>
      <w:hyperlink w:anchor="_ENREF_463" w:tooltip="Zangari, 2009 #130" w:history="1">
        <w:r w:rsidR="004A784D">
          <w:rPr>
            <w:noProof/>
            <w:color w:val="000000"/>
            <w:lang w:val="en-IE"/>
          </w:rPr>
          <w:t>Zangari et al., 2009</w:t>
        </w:r>
      </w:hyperlink>
      <w:r w:rsidR="00FF6B80">
        <w:rPr>
          <w:noProof/>
          <w:color w:val="000000"/>
          <w:lang w:val="en-IE"/>
        </w:rPr>
        <w:t xml:space="preserve">, </w:t>
      </w:r>
      <w:hyperlink w:anchor="_ENREF_117" w:tooltip="Eo,  #133" w:history="1">
        <w:r w:rsidR="004A784D">
          <w:rPr>
            <w:noProof/>
            <w:color w:val="000000"/>
            <w:lang w:val="en-IE"/>
          </w:rPr>
          <w:t>Eo et al.</w:t>
        </w:r>
      </w:hyperlink>
      <w:r w:rsidR="00FF6B80">
        <w:rPr>
          <w:noProof/>
          <w:color w:val="000000"/>
          <w:lang w:val="en-IE"/>
        </w:rPr>
        <w:t xml:space="preserve">, </w:t>
      </w:r>
      <w:hyperlink w:anchor="_ENREF_138" w:tooltip="Gay, 2009 #154" w:history="1">
        <w:r w:rsidR="004A784D">
          <w:rPr>
            <w:noProof/>
            <w:color w:val="000000"/>
            <w:lang w:val="en-IE"/>
          </w:rPr>
          <w:t>Gay and Palumbo, 2009</w:t>
        </w:r>
      </w:hyperlink>
      <w:r w:rsidR="00FF6B80">
        <w:rPr>
          <w:noProof/>
          <w:color w:val="000000"/>
          <w:lang w:val="en-IE"/>
        </w:rPr>
        <w:t>)</w:t>
      </w:r>
      <w:r w:rsidR="00FF6B80" w:rsidRPr="00873C4C">
        <w:rPr>
          <w:color w:val="000000"/>
          <w:lang w:val="en-IE"/>
        </w:rPr>
        <w:fldChar w:fldCharType="end"/>
      </w:r>
      <w:r w:rsidR="00FF6B80">
        <w:rPr>
          <w:color w:val="000000"/>
          <w:lang w:val="en-IE"/>
        </w:rPr>
        <w:t>.</w:t>
      </w:r>
    </w:p>
    <w:p w:rsidR="00C50753" w:rsidRDefault="0092498C" w:rsidP="00645687">
      <w:pPr>
        <w:pStyle w:val="Heading4"/>
      </w:pPr>
      <w:r w:rsidRPr="00873C4C">
        <w:tab/>
      </w:r>
      <w:bookmarkStart w:id="253" w:name="_Toc305759122"/>
      <w:bookmarkStart w:id="254" w:name="_Toc306570550"/>
      <w:bookmarkStart w:id="255" w:name="_Toc307067615"/>
      <w:bookmarkStart w:id="256" w:name="_Toc312169174"/>
      <w:bookmarkStart w:id="257" w:name="_Toc312172101"/>
      <w:bookmarkStart w:id="258" w:name="_Toc312257650"/>
      <w:r w:rsidR="00C50753" w:rsidRPr="00873C4C">
        <w:t>Less common side effects</w:t>
      </w:r>
      <w:bookmarkEnd w:id="253"/>
      <w:bookmarkEnd w:id="254"/>
      <w:bookmarkEnd w:id="255"/>
      <w:bookmarkEnd w:id="256"/>
      <w:bookmarkEnd w:id="257"/>
      <w:bookmarkEnd w:id="258"/>
    </w:p>
    <w:p w:rsidR="00FF6B80" w:rsidRDefault="00C50753" w:rsidP="00FF6B80">
      <w:pPr>
        <w:pStyle w:val="NormalWeb"/>
        <w:spacing w:before="0" w:beforeAutospacing="0" w:after="0" w:afterAutospacing="0" w:line="360" w:lineRule="auto"/>
        <w:jc w:val="both"/>
        <w:rPr>
          <w:color w:val="000000"/>
          <w:lang w:val="en-IE"/>
        </w:rPr>
      </w:pPr>
      <w:r w:rsidRPr="00873C4C">
        <w:rPr>
          <w:bCs/>
          <w:color w:val="000000"/>
        </w:rPr>
        <w:t>Less common side effects</w:t>
      </w:r>
      <w:r w:rsidRPr="00873C4C">
        <w:rPr>
          <w:color w:val="000000"/>
        </w:rPr>
        <w:t xml:space="preserve"> are: </w:t>
      </w:r>
      <w:r w:rsidR="00106058" w:rsidRPr="00873C4C">
        <w:rPr>
          <w:color w:val="000000"/>
        </w:rPr>
        <w:t>Headache</w:t>
      </w:r>
      <w:r w:rsidRPr="00873C4C">
        <w:rPr>
          <w:color w:val="000000"/>
        </w:rPr>
        <w:t xml:space="preserve">, </w:t>
      </w:r>
      <w:r w:rsidR="00106058" w:rsidRPr="00873C4C">
        <w:rPr>
          <w:color w:val="000000"/>
        </w:rPr>
        <w:t>Blurry vision</w:t>
      </w:r>
      <w:r w:rsidRPr="00873C4C">
        <w:rPr>
          <w:color w:val="000000"/>
        </w:rPr>
        <w:t xml:space="preserve">, </w:t>
      </w:r>
      <w:r w:rsidR="00106058" w:rsidRPr="00873C4C">
        <w:rPr>
          <w:color w:val="000000"/>
        </w:rPr>
        <w:t>Muscle weakness</w:t>
      </w:r>
      <w:r w:rsidRPr="00873C4C">
        <w:rPr>
          <w:color w:val="000000"/>
        </w:rPr>
        <w:t xml:space="preserve">, </w:t>
      </w:r>
      <w:r w:rsidR="00106058" w:rsidRPr="00873C4C">
        <w:rPr>
          <w:color w:val="000000"/>
        </w:rPr>
        <w:t>Trembling</w:t>
      </w:r>
      <w:r w:rsidRPr="00873C4C">
        <w:rPr>
          <w:color w:val="000000"/>
        </w:rPr>
        <w:t xml:space="preserve">, </w:t>
      </w:r>
      <w:r w:rsidR="00106058" w:rsidRPr="00873C4C">
        <w:rPr>
          <w:color w:val="000000"/>
        </w:rPr>
        <w:t>or shaking</w:t>
      </w:r>
      <w:r w:rsidRPr="00873C4C">
        <w:rPr>
          <w:color w:val="000000"/>
        </w:rPr>
        <w:t xml:space="preserve">, </w:t>
      </w:r>
      <w:r w:rsidR="00106058" w:rsidRPr="00873C4C">
        <w:rPr>
          <w:color w:val="000000"/>
        </w:rPr>
        <w:t>Mood c</w:t>
      </w:r>
      <w:r w:rsidR="00204550" w:rsidRPr="00873C4C">
        <w:rPr>
          <w:color w:val="000000"/>
        </w:rPr>
        <w:t xml:space="preserve">hanges such as </w:t>
      </w:r>
      <w:r w:rsidR="00106058" w:rsidRPr="00873C4C">
        <w:rPr>
          <w:color w:val="000000"/>
        </w:rPr>
        <w:t>depression</w:t>
      </w:r>
      <w:r w:rsidRPr="00873C4C">
        <w:rPr>
          <w:color w:val="000000"/>
        </w:rPr>
        <w:t xml:space="preserve">, </w:t>
      </w:r>
      <w:r w:rsidR="00FF6B80">
        <w:rPr>
          <w:color w:val="000000"/>
        </w:rPr>
        <w:t>c</w:t>
      </w:r>
      <w:r w:rsidR="00106058" w:rsidRPr="00873C4C">
        <w:rPr>
          <w:color w:val="000000"/>
        </w:rPr>
        <w:t>onfusion</w:t>
      </w:r>
      <w:r w:rsidRPr="00873C4C">
        <w:rPr>
          <w:color w:val="000000"/>
        </w:rPr>
        <w:t xml:space="preserve">, </w:t>
      </w:r>
      <w:r w:rsidR="00FF6B80">
        <w:rPr>
          <w:color w:val="000000"/>
        </w:rPr>
        <w:t>d</w:t>
      </w:r>
      <w:r w:rsidR="00106058" w:rsidRPr="00873C4C">
        <w:rPr>
          <w:color w:val="000000"/>
        </w:rPr>
        <w:t>izziness</w:t>
      </w:r>
      <w:r w:rsidRPr="00873C4C">
        <w:rPr>
          <w:color w:val="000000"/>
        </w:rPr>
        <w:t xml:space="preserve">, </w:t>
      </w:r>
      <w:r w:rsidR="00FF6B80">
        <w:rPr>
          <w:color w:val="000000"/>
        </w:rPr>
        <w:t>s</w:t>
      </w:r>
      <w:r w:rsidR="00106058" w:rsidRPr="00873C4C">
        <w:rPr>
          <w:color w:val="000000"/>
        </w:rPr>
        <w:t>welling of the face, hands, or feet</w:t>
      </w:r>
      <w:r w:rsidRPr="00873C4C">
        <w:rPr>
          <w:color w:val="000000"/>
        </w:rPr>
        <w:t xml:space="preserve">, </w:t>
      </w:r>
      <w:r w:rsidR="00FF6B80">
        <w:rPr>
          <w:bCs/>
          <w:color w:val="000000"/>
        </w:rPr>
        <w:t>d</w:t>
      </w:r>
      <w:r w:rsidR="00106058" w:rsidRPr="00873C4C">
        <w:rPr>
          <w:bCs/>
          <w:color w:val="000000"/>
        </w:rPr>
        <w:t>ecreased blood counts, which could lead to an increased risk of infection, weakness and fatigue, or bleeding complications</w:t>
      </w:r>
      <w:r w:rsidRPr="00873C4C">
        <w:rPr>
          <w:bCs/>
          <w:color w:val="000000"/>
        </w:rPr>
        <w:t xml:space="preserve">, </w:t>
      </w:r>
      <w:r w:rsidR="00FF6B80">
        <w:rPr>
          <w:color w:val="000000"/>
        </w:rPr>
        <w:t>s</w:t>
      </w:r>
      <w:r w:rsidRPr="00873C4C">
        <w:rPr>
          <w:color w:val="000000"/>
        </w:rPr>
        <w:t xml:space="preserve">hortness of breath, </w:t>
      </w:r>
      <w:r w:rsidR="00FF6B80">
        <w:rPr>
          <w:color w:val="000000"/>
        </w:rPr>
        <w:t>l</w:t>
      </w:r>
      <w:r w:rsidR="00106058" w:rsidRPr="00873C4C">
        <w:rPr>
          <w:color w:val="000000"/>
        </w:rPr>
        <w:t>ow thyroid level, which can result</w:t>
      </w:r>
      <w:r w:rsidR="00204550" w:rsidRPr="00873C4C">
        <w:rPr>
          <w:color w:val="000000"/>
        </w:rPr>
        <w:t xml:space="preserve"> in tiredness, weakness </w:t>
      </w:r>
      <w:r w:rsidR="00106058" w:rsidRPr="00873C4C">
        <w:rPr>
          <w:color w:val="000000"/>
        </w:rPr>
        <w:t>and weight gain</w:t>
      </w:r>
      <w:r w:rsidR="00FF6B80">
        <w:rPr>
          <w:color w:val="000000"/>
        </w:rPr>
        <w:t xml:space="preserve"> </w:t>
      </w:r>
      <w:r w:rsidR="00FF6B80" w:rsidRPr="00873C4C">
        <w:rPr>
          <w:color w:val="000000"/>
          <w:lang w:val="en-IE"/>
        </w:rPr>
        <w:fldChar w:fldCharType="begin">
          <w:fldData xml:space="preserve">PEVuZE5vdGU+PENpdGU+PEF1dGhvcj5XYXJ6b2NoYTwvQXV0aG9yPjxZZWFyPjIwMDg8L1llYXI+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</w:fldData>
        </w:fldChar>
      </w:r>
      <w:r w:rsidR="00FF6B80">
        <w:rPr>
          <w:color w:val="000000"/>
          <w:lang w:val="en-IE"/>
        </w:rPr>
        <w:instrText xml:space="preserve"> ADDIN EN.CITE </w:instrText>
      </w:r>
      <w:r w:rsidR="00FF6B80">
        <w:rPr>
          <w:color w:val="000000"/>
          <w:lang w:val="en-IE"/>
        </w:rPr>
        <w:fldChar w:fldCharType="begin">
          <w:fldData xml:space="preserve">PEVuZE5vdGU+PENpdGU+PEF1dGhvcj5XYXJ6b2NoYTwvQXV0aG9yPjxZZWFyPjIwMDg8L1llYXI+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</w:fldData>
        </w:fldChar>
      </w:r>
      <w:r w:rsidR="00FF6B80">
        <w:rPr>
          <w:color w:val="000000"/>
          <w:lang w:val="en-IE"/>
        </w:rPr>
        <w:instrText xml:space="preserve"> ADDIN EN.CITE.DATA </w:instrText>
      </w:r>
      <w:r w:rsidR="00FF6B80">
        <w:rPr>
          <w:color w:val="000000"/>
          <w:lang w:val="en-IE"/>
        </w:rPr>
      </w:r>
      <w:r w:rsidR="00FF6B80">
        <w:rPr>
          <w:color w:val="000000"/>
          <w:lang w:val="en-IE"/>
        </w:rPr>
        <w:fldChar w:fldCharType="end"/>
      </w:r>
      <w:r w:rsidR="00FF6B80" w:rsidRPr="00873C4C">
        <w:rPr>
          <w:color w:val="000000"/>
          <w:lang w:val="en-IE"/>
        </w:rPr>
      </w:r>
      <w:r w:rsidR="00FF6B80" w:rsidRPr="00873C4C">
        <w:rPr>
          <w:color w:val="000000"/>
          <w:lang w:val="en-IE"/>
        </w:rPr>
        <w:fldChar w:fldCharType="separate"/>
      </w:r>
      <w:r w:rsidR="00FF6B80">
        <w:rPr>
          <w:noProof/>
          <w:color w:val="000000"/>
          <w:lang w:val="en-IE"/>
        </w:rPr>
        <w:t>(</w:t>
      </w:r>
      <w:hyperlink w:anchor="_ENREF_447" w:tooltip="Warzocha, 2008 #225" w:history="1">
        <w:r w:rsidR="004A784D">
          <w:rPr>
            <w:noProof/>
            <w:color w:val="000000"/>
            <w:lang w:val="en-IE"/>
          </w:rPr>
          <w:t>Warzocha et al., 2008</w:t>
        </w:r>
      </w:hyperlink>
      <w:r w:rsidR="00FF6B80">
        <w:rPr>
          <w:noProof/>
          <w:color w:val="000000"/>
          <w:lang w:val="en-IE"/>
        </w:rPr>
        <w:t xml:space="preserve">, </w:t>
      </w:r>
      <w:hyperlink w:anchor="_ENREF_241" w:tooltip="Levesque, 2009 #321" w:history="1">
        <w:r w:rsidR="004A784D">
          <w:rPr>
            <w:noProof/>
            <w:color w:val="000000"/>
            <w:lang w:val="en-IE"/>
          </w:rPr>
          <w:t>Levesque and Bradette, 2009</w:t>
        </w:r>
      </w:hyperlink>
      <w:r w:rsidR="00FF6B80">
        <w:rPr>
          <w:noProof/>
          <w:color w:val="000000"/>
          <w:lang w:val="en-IE"/>
        </w:rPr>
        <w:t xml:space="preserve">, </w:t>
      </w:r>
      <w:hyperlink w:anchor="_ENREF_463" w:tooltip="Zangari, 2009 #130" w:history="1">
        <w:r w:rsidR="004A784D">
          <w:rPr>
            <w:noProof/>
            <w:color w:val="000000"/>
            <w:lang w:val="en-IE"/>
          </w:rPr>
          <w:t>Zangari et al., 2009</w:t>
        </w:r>
      </w:hyperlink>
      <w:r w:rsidR="00FF6B80">
        <w:rPr>
          <w:noProof/>
          <w:color w:val="000000"/>
          <w:lang w:val="en-IE"/>
        </w:rPr>
        <w:t xml:space="preserve">, </w:t>
      </w:r>
      <w:hyperlink w:anchor="_ENREF_117" w:tooltip="Eo,  #133" w:history="1">
        <w:r w:rsidR="004A784D">
          <w:rPr>
            <w:noProof/>
            <w:color w:val="000000"/>
            <w:lang w:val="en-IE"/>
          </w:rPr>
          <w:t>Eo et al.</w:t>
        </w:r>
      </w:hyperlink>
      <w:r w:rsidR="00FF6B80">
        <w:rPr>
          <w:noProof/>
          <w:color w:val="000000"/>
          <w:lang w:val="en-IE"/>
        </w:rPr>
        <w:t xml:space="preserve">, </w:t>
      </w:r>
      <w:hyperlink w:anchor="_ENREF_138" w:tooltip="Gay, 2009 #154" w:history="1">
        <w:r w:rsidR="004A784D">
          <w:rPr>
            <w:noProof/>
            <w:color w:val="000000"/>
            <w:lang w:val="en-IE"/>
          </w:rPr>
          <w:t>Gay and Palumbo, 2009</w:t>
        </w:r>
      </w:hyperlink>
      <w:r w:rsidR="00FF6B80">
        <w:rPr>
          <w:noProof/>
          <w:color w:val="000000"/>
          <w:lang w:val="en-IE"/>
        </w:rPr>
        <w:t>)</w:t>
      </w:r>
      <w:r w:rsidR="00FF6B80" w:rsidRPr="00873C4C">
        <w:rPr>
          <w:color w:val="000000"/>
          <w:lang w:val="en-IE"/>
        </w:rPr>
        <w:fldChar w:fldCharType="end"/>
      </w:r>
      <w:r w:rsidR="00FF6B80">
        <w:rPr>
          <w:color w:val="000000"/>
          <w:lang w:val="en-IE"/>
        </w:rPr>
        <w:t>.</w:t>
      </w:r>
    </w:p>
    <w:p w:rsidR="00C50753" w:rsidRDefault="0092498C" w:rsidP="00645687">
      <w:pPr>
        <w:pStyle w:val="Heading4"/>
        <w:rPr>
          <w:u w:val="single"/>
        </w:rPr>
      </w:pPr>
      <w:bookmarkStart w:id="259" w:name="_Toc305759123"/>
      <w:r w:rsidRPr="00873C4C">
        <w:tab/>
      </w:r>
      <w:bookmarkStart w:id="260" w:name="_Toc306570551"/>
      <w:bookmarkStart w:id="261" w:name="_Toc307067616"/>
      <w:bookmarkStart w:id="262" w:name="_Toc312169175"/>
      <w:bookmarkStart w:id="263" w:name="_Toc312172102"/>
      <w:bookmarkStart w:id="264" w:name="_Toc312257651"/>
      <w:r w:rsidR="00C50753" w:rsidRPr="00873C4C">
        <w:t>Uncommon side effects</w:t>
      </w:r>
      <w:bookmarkEnd w:id="259"/>
      <w:bookmarkEnd w:id="260"/>
      <w:bookmarkEnd w:id="261"/>
      <w:bookmarkEnd w:id="262"/>
      <w:bookmarkEnd w:id="263"/>
      <w:bookmarkEnd w:id="264"/>
      <w:r w:rsidR="00C50753" w:rsidRPr="00873C4C">
        <w:rPr>
          <w:u w:val="single"/>
        </w:rPr>
        <w:t xml:space="preserve"> </w:t>
      </w:r>
    </w:p>
    <w:p w:rsidR="00106058" w:rsidRDefault="00C50753" w:rsidP="00FF6B80">
      <w:pPr>
        <w:spacing w:before="240" w:line="360" w:lineRule="auto"/>
        <w:jc w:val="both"/>
        <w:rPr>
          <w:noProof/>
          <w:color w:val="000000"/>
        </w:rPr>
      </w:pPr>
      <w:r w:rsidRPr="00873C4C">
        <w:rPr>
          <w:bCs/>
          <w:color w:val="000000"/>
        </w:rPr>
        <w:t xml:space="preserve">Uncommon side effects are, </w:t>
      </w:r>
      <w:r w:rsidR="00FF6B80">
        <w:rPr>
          <w:bCs/>
          <w:color w:val="000000"/>
        </w:rPr>
        <w:t>b</w:t>
      </w:r>
      <w:r w:rsidR="00106058" w:rsidRPr="00873C4C">
        <w:rPr>
          <w:bCs/>
          <w:color w:val="000000"/>
        </w:rPr>
        <w:t>lood clots in the legs, lungs, and brain</w:t>
      </w:r>
      <w:r w:rsidRPr="00873C4C">
        <w:rPr>
          <w:bCs/>
          <w:color w:val="000000"/>
        </w:rPr>
        <w:t xml:space="preserve">, </w:t>
      </w:r>
      <w:r w:rsidR="00FF6B80">
        <w:rPr>
          <w:bCs/>
          <w:color w:val="000000"/>
        </w:rPr>
        <w:t>s</w:t>
      </w:r>
      <w:r w:rsidR="00106058" w:rsidRPr="00873C4C">
        <w:rPr>
          <w:bCs/>
          <w:color w:val="000000"/>
        </w:rPr>
        <w:t>eizures</w:t>
      </w:r>
      <w:r w:rsidRPr="00873C4C">
        <w:rPr>
          <w:bCs/>
          <w:color w:val="000000"/>
        </w:rPr>
        <w:t xml:space="preserve">, </w:t>
      </w:r>
      <w:r w:rsidR="00FF6B80">
        <w:rPr>
          <w:bCs/>
          <w:color w:val="000000"/>
        </w:rPr>
        <w:t>s</w:t>
      </w:r>
      <w:r w:rsidR="00204550" w:rsidRPr="00873C4C">
        <w:rPr>
          <w:bCs/>
          <w:color w:val="000000"/>
        </w:rPr>
        <w:t>evere allergic reaction</w:t>
      </w:r>
      <w:r w:rsidRPr="00873C4C">
        <w:rPr>
          <w:bCs/>
          <w:color w:val="000000"/>
        </w:rPr>
        <w:t xml:space="preserve">, </w:t>
      </w:r>
      <w:r w:rsidR="00FF6B80">
        <w:rPr>
          <w:color w:val="000000"/>
        </w:rPr>
        <w:t>l</w:t>
      </w:r>
      <w:r w:rsidR="00106058" w:rsidRPr="00873C4C">
        <w:rPr>
          <w:color w:val="000000"/>
        </w:rPr>
        <w:t>ow blood pressure and dizziness</w:t>
      </w:r>
      <w:r w:rsidRPr="00873C4C">
        <w:rPr>
          <w:color w:val="000000"/>
        </w:rPr>
        <w:t xml:space="preserve">, </w:t>
      </w:r>
      <w:r w:rsidR="00FF6B80">
        <w:rPr>
          <w:color w:val="000000"/>
        </w:rPr>
        <w:t>d</w:t>
      </w:r>
      <w:r w:rsidR="00204550" w:rsidRPr="00873C4C">
        <w:rPr>
          <w:color w:val="000000"/>
        </w:rPr>
        <w:t xml:space="preserve">erange </w:t>
      </w:r>
      <w:r w:rsidR="00106058" w:rsidRPr="00873C4C">
        <w:rPr>
          <w:color w:val="000000"/>
        </w:rPr>
        <w:t xml:space="preserve"> liver function</w:t>
      </w:r>
      <w:r w:rsidR="00204550" w:rsidRPr="00873C4C">
        <w:rPr>
          <w:color w:val="000000"/>
        </w:rPr>
        <w:t>s</w:t>
      </w:r>
      <w:r w:rsidRPr="00873C4C">
        <w:rPr>
          <w:color w:val="000000"/>
        </w:rPr>
        <w:t xml:space="preserve"> </w:t>
      </w:r>
      <w:r w:rsidRPr="00873C4C">
        <w:rPr>
          <w:noProof/>
          <w:color w:val="000000"/>
        </w:rPr>
        <w:t>(</w:t>
      </w:r>
      <w:hyperlink w:anchor="_ENREF_36" w:tooltip="Eo,  #133" w:history="1">
        <w:r w:rsidRPr="00873C4C">
          <w:rPr>
            <w:noProof/>
            <w:color w:val="000000"/>
          </w:rPr>
          <w:t xml:space="preserve">Eo, Kim et al. </w:t>
        </w:r>
      </w:hyperlink>
      <w:r w:rsidRPr="00873C4C">
        <w:rPr>
          <w:noProof/>
          <w:color w:val="000000"/>
        </w:rPr>
        <w:t xml:space="preserve">; </w:t>
      </w:r>
      <w:hyperlink w:anchor="_ENREF_45" w:tooltip="Gay, 2009 #154" w:history="1">
        <w:r w:rsidRPr="00873C4C">
          <w:rPr>
            <w:noProof/>
            <w:color w:val="000000"/>
          </w:rPr>
          <w:t>Gay and Palumbo 2009</w:t>
        </w:r>
      </w:hyperlink>
      <w:r w:rsidRPr="00873C4C">
        <w:rPr>
          <w:noProof/>
          <w:color w:val="000000"/>
        </w:rPr>
        <w:t xml:space="preserve">; </w:t>
      </w:r>
      <w:hyperlink w:anchor="_ENREF_159" w:tooltip="Zangari, 2009 #130" w:history="1">
        <w:r w:rsidRPr="00873C4C">
          <w:rPr>
            <w:noProof/>
            <w:color w:val="000000"/>
          </w:rPr>
          <w:t>Zangari, Fink et al. 2009</w:t>
        </w:r>
      </w:hyperlink>
      <w:r w:rsidR="00057B42">
        <w:rPr>
          <w:noProof/>
          <w:color w:val="000000"/>
        </w:rPr>
        <w:t>.</w:t>
      </w:r>
    </w:p>
    <w:p w:rsidR="00057B42" w:rsidRPr="00873C4C" w:rsidRDefault="00057B42" w:rsidP="00057B42">
      <w:pPr>
        <w:spacing w:line="360" w:lineRule="auto"/>
        <w:jc w:val="both"/>
        <w:rPr>
          <w:color w:val="000000"/>
        </w:rPr>
      </w:pPr>
    </w:p>
    <w:p w:rsidR="00C50753" w:rsidRDefault="00FF6B80" w:rsidP="00645687">
      <w:pPr>
        <w:pStyle w:val="Heading3"/>
      </w:pPr>
      <w:bookmarkStart w:id="265" w:name="_Toc305759124"/>
      <w:bookmarkStart w:id="266" w:name="_Toc306570552"/>
      <w:bookmarkStart w:id="267" w:name="_Toc307067617"/>
      <w:r>
        <w:tab/>
      </w:r>
      <w:bookmarkStart w:id="268" w:name="_Toc312169176"/>
      <w:bookmarkStart w:id="269" w:name="_Toc312172103"/>
      <w:bookmarkStart w:id="270" w:name="_Toc312257652"/>
      <w:r w:rsidR="00C50753" w:rsidRPr="00873C4C">
        <w:t>Thalidomide dosage</w:t>
      </w:r>
      <w:bookmarkEnd w:id="265"/>
      <w:bookmarkEnd w:id="266"/>
      <w:bookmarkEnd w:id="267"/>
      <w:bookmarkEnd w:id="268"/>
      <w:bookmarkEnd w:id="269"/>
      <w:bookmarkEnd w:id="270"/>
    </w:p>
    <w:p w:rsidR="00CE7847" w:rsidRDefault="008101D7" w:rsidP="00057B42">
      <w:pPr>
        <w:pStyle w:val="BodyTextIndent2"/>
        <w:spacing w:line="360" w:lineRule="auto"/>
        <w:ind w:left="0"/>
        <w:jc w:val="both"/>
        <w:rPr>
          <w:color w:val="000000"/>
        </w:rPr>
      </w:pPr>
      <w:r w:rsidRPr="00873C4C">
        <w:rPr>
          <w:color w:val="000000"/>
        </w:rPr>
        <w:t xml:space="preserve">Currently the optimum </w:t>
      </w:r>
      <w:r w:rsidR="008C2D51" w:rsidRPr="00873C4C">
        <w:rPr>
          <w:color w:val="000000"/>
        </w:rPr>
        <w:t xml:space="preserve">starting </w:t>
      </w:r>
      <w:r w:rsidRPr="00873C4C">
        <w:rPr>
          <w:color w:val="000000"/>
        </w:rPr>
        <w:t xml:space="preserve">dose of thalidomide is not clear </w:t>
      </w:r>
      <w:r w:rsidR="008C2D51" w:rsidRPr="00873C4C">
        <w:rPr>
          <w:color w:val="000000"/>
        </w:rPr>
        <w:t>and still under</w:t>
      </w:r>
      <w:r w:rsidR="00A92892">
        <w:rPr>
          <w:color w:val="000000"/>
        </w:rPr>
        <w:t xml:space="preserve"> consideration</w:t>
      </w:r>
      <w:r w:rsidR="008C2D51" w:rsidRPr="00873C4C">
        <w:rPr>
          <w:color w:val="000000"/>
        </w:rPr>
        <w:t>.</w:t>
      </w:r>
      <w:r w:rsidR="00220919" w:rsidRPr="00873C4C">
        <w:rPr>
          <w:color w:val="000000"/>
        </w:rPr>
        <w:t xml:space="preserve"> The dosage</w:t>
      </w:r>
      <w:r w:rsidRPr="00873C4C">
        <w:rPr>
          <w:color w:val="000000"/>
        </w:rPr>
        <w:t xml:space="preserve"> does not depend on the patients’ body weight or body surface area</w:t>
      </w:r>
      <w:r w:rsidR="00220919" w:rsidRPr="00873C4C">
        <w:rPr>
          <w:color w:val="000000"/>
        </w:rPr>
        <w:t xml:space="preserve"> and goal of therapy is to take the patient to the maximal tolerated dosage and maintain that level until tolerance declines or the disease progresses</w:t>
      </w:r>
      <w:r w:rsidRPr="00873C4C">
        <w:rPr>
          <w:color w:val="000000"/>
        </w:rPr>
        <w:t xml:space="preserve">. In </w:t>
      </w:r>
      <w:r w:rsidRPr="00873C4C">
        <w:rPr>
          <w:color w:val="000000"/>
        </w:rPr>
        <w:lastRenderedPageBreak/>
        <w:t xml:space="preserve">the earlier studies, the dose was escalated to a target of 800 mg/day. </w:t>
      </w:r>
      <w:r w:rsidR="00EA6C73">
        <w:rPr>
          <w:color w:val="000000"/>
        </w:rPr>
        <w:t>A recent studies</w:t>
      </w:r>
      <w:r w:rsidR="00FF6B80">
        <w:rPr>
          <w:color w:val="000000"/>
        </w:rPr>
        <w:t xml:space="preserve"> demonstrated that</w:t>
      </w:r>
      <w:r w:rsidRPr="00873C4C">
        <w:rPr>
          <w:color w:val="000000"/>
        </w:rPr>
        <w:t xml:space="preserve"> there is no clear evidence of a dose response relationship</w:t>
      </w:r>
      <w:r w:rsidR="00EA6C73">
        <w:rPr>
          <w:color w:val="000000"/>
        </w:rPr>
        <w:t>;</w:t>
      </w:r>
      <w:r w:rsidRPr="00873C4C">
        <w:rPr>
          <w:color w:val="000000"/>
        </w:rPr>
        <w:t xml:space="preserve"> therefore in practice most patients received up to 200 mg/day which is tolerable by most patients</w:t>
      </w:r>
      <w:r w:rsidR="00C96E96">
        <w:rPr>
          <w:color w:val="000000"/>
        </w:rPr>
        <w:t xml:space="preserve"> </w:t>
      </w:r>
      <w:r w:rsidR="00C96E96">
        <w:rPr>
          <w:color w:val="000000"/>
        </w:rPr>
        <w:fldChar w:fldCharType="begin"/>
      </w:r>
      <w:r w:rsidR="004617A3">
        <w:rPr>
          <w:color w:val="000000"/>
        </w:rPr>
        <w:instrText xml:space="preserve"> ADDIN EN.CITE &lt;EndNote&gt;&lt;Cite&gt;&lt;Author&gt;Dimopoulos&lt;/Author&gt;&lt;Year&gt;2008&lt;/Year&gt;&lt;RecNum&gt;4998&lt;/RecNum&gt;&lt;DisplayText&gt;(Dimopoulos and Kastritis, 2008)&lt;/DisplayText&gt;&lt;record&gt;&lt;rec-number&gt;4998&lt;/rec-number&gt;&lt;foreign-keys&gt;&lt;key app="EN" db-id="zf0awxsaczrdd3eft5qvw9wrtxxawdfrvw2a"&gt;4998&lt;/key&gt;&lt;/foreign-keys&gt;&lt;ref-type name="Journal Article"&gt;17&lt;/ref-type&gt;&lt;contributors&gt;&lt;authors&gt;&lt;author&gt;Dimopoulos, M. A.&lt;/author&gt;&lt;author&gt;Kastritis, E.&lt;/author&gt;&lt;/authors&gt;&lt;/contributors&gt;&lt;auth-address&gt;Department of Clinical Therapeutics, University of Athens School of Medicine, Athens, Greece. mdimop@med.uoa.gr&lt;/auth-address&gt;&lt;titles&gt;&lt;title&gt;Thalidomide plus dexamethasone as primary therapy for newly diagnosed patients with multiple myeloma&lt;/title&gt;&lt;secondary-title&gt;Nat Clin Pract Oncol&lt;/secondary-title&gt;&lt;/titles&gt;&lt;periodical&gt;&lt;full-title&gt;Nat Clin Pract Oncol&lt;/full-title&gt;&lt;/periodical&gt;&lt;pages&gt;690-1&lt;/pages&gt;&lt;volume&gt;5&lt;/volume&gt;&lt;number&gt;12&lt;/number&gt;&lt;edition&gt;2008/09/10&lt;/edition&gt;&lt;dates&gt;&lt;year&gt;2008&lt;/year&gt;&lt;pub-dates&gt;&lt;date&gt;Dec&lt;/date&gt;&lt;/pub-dates&gt;&lt;/dates&gt;&lt;isbn&gt;1743-4262 (Electronic)&amp;#xD;1743-4254 (Linking)&lt;/isbn&gt;&lt;accession-num&gt;18779849&lt;/accession-num&gt;&lt;urls&gt;&lt;related-urls&gt;&lt;url&gt;http://www.ncbi.nlm.nih.gov/pubmed/18779849&lt;/url&gt;&lt;/related-urls&gt;&lt;/urls&gt;&lt;electronic-resource-num&gt;ncponc1223 [pii]&amp;#xD;10.1038/ncponc1223&lt;/electronic-resource-num&gt;&lt;language&gt;eng&lt;/language&gt;&lt;/record&gt;&lt;/Cite&gt;&lt;/EndNote&gt;</w:instrText>
      </w:r>
      <w:r w:rsidR="00C96E96">
        <w:rPr>
          <w:color w:val="000000"/>
        </w:rPr>
        <w:fldChar w:fldCharType="separate"/>
      </w:r>
      <w:r w:rsidR="004617A3">
        <w:rPr>
          <w:noProof/>
          <w:color w:val="000000"/>
        </w:rPr>
        <w:t>(</w:t>
      </w:r>
      <w:hyperlink w:anchor="_ENREF_101" w:tooltip="Dimopoulos, 2008 #4998" w:history="1">
        <w:r w:rsidR="004A784D">
          <w:rPr>
            <w:noProof/>
            <w:color w:val="000000"/>
          </w:rPr>
          <w:t>Dimopoulos and Kastritis, 2008</w:t>
        </w:r>
      </w:hyperlink>
      <w:r w:rsidR="004617A3">
        <w:rPr>
          <w:noProof/>
          <w:color w:val="000000"/>
        </w:rPr>
        <w:t>)</w:t>
      </w:r>
      <w:r w:rsidR="00C96E96">
        <w:rPr>
          <w:color w:val="000000"/>
        </w:rPr>
        <w:fldChar w:fldCharType="end"/>
      </w:r>
      <w:r w:rsidRPr="00873C4C">
        <w:rPr>
          <w:color w:val="000000"/>
        </w:rPr>
        <w:t xml:space="preserve">.  </w:t>
      </w:r>
    </w:p>
    <w:p w:rsidR="00EA6C73" w:rsidRDefault="00EA6C73" w:rsidP="00057B42">
      <w:pPr>
        <w:pStyle w:val="BodyTextIndent2"/>
        <w:spacing w:line="360" w:lineRule="auto"/>
        <w:ind w:left="0"/>
        <w:jc w:val="both"/>
        <w:rPr>
          <w:color w:val="000000"/>
        </w:rPr>
      </w:pPr>
    </w:p>
    <w:p w:rsidR="00D972E7" w:rsidRPr="00873C4C" w:rsidRDefault="00220919" w:rsidP="00057B42">
      <w:pPr>
        <w:pStyle w:val="BodyTextIndent2"/>
        <w:spacing w:line="360" w:lineRule="auto"/>
        <w:ind w:left="0"/>
        <w:jc w:val="both"/>
        <w:rPr>
          <w:color w:val="000000"/>
        </w:rPr>
      </w:pPr>
      <w:r w:rsidRPr="00873C4C">
        <w:rPr>
          <w:color w:val="000000"/>
        </w:rPr>
        <w:t xml:space="preserve">The efficacy of thalidomide or initial therapy depends on the individual </w:t>
      </w:r>
      <w:r w:rsidR="00676041" w:rsidRPr="00873C4C">
        <w:rPr>
          <w:color w:val="000000"/>
        </w:rPr>
        <w:t>patients;</w:t>
      </w:r>
      <w:r w:rsidRPr="00873C4C">
        <w:rPr>
          <w:color w:val="000000"/>
        </w:rPr>
        <w:t xml:space="preserve"> t</w:t>
      </w:r>
      <w:r w:rsidR="008101D7" w:rsidRPr="00873C4C">
        <w:rPr>
          <w:color w:val="000000"/>
        </w:rPr>
        <w:t>his may depend on patient’s capacity to metabolize thalidomide. As additional scientific trials are conducted, the thalidomide pharmacokinetic</w:t>
      </w:r>
      <w:r w:rsidR="00EA6C73">
        <w:rPr>
          <w:color w:val="000000"/>
        </w:rPr>
        <w:t>s</w:t>
      </w:r>
      <w:r w:rsidR="008101D7" w:rsidRPr="00873C4C">
        <w:rPr>
          <w:color w:val="000000"/>
        </w:rPr>
        <w:t xml:space="preserve"> will become more clearly defined. </w:t>
      </w:r>
      <w:r w:rsidR="002B5EFF" w:rsidRPr="00873C4C">
        <w:rPr>
          <w:color w:val="000000"/>
        </w:rPr>
        <w:t>In addition pharmacokinetic</w:t>
      </w:r>
      <w:r w:rsidR="00EA6C73">
        <w:rPr>
          <w:color w:val="000000"/>
        </w:rPr>
        <w:t>s</w:t>
      </w:r>
      <w:r w:rsidR="002B5EFF" w:rsidRPr="00873C4C">
        <w:rPr>
          <w:color w:val="000000"/>
        </w:rPr>
        <w:t xml:space="preserve"> of thalidomide and its plasma level may </w:t>
      </w:r>
      <w:r w:rsidR="00EA6C73">
        <w:rPr>
          <w:color w:val="000000"/>
        </w:rPr>
        <w:t>be related to</w:t>
      </w:r>
      <w:r w:rsidR="002B5EFF" w:rsidRPr="00873C4C">
        <w:rPr>
          <w:color w:val="000000"/>
        </w:rPr>
        <w:t xml:space="preserve"> the </w:t>
      </w:r>
      <w:r w:rsidR="00EA6C73">
        <w:rPr>
          <w:color w:val="000000"/>
        </w:rPr>
        <w:t>p</w:t>
      </w:r>
      <w:r w:rsidR="008101D7" w:rsidRPr="00873C4C">
        <w:rPr>
          <w:color w:val="000000"/>
        </w:rPr>
        <w:t xml:space="preserve">atients </w:t>
      </w:r>
      <w:r w:rsidR="002B5EFF" w:rsidRPr="00873C4C">
        <w:rPr>
          <w:color w:val="000000"/>
        </w:rPr>
        <w:t>experiencing</w:t>
      </w:r>
      <w:r w:rsidR="008101D7" w:rsidRPr="00873C4C">
        <w:rPr>
          <w:color w:val="000000"/>
        </w:rPr>
        <w:t xml:space="preserve"> a variety of adverse effects with various </w:t>
      </w:r>
      <w:r w:rsidR="009D40CC" w:rsidRPr="00873C4C">
        <w:rPr>
          <w:color w:val="000000"/>
        </w:rPr>
        <w:t xml:space="preserve">grade and intensity </w:t>
      </w:r>
      <w:r w:rsidR="008101D7" w:rsidRPr="00873C4C">
        <w:rPr>
          <w:color w:val="000000"/>
        </w:rPr>
        <w:t>(as explained above)</w:t>
      </w:r>
      <w:r w:rsidR="009D40CC" w:rsidRPr="00873C4C">
        <w:rPr>
          <w:color w:val="000000"/>
        </w:rPr>
        <w:t>. This</w:t>
      </w:r>
      <w:r w:rsidR="008101D7" w:rsidRPr="00873C4C">
        <w:rPr>
          <w:color w:val="000000"/>
        </w:rPr>
        <w:t xml:space="preserve"> may depend on the capacity of individual patient</w:t>
      </w:r>
      <w:r w:rsidR="00EA6C73">
        <w:rPr>
          <w:color w:val="000000"/>
        </w:rPr>
        <w:t>s</w:t>
      </w:r>
      <w:r w:rsidR="008101D7" w:rsidRPr="00873C4C">
        <w:rPr>
          <w:color w:val="000000"/>
        </w:rPr>
        <w:t xml:space="preserve"> to metabolize and excrete thalidomide</w:t>
      </w:r>
      <w:r w:rsidR="00EA6C73">
        <w:rPr>
          <w:color w:val="000000"/>
        </w:rPr>
        <w:t>. If thalidomide dosage dependent</w:t>
      </w:r>
      <w:r w:rsidR="008101D7" w:rsidRPr="00873C4C">
        <w:rPr>
          <w:color w:val="000000"/>
        </w:rPr>
        <w:t xml:space="preserve"> side effects are managed inappropriately, this can limit the delivery of optimal dosages of the drug to the patients. This can effect long term survival</w:t>
      </w:r>
      <w:r w:rsidR="00204550" w:rsidRPr="00873C4C">
        <w:rPr>
          <w:color w:val="000000"/>
        </w:rPr>
        <w:t xml:space="preserve"> </w:t>
      </w:r>
      <w:r w:rsidR="008101D7" w:rsidRPr="00873C4C">
        <w:rPr>
          <w:color w:val="000000"/>
        </w:rPr>
        <w:fldChar w:fldCharType="begin"/>
      </w:r>
      <w:r w:rsidR="006F41FE">
        <w:rPr>
          <w:color w:val="000000"/>
        </w:rPr>
        <w:instrText xml:space="preserve"> ADDIN EN.CITE &lt;EndNote&gt;&lt;Cite&gt;&lt;Author&gt;Eby&lt;/Author&gt;&lt;Year&gt;2009&lt;/Year&gt;&lt;RecNum&gt;217&lt;/RecNum&gt;&lt;DisplayText&gt;(Eby, 2009)&lt;/DisplayText&gt;&lt;record&gt;&lt;rec-number&gt;217&lt;/rec-number&gt;&lt;ref-type name="Journal Article"&gt;17&lt;/ref-type&gt;&lt;contributors&gt;&lt;authors&gt;&lt;author&gt;Eby, C.&lt;/author&gt;&lt;/authors&gt;&lt;/contributors&gt;&lt;auth-address&gt;Department of Pathology &amp;amp; Immunology and Medicine, Washington University School of Medicine, St Louis, MO 63110, USA. eby@wustl.edu&lt;/auth-address&gt;&lt;titles&gt;&lt;title&gt;Pathogenesis and management of bleeding and thrombosis in plasma cell dyscrasias&lt;/title&gt;&lt;secondary-title&gt;Br J Haematol&lt;/secondary-title&gt;&lt;/titles&gt;&lt;periodical&gt;&lt;full-title&gt;Br J Haematol&lt;/full-title&gt;&lt;/periodical&gt;&lt;pages&gt;151-63&lt;/pages&gt;&lt;volume&gt;145&lt;/volume&gt;&lt;number&gt;2&lt;/number&gt;&lt;keywords&gt;&lt;keyword&gt;Blood Coagulation Disorders/complications/drug therapy&lt;/keyword&gt;&lt;keyword&gt;Blood Platelet Disorders/complications/drug therapy&lt;/keyword&gt;&lt;keyword&gt;Boronic Acids/therapeutic use&lt;/keyword&gt;&lt;keyword&gt;Hemorrhage/drug therapy/*etiology&lt;/keyword&gt;&lt;keyword&gt;Humans&lt;/keyword&gt;&lt;keyword&gt;Immunosuppressive Agents/adverse effects/therapeutic use&lt;/keyword&gt;&lt;keyword&gt;Paraproteinemias/*complications/drug therapy&lt;/keyword&gt;&lt;keyword&gt;Protease Inhibitors/therapeutic use&lt;/keyword&gt;&lt;keyword&gt;Pyrazines/therapeutic use&lt;/keyword&gt;&lt;keyword&gt;Retrospective Studies&lt;/keyword&gt;&lt;keyword&gt;Thalidomide/adverse effects/therapeutic use&lt;/keyword&gt;&lt;keyword&gt;Thrombosis/drug therapy/*etiology&lt;/keyword&gt;&lt;/keywords&gt;&lt;dates&gt;&lt;year&gt;2009&lt;/year&gt;&lt;pub-dates&gt;&lt;date&gt;Apr&lt;/date&gt;&lt;/pub-dates&gt;&lt;/dates&gt;&lt;accession-num&gt;19210509&lt;/accession-num&gt;&lt;urls&gt;&lt;related-urls&gt;&lt;url&gt;http://www.ncbi.nlm.nih.gov/entrez/query.fcgi?cmd=Retrieve&amp;amp;db=PubMed&amp;amp;dopt=Citation&amp;amp;list_uids=19210509 &lt;/url&gt;&lt;/related-urls&gt;&lt;/urls&gt;&lt;/record&gt;&lt;/Cite&gt;&lt;/EndNote&gt;</w:instrText>
      </w:r>
      <w:r w:rsidR="008101D7" w:rsidRPr="00873C4C">
        <w:rPr>
          <w:color w:val="000000"/>
        </w:rPr>
        <w:fldChar w:fldCharType="separate"/>
      </w:r>
      <w:r w:rsidR="006F41FE">
        <w:rPr>
          <w:noProof/>
          <w:color w:val="000000"/>
        </w:rPr>
        <w:t>(</w:t>
      </w:r>
      <w:hyperlink w:anchor="_ENREF_114" w:tooltip="Eby, 2009 #217" w:history="1">
        <w:r w:rsidR="004A784D">
          <w:rPr>
            <w:noProof/>
            <w:color w:val="000000"/>
          </w:rPr>
          <w:t>Eby, 2009</w:t>
        </w:r>
      </w:hyperlink>
      <w:r w:rsidR="006F41FE">
        <w:rPr>
          <w:noProof/>
          <w:color w:val="000000"/>
        </w:rPr>
        <w:t>)</w:t>
      </w:r>
      <w:r w:rsidR="008101D7" w:rsidRPr="00873C4C">
        <w:rPr>
          <w:color w:val="000000"/>
        </w:rPr>
        <w:fldChar w:fldCharType="end"/>
      </w:r>
      <w:r w:rsidR="00204550" w:rsidRPr="00873C4C">
        <w:rPr>
          <w:color w:val="000000"/>
        </w:rPr>
        <w:t xml:space="preserve">. </w:t>
      </w:r>
    </w:p>
    <w:p w:rsidR="00D972E7" w:rsidRPr="00873C4C" w:rsidRDefault="00A47E80" w:rsidP="00645687">
      <w:pPr>
        <w:pStyle w:val="Heading2"/>
      </w:pPr>
      <w:r w:rsidRPr="00873C4C">
        <w:br w:type="page"/>
      </w:r>
      <w:bookmarkStart w:id="271" w:name="_Toc260495794"/>
      <w:bookmarkStart w:id="272" w:name="_Toc260496045"/>
      <w:bookmarkStart w:id="273" w:name="_Toc260500438"/>
      <w:bookmarkStart w:id="274" w:name="_Toc261098464"/>
      <w:bookmarkStart w:id="275" w:name="_Toc305759125"/>
      <w:r w:rsidR="0092498C" w:rsidRPr="00873C4C">
        <w:lastRenderedPageBreak/>
        <w:tab/>
      </w:r>
      <w:bookmarkStart w:id="276" w:name="_Toc306570553"/>
      <w:bookmarkStart w:id="277" w:name="_Toc307067618"/>
      <w:bookmarkStart w:id="278" w:name="_Toc312169177"/>
      <w:bookmarkStart w:id="279" w:name="_Toc312172104"/>
      <w:bookmarkStart w:id="280" w:name="_Toc312257653"/>
      <w:r w:rsidR="009D40CC" w:rsidRPr="00873C4C">
        <w:t>Biological bank</w:t>
      </w:r>
      <w:bookmarkEnd w:id="271"/>
      <w:bookmarkEnd w:id="272"/>
      <w:bookmarkEnd w:id="273"/>
      <w:bookmarkEnd w:id="274"/>
      <w:bookmarkEnd w:id="275"/>
      <w:bookmarkEnd w:id="276"/>
      <w:bookmarkEnd w:id="277"/>
      <w:bookmarkEnd w:id="278"/>
      <w:bookmarkEnd w:id="279"/>
      <w:bookmarkEnd w:id="280"/>
    </w:p>
    <w:p w:rsidR="009D40CC" w:rsidRPr="00873C4C" w:rsidRDefault="0092498C" w:rsidP="00645687">
      <w:pPr>
        <w:pStyle w:val="Heading3"/>
      </w:pPr>
      <w:bookmarkStart w:id="281" w:name="_Toc260495795"/>
      <w:bookmarkStart w:id="282" w:name="_Toc260496046"/>
      <w:bookmarkStart w:id="283" w:name="_Toc260500439"/>
      <w:bookmarkStart w:id="284" w:name="_Toc261098465"/>
      <w:bookmarkStart w:id="285" w:name="_Toc305759126"/>
      <w:r w:rsidRPr="00873C4C">
        <w:tab/>
      </w:r>
      <w:bookmarkStart w:id="286" w:name="_Toc306570554"/>
      <w:bookmarkStart w:id="287" w:name="_Toc307067619"/>
      <w:bookmarkStart w:id="288" w:name="_Toc312169178"/>
      <w:bookmarkStart w:id="289" w:name="_Toc312172105"/>
      <w:bookmarkStart w:id="290" w:name="_Toc312257654"/>
      <w:r w:rsidR="009D40CC" w:rsidRPr="00873C4C">
        <w:t>Purpose and Overview</w:t>
      </w:r>
      <w:bookmarkEnd w:id="281"/>
      <w:bookmarkEnd w:id="282"/>
      <w:bookmarkEnd w:id="283"/>
      <w:bookmarkEnd w:id="284"/>
      <w:bookmarkEnd w:id="285"/>
      <w:bookmarkEnd w:id="286"/>
      <w:bookmarkEnd w:id="287"/>
      <w:bookmarkEnd w:id="288"/>
      <w:bookmarkEnd w:id="289"/>
      <w:bookmarkEnd w:id="290"/>
    </w:p>
    <w:p w:rsidR="00A47E80" w:rsidRPr="00873C4C" w:rsidRDefault="00A47E80" w:rsidP="00057B42">
      <w:pPr>
        <w:spacing w:line="360" w:lineRule="auto"/>
        <w:jc w:val="both"/>
        <w:rPr>
          <w:color w:val="000000"/>
        </w:rPr>
      </w:pPr>
      <w:r w:rsidRPr="00873C4C">
        <w:rPr>
          <w:color w:val="000000"/>
        </w:rPr>
        <w:t>Biological specimens serve as the basis for the novel research and development needed for the discovery of tomorrow’s drugs and medical treatments. The past decade has seen a surge in the number of</w:t>
      </w:r>
      <w:r w:rsidR="00204550" w:rsidRPr="00873C4C">
        <w:rPr>
          <w:color w:val="000000"/>
        </w:rPr>
        <w:t xml:space="preserve"> samples generated for research, </w:t>
      </w:r>
      <w:r w:rsidRPr="00873C4C">
        <w:rPr>
          <w:color w:val="000000"/>
        </w:rPr>
        <w:t>largely due to the increased focus on translational medicine and epidemiology</w:t>
      </w:r>
      <w:r w:rsidR="00204550" w:rsidRPr="00873C4C">
        <w:rPr>
          <w:color w:val="000000"/>
        </w:rPr>
        <w:t xml:space="preserve"> </w:t>
      </w:r>
      <w:r w:rsidRPr="00873C4C">
        <w:rPr>
          <w:color w:val="000000"/>
        </w:rPr>
        <w:fldChar w:fldCharType="begin">
          <w:fldData xml:space="preserve">PEVuZE5vdGU+PENpdGU+PEF1dGhvcj5Cb3ZlbmJlcmc8L0F1dGhvcj48WWVhcj4yMDA5PC9ZZWFy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</w:fldData>
        </w:fldChar>
      </w:r>
      <w:r w:rsidR="006F41FE">
        <w:rPr>
          <w:color w:val="000000"/>
        </w:rPr>
        <w:instrText xml:space="preserve"> ADDIN EN.CITE </w:instrText>
      </w:r>
      <w:r w:rsidR="006F41FE">
        <w:rPr>
          <w:color w:val="000000"/>
        </w:rPr>
        <w:fldChar w:fldCharType="begin">
          <w:fldData xml:space="preserve">PEVuZE5vdGU+PENpdGU+PEF1dGhvcj5Cb3ZlbmJlcmc8L0F1dGhvcj48WWVhcj4yMDA5PC9ZZWFy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51" w:tooltip="Bovenberg, 2009 #42" w:history="1">
        <w:r w:rsidR="004A784D">
          <w:rPr>
            <w:noProof/>
            <w:color w:val="000000"/>
          </w:rPr>
          <w:t>Bovenberg et al., 2009</w:t>
        </w:r>
      </w:hyperlink>
      <w:r w:rsidR="006F41FE">
        <w:rPr>
          <w:noProof/>
          <w:color w:val="000000"/>
        </w:rPr>
        <w:t xml:space="preserve">, </w:t>
      </w:r>
      <w:hyperlink w:anchor="_ENREF_125" w:tooltip="Forsberg, 2009 #66" w:history="1">
        <w:r w:rsidR="004A784D">
          <w:rPr>
            <w:noProof/>
            <w:color w:val="000000"/>
          </w:rPr>
          <w:t>Forsberg et al., 2009</w:t>
        </w:r>
      </w:hyperlink>
      <w:r w:rsidR="006F41FE">
        <w:rPr>
          <w:noProof/>
          <w:color w:val="000000"/>
        </w:rPr>
        <w:t xml:space="preserve">, </w:t>
      </w:r>
      <w:hyperlink w:anchor="_ENREF_37" w:tooltip="Barnes, 2008 #5" w:history="1">
        <w:r w:rsidR="004A784D">
          <w:rPr>
            <w:noProof/>
            <w:color w:val="000000"/>
          </w:rPr>
          <w:t>Barnes et al., 2008</w:t>
        </w:r>
      </w:hyperlink>
      <w:r w:rsidR="006F41FE">
        <w:rPr>
          <w:noProof/>
          <w:color w:val="000000"/>
        </w:rPr>
        <w:t>)</w:t>
      </w:r>
      <w:r w:rsidRPr="00873C4C">
        <w:rPr>
          <w:color w:val="000000"/>
        </w:rPr>
        <w:fldChar w:fldCharType="end"/>
      </w:r>
      <w:r w:rsidRPr="00873C4C">
        <w:rPr>
          <w:color w:val="000000"/>
        </w:rPr>
        <w:t xml:space="preserve">. This has led to the development of extensive biological banks and biological repositories that feed the demand for samples and libraries to be screened by these high capacity, high throughput laboratories </w:t>
      </w:r>
      <w:r w:rsidRPr="00873C4C">
        <w:rPr>
          <w:color w:val="000000"/>
        </w:rPr>
        <w:fldChar w:fldCharType="begin"/>
      </w:r>
      <w:r w:rsidR="006F41FE">
        <w:rPr>
          <w:color w:val="000000"/>
        </w:rPr>
        <w:instrText xml:space="preserve"> ADDIN EN.CITE &lt;EndNote&gt;&lt;Cite&gt;&lt;Author&gt;Mohanty&lt;/Author&gt;&lt;Year&gt;2008&lt;/Year&gt;&lt;RecNum&gt;17&lt;/RecNum&gt;&lt;DisplayText&gt;(Mohanty et al., 2008)&lt;/DisplayText&gt;&lt;record&gt;&lt;rec-number&gt;17&lt;/rec-number&gt;&lt;ref-type name="Journal Article"&gt;17&lt;/ref-type&gt;&lt;contributors&gt;&lt;authors&gt;&lt;author&gt;Mohanty, S. K.&lt;/author&gt;&lt;author&gt;Mistry, A. T.&lt;/author&gt;&lt;author&gt;Amin, W.&lt;/author&gt;&lt;author&gt;Parwani, A. V.&lt;/author&gt;&lt;author&gt;Pople, A. K.&lt;/author&gt;&lt;author&gt;Schmandt, L.&lt;/author&gt;&lt;author&gt;Winters, S. B.&lt;/author&gt;&lt;author&gt;Milliken, E.&lt;/author&gt;&lt;author&gt;Kim, P.&lt;/author&gt;&lt;author&gt;Whelan, N. B.&lt;/author&gt;&lt;author&gt;Farhat, G.&lt;/author&gt;&lt;author&gt;Melamed, J.&lt;/author&gt;&lt;author&gt;Taioli, E.&lt;/author&gt;&lt;author&gt;Dhir, R.&lt;/author&gt;&lt;author&gt;Pass, H. I.&lt;/author&gt;&lt;author&gt;Becich, M. J.&lt;/author&gt;&lt;/authors&gt;&lt;/contributors&gt;&lt;auth-address&gt;Department of Biomedical Informatics, University of Pittsburgh School of Medicine, Pittsburgh, PA, USA. mohantys2@upmc.edu&lt;/auth-address&gt;&lt;titles&gt;&lt;title&gt;The development and deployment of Common Data Elements for tissue banks for translational research in cancer - an emerging standard based approach for the Mesothelioma Virtual Tissue Bank&lt;/title&gt;&lt;secondary-title&gt;BMC Cancer&lt;/secondary-title&gt;&lt;/titles&gt;&lt;periodical&gt;&lt;full-title&gt;BMC Cancer&lt;/full-title&gt;&lt;/periodical&gt;&lt;pages&gt;91&lt;/pages&gt;&lt;volume&gt;8&lt;/volume&gt;&lt;keywords&gt;&lt;keyword&gt;Computational Biology&lt;/keyword&gt;&lt;keyword&gt;Databases as Topic&lt;/keyword&gt;&lt;keyword&gt;Humans&lt;/keyword&gt;&lt;keyword&gt;*Medical Informatics Applications&lt;/keyword&gt;&lt;keyword&gt;*Mesothelioma&lt;/keyword&gt;&lt;keyword&gt;*Pleural Neoplasms&lt;/keyword&gt;&lt;keyword&gt;Software&lt;/keyword&gt;&lt;keyword&gt;Systems Integration&lt;/keyword&gt;&lt;keyword&gt;*Tissue Banks&lt;/keyword&gt;&lt;/keywords&gt;&lt;dates&gt;&lt;year&gt;2008&lt;/year&gt;&lt;/dates&gt;&lt;accession-num&gt;18397527&lt;/accession-num&gt;&lt;urls&gt;&lt;related-urls&gt;&lt;url&gt;http://www.ncbi.nlm.nih.gov/entrez/query.fcgi?cmd=Retrieve&amp;amp;db=PubMed&amp;amp;dopt=Citation&amp;amp;list_uids=18397527 &lt;/url&gt;&lt;/related-urls&gt;&lt;/urls&gt;&lt;/record&gt;&lt;/Cite&gt;&lt;/EndNote&gt;</w:instrText>
      </w:r>
      <w:r w:rsidRPr="00873C4C">
        <w:rPr>
          <w:color w:val="000000"/>
        </w:rPr>
        <w:fldChar w:fldCharType="separate"/>
      </w:r>
      <w:r w:rsidR="006F41FE">
        <w:rPr>
          <w:noProof/>
          <w:color w:val="000000"/>
        </w:rPr>
        <w:t>(</w:t>
      </w:r>
      <w:hyperlink w:anchor="_ENREF_276" w:tooltip="Mohanty, 2008 #17" w:history="1">
        <w:r w:rsidR="004A784D">
          <w:rPr>
            <w:noProof/>
            <w:color w:val="000000"/>
          </w:rPr>
          <w:t>Mohanty et al., 2008</w:t>
        </w:r>
      </w:hyperlink>
      <w:r w:rsidR="006F41FE">
        <w:rPr>
          <w:noProof/>
          <w:color w:val="000000"/>
        </w:rPr>
        <w:t>)</w:t>
      </w:r>
      <w:r w:rsidRPr="00873C4C">
        <w:rPr>
          <w:color w:val="000000"/>
        </w:rPr>
        <w:fldChar w:fldCharType="end"/>
      </w:r>
      <w:r w:rsidRPr="00873C4C">
        <w:rPr>
          <w:color w:val="000000"/>
        </w:rPr>
        <w:t xml:space="preserve">. </w:t>
      </w:r>
    </w:p>
    <w:p w:rsidR="00B613C8" w:rsidRDefault="00B613C8" w:rsidP="00057B42">
      <w:pPr>
        <w:spacing w:line="360" w:lineRule="auto"/>
        <w:jc w:val="both"/>
        <w:rPr>
          <w:color w:val="000000"/>
        </w:rPr>
      </w:pPr>
    </w:p>
    <w:p w:rsidR="00A47E80" w:rsidRPr="00873C4C" w:rsidRDefault="00A47E80" w:rsidP="00057B42">
      <w:pPr>
        <w:spacing w:line="360" w:lineRule="auto"/>
        <w:jc w:val="both"/>
        <w:rPr>
          <w:color w:val="000000"/>
        </w:rPr>
      </w:pPr>
      <w:r w:rsidRPr="00873C4C">
        <w:rPr>
          <w:color w:val="000000"/>
        </w:rPr>
        <w:t xml:space="preserve">With these advances, the growing need and focus on high quality sample yields and how they are accurately and efficiently managed. In addition, the availability of high quality biological and environmental specimens for research purposes requires the development of standardized methods for collection, long-term storage, retrieval and distribution of specimens that will enable their future use </w:t>
      </w:r>
      <w:r w:rsidRPr="00873C4C">
        <w:rPr>
          <w:color w:val="000000"/>
        </w:rPr>
        <w:fldChar w:fldCharType="begin">
          <w:fldData xml:space="preserve">PEVuZE5vdGU+PENpdGU+PEF1dGhvcj5SdXN0YWQ8L0F1dGhvcj48WWVhcj4yMDA0PC9ZZWFyPjxS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</w:fldData>
        </w:fldChar>
      </w:r>
      <w:r w:rsidR="006F41FE">
        <w:rPr>
          <w:color w:val="000000"/>
        </w:rPr>
        <w:instrText xml:space="preserve"> ADDIN EN.CITE </w:instrText>
      </w:r>
      <w:r w:rsidR="006F41FE">
        <w:rPr>
          <w:color w:val="000000"/>
        </w:rPr>
        <w:fldChar w:fldCharType="begin">
          <w:fldData xml:space="preserve">PEVuZE5vdGU+PENpdGU+PEF1dGhvcj5SdXN0YWQ8L0F1dGhvcj48WWVhcj4yMDA0PC9ZZWFyPjxS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359" w:tooltip="Rustad, 2004 #57" w:history="1">
        <w:r w:rsidR="004A784D">
          <w:rPr>
            <w:noProof/>
            <w:color w:val="000000"/>
          </w:rPr>
          <w:t>Rustad et al., 2004</w:t>
        </w:r>
      </w:hyperlink>
      <w:r w:rsidR="006F41FE">
        <w:rPr>
          <w:noProof/>
          <w:color w:val="000000"/>
        </w:rPr>
        <w:t xml:space="preserve">, </w:t>
      </w:r>
      <w:hyperlink w:anchor="_ENREF_403" w:tooltip="Stigbrand, 2005 #269" w:history="1">
        <w:r w:rsidR="004A784D">
          <w:rPr>
            <w:noProof/>
            <w:color w:val="000000"/>
          </w:rPr>
          <w:t>Stigbrand et al., 2005</w:t>
        </w:r>
      </w:hyperlink>
      <w:r w:rsidR="006F41FE">
        <w:rPr>
          <w:noProof/>
          <w:color w:val="000000"/>
        </w:rPr>
        <w:t>)</w:t>
      </w:r>
      <w:r w:rsidRPr="00873C4C">
        <w:rPr>
          <w:color w:val="000000"/>
        </w:rPr>
        <w:fldChar w:fldCharType="end"/>
      </w:r>
      <w:r w:rsidRPr="00873C4C">
        <w:rPr>
          <w:color w:val="000000"/>
        </w:rPr>
        <w:t xml:space="preserve">. </w:t>
      </w:r>
    </w:p>
    <w:p w:rsidR="00C50753" w:rsidRPr="00873C4C" w:rsidRDefault="00C50753" w:rsidP="00057B42">
      <w:pPr>
        <w:spacing w:line="360" w:lineRule="auto"/>
        <w:jc w:val="both"/>
        <w:rPr>
          <w:color w:val="000000"/>
        </w:rPr>
      </w:pPr>
    </w:p>
    <w:p w:rsidR="00C50753" w:rsidRDefault="0092498C" w:rsidP="00645687">
      <w:pPr>
        <w:pStyle w:val="Heading3"/>
      </w:pPr>
      <w:bookmarkStart w:id="291" w:name="_Toc305759127"/>
      <w:r w:rsidRPr="00873C4C">
        <w:tab/>
      </w:r>
      <w:bookmarkStart w:id="292" w:name="_Toc306570555"/>
      <w:bookmarkStart w:id="293" w:name="_Toc307067620"/>
      <w:bookmarkStart w:id="294" w:name="_Toc312169179"/>
      <w:bookmarkStart w:id="295" w:name="_Toc312172106"/>
      <w:bookmarkStart w:id="296" w:name="_Toc312257655"/>
      <w:r w:rsidR="00C50753" w:rsidRPr="00873C4C">
        <w:t>Biological banking main functions</w:t>
      </w:r>
      <w:bookmarkEnd w:id="291"/>
      <w:bookmarkEnd w:id="292"/>
      <w:bookmarkEnd w:id="293"/>
      <w:bookmarkEnd w:id="294"/>
      <w:bookmarkEnd w:id="295"/>
      <w:bookmarkEnd w:id="296"/>
    </w:p>
    <w:p w:rsidR="00A47E80" w:rsidRPr="00873C4C" w:rsidRDefault="00A47E80" w:rsidP="00057B42">
      <w:pPr>
        <w:spacing w:line="360" w:lineRule="auto"/>
        <w:jc w:val="both"/>
        <w:rPr>
          <w:color w:val="000000"/>
        </w:rPr>
      </w:pPr>
      <w:r w:rsidRPr="00873C4C">
        <w:rPr>
          <w:color w:val="000000"/>
        </w:rPr>
        <w:t xml:space="preserve">Biological banking is </w:t>
      </w:r>
      <w:r w:rsidR="002A4A43" w:rsidRPr="00873C4C">
        <w:rPr>
          <w:color w:val="000000"/>
        </w:rPr>
        <w:t>a</w:t>
      </w:r>
      <w:r w:rsidRPr="00873C4C">
        <w:rPr>
          <w:color w:val="000000"/>
        </w:rPr>
        <w:t xml:space="preserve"> </w:t>
      </w:r>
      <w:r w:rsidR="00832E26" w:rsidRPr="00873C4C">
        <w:rPr>
          <w:color w:val="000000"/>
        </w:rPr>
        <w:t>promising</w:t>
      </w:r>
      <w:r w:rsidRPr="00873C4C">
        <w:rPr>
          <w:color w:val="000000"/>
        </w:rPr>
        <w:t xml:space="preserve"> activity that includes the collection and preservation and </w:t>
      </w:r>
      <w:r w:rsidR="00970C22" w:rsidRPr="00970C22">
        <w:rPr>
          <w:color w:val="000000"/>
        </w:rPr>
        <w:t>storage</w:t>
      </w:r>
      <w:r w:rsidRPr="00873C4C">
        <w:rPr>
          <w:color w:val="000000"/>
        </w:rPr>
        <w:t xml:space="preserve"> of biological samples (tissues, cells, serum, plasma, </w:t>
      </w:r>
      <w:r w:rsidR="00832E26" w:rsidRPr="00873C4C">
        <w:rPr>
          <w:color w:val="000000"/>
        </w:rPr>
        <w:t xml:space="preserve">saliva </w:t>
      </w:r>
      <w:r w:rsidRPr="00873C4C">
        <w:rPr>
          <w:color w:val="000000"/>
        </w:rPr>
        <w:t xml:space="preserve">and bone marrows) for later analysis under conditions that permit efficient </w:t>
      </w:r>
      <w:r w:rsidR="00832E26" w:rsidRPr="00873C4C">
        <w:rPr>
          <w:color w:val="000000"/>
        </w:rPr>
        <w:t>recovery</w:t>
      </w:r>
      <w:r w:rsidRPr="00873C4C">
        <w:rPr>
          <w:color w:val="000000"/>
        </w:rPr>
        <w:t xml:space="preserve"> and </w:t>
      </w:r>
      <w:r w:rsidR="00832E26" w:rsidRPr="00873C4C">
        <w:rPr>
          <w:color w:val="000000"/>
        </w:rPr>
        <w:t>best possible</w:t>
      </w:r>
      <w:r w:rsidRPr="00873C4C">
        <w:rPr>
          <w:color w:val="000000"/>
        </w:rPr>
        <w:t xml:space="preserve"> stability of the </w:t>
      </w:r>
      <w:r w:rsidR="00832E26" w:rsidRPr="00873C4C">
        <w:rPr>
          <w:color w:val="000000"/>
        </w:rPr>
        <w:t xml:space="preserve">clinical </w:t>
      </w:r>
      <w:r w:rsidRPr="00873C4C">
        <w:rPr>
          <w:color w:val="000000"/>
        </w:rPr>
        <w:t>sample</w:t>
      </w:r>
      <w:r w:rsidR="00832E26" w:rsidRPr="00873C4C">
        <w:rPr>
          <w:color w:val="000000"/>
        </w:rPr>
        <w:t>s</w:t>
      </w:r>
      <w:r w:rsidRPr="00873C4C">
        <w:rPr>
          <w:color w:val="000000"/>
        </w:rPr>
        <w:t xml:space="preserve">. Different biological banks collect different types of samples (such as blood and bone marrow) </w:t>
      </w:r>
      <w:r w:rsidR="00832E26" w:rsidRPr="00873C4C">
        <w:rPr>
          <w:color w:val="000000"/>
        </w:rPr>
        <w:t>with associated clinical</w:t>
      </w:r>
      <w:r w:rsidRPr="00873C4C">
        <w:rPr>
          <w:color w:val="000000"/>
        </w:rPr>
        <w:t xml:space="preserve"> information</w:t>
      </w:r>
      <w:r w:rsidR="00832E26" w:rsidRPr="00873C4C">
        <w:rPr>
          <w:color w:val="000000"/>
        </w:rPr>
        <w:t xml:space="preserve"> </w:t>
      </w:r>
      <w:r w:rsidRPr="00873C4C">
        <w:rPr>
          <w:color w:val="000000"/>
        </w:rPr>
        <w:fldChar w:fldCharType="begin">
          <w:fldData xml:space="preserve">PEVuZE5vdGU+PENpdGU+PEF1dGhvcj5UaG9ybnRvbjwvQXV0aG9yPjxZZWFyPjIwMDk8L1llYXI+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</w:fldData>
        </w:fldChar>
      </w:r>
      <w:r w:rsidR="00F32A34">
        <w:rPr>
          <w:color w:val="000000"/>
        </w:rPr>
        <w:instrText xml:space="preserve"> ADDIN EN.CITE </w:instrText>
      </w:r>
      <w:r w:rsidR="00F32A34">
        <w:rPr>
          <w:color w:val="000000"/>
        </w:rPr>
        <w:fldChar w:fldCharType="begin">
          <w:fldData xml:space="preserve">PEVuZE5vdGU+PENpdGU+PEF1dGhvcj5UaG9ybnRvbjwvQXV0aG9yPjxZZWFyPjIwMDk8L1llYXI+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</w:fldData>
        </w:fldChar>
      </w:r>
      <w:r w:rsidR="00F32A34">
        <w:rPr>
          <w:color w:val="000000"/>
        </w:rPr>
        <w:instrText xml:space="preserve"> ADDIN EN.CITE.DATA </w:instrText>
      </w:r>
      <w:r w:rsidR="00F32A34">
        <w:rPr>
          <w:color w:val="000000"/>
        </w:rPr>
      </w:r>
      <w:r w:rsidR="00F32A34">
        <w:rPr>
          <w:color w:val="000000"/>
        </w:rPr>
        <w:fldChar w:fldCharType="end"/>
      </w:r>
      <w:r w:rsidRPr="00873C4C">
        <w:rPr>
          <w:color w:val="000000"/>
        </w:rPr>
      </w:r>
      <w:r w:rsidRPr="00873C4C">
        <w:rPr>
          <w:color w:val="000000"/>
        </w:rPr>
        <w:fldChar w:fldCharType="separate"/>
      </w:r>
      <w:r w:rsidR="00F32A34">
        <w:rPr>
          <w:noProof/>
          <w:color w:val="000000"/>
        </w:rPr>
        <w:t>(</w:t>
      </w:r>
      <w:hyperlink w:anchor="_ENREF_417" w:tooltip="Thornton, 2009 #46" w:history="1">
        <w:r w:rsidR="004A784D">
          <w:rPr>
            <w:noProof/>
            <w:color w:val="000000"/>
          </w:rPr>
          <w:t>Thornton, 2009</w:t>
        </w:r>
      </w:hyperlink>
      <w:r w:rsidR="00F32A34">
        <w:rPr>
          <w:noProof/>
          <w:color w:val="000000"/>
        </w:rPr>
        <w:t xml:space="preserve">, </w:t>
      </w:r>
      <w:hyperlink w:anchor="_ENREF_169" w:tooltip="Henny, 2003 #5055" w:history="1">
        <w:r w:rsidR="004A784D">
          <w:rPr>
            <w:noProof/>
            <w:color w:val="000000"/>
          </w:rPr>
          <w:t>Henny, 2003</w:t>
        </w:r>
      </w:hyperlink>
      <w:r w:rsidR="00F32A34">
        <w:rPr>
          <w:noProof/>
          <w:color w:val="000000"/>
        </w:rPr>
        <w:t>)</w:t>
      </w:r>
      <w:r w:rsidRPr="00873C4C">
        <w:rPr>
          <w:color w:val="000000"/>
        </w:rPr>
        <w:fldChar w:fldCharType="end"/>
      </w:r>
      <w:r w:rsidRPr="00873C4C">
        <w:rPr>
          <w:color w:val="000000"/>
        </w:rPr>
        <w:t xml:space="preserve">. </w:t>
      </w:r>
    </w:p>
    <w:p w:rsidR="00CE7847" w:rsidRDefault="00CE7847" w:rsidP="00057B42">
      <w:pPr>
        <w:spacing w:line="360" w:lineRule="auto"/>
        <w:jc w:val="both"/>
        <w:rPr>
          <w:color w:val="000000"/>
        </w:rPr>
      </w:pPr>
    </w:p>
    <w:p w:rsidR="00A47E80" w:rsidRPr="00873C4C" w:rsidRDefault="00A47E80" w:rsidP="00057B42">
      <w:pPr>
        <w:spacing w:line="360" w:lineRule="auto"/>
        <w:jc w:val="both"/>
        <w:rPr>
          <w:color w:val="000000"/>
        </w:rPr>
      </w:pPr>
      <w:r w:rsidRPr="00873C4C">
        <w:rPr>
          <w:color w:val="000000"/>
        </w:rPr>
        <w:t xml:space="preserve">The modern biological bank facilities include all the necessary staff and management, ethical and legal </w:t>
      </w:r>
      <w:r w:rsidR="00832E26" w:rsidRPr="00873C4C">
        <w:rPr>
          <w:color w:val="000000"/>
        </w:rPr>
        <w:t>requirement</w:t>
      </w:r>
      <w:r w:rsidRPr="00873C4C">
        <w:rPr>
          <w:color w:val="000000"/>
        </w:rPr>
        <w:t xml:space="preserve">, storage facilities, </w:t>
      </w:r>
      <w:r w:rsidR="00832E26" w:rsidRPr="00873C4C">
        <w:rPr>
          <w:color w:val="000000"/>
        </w:rPr>
        <w:t xml:space="preserve">research </w:t>
      </w:r>
      <w:r w:rsidRPr="00873C4C">
        <w:rPr>
          <w:color w:val="000000"/>
        </w:rPr>
        <w:t xml:space="preserve">laboratories, </w:t>
      </w:r>
      <w:r w:rsidR="00832E26" w:rsidRPr="00873C4C">
        <w:rPr>
          <w:color w:val="000000"/>
        </w:rPr>
        <w:t xml:space="preserve">proper access and </w:t>
      </w:r>
      <w:r w:rsidR="00EA6C73">
        <w:rPr>
          <w:color w:val="000000"/>
        </w:rPr>
        <w:t>security systems and</w:t>
      </w:r>
      <w:r w:rsidRPr="00873C4C">
        <w:rPr>
          <w:color w:val="000000"/>
        </w:rPr>
        <w:t xml:space="preserve"> </w:t>
      </w:r>
      <w:r w:rsidR="00832E26" w:rsidRPr="00873C4C">
        <w:rPr>
          <w:color w:val="000000"/>
        </w:rPr>
        <w:t xml:space="preserve">bio informatics department </w:t>
      </w:r>
      <w:r w:rsidRPr="00873C4C">
        <w:rPr>
          <w:color w:val="000000"/>
        </w:rPr>
        <w:t xml:space="preserve">to fully </w:t>
      </w:r>
      <w:r w:rsidR="00832E26" w:rsidRPr="00873C4C">
        <w:rPr>
          <w:color w:val="000000"/>
        </w:rPr>
        <w:t>put into practice</w:t>
      </w:r>
      <w:r w:rsidRPr="00873C4C">
        <w:rPr>
          <w:color w:val="000000"/>
        </w:rPr>
        <w:t xml:space="preserve"> their operations</w:t>
      </w:r>
      <w:r w:rsidR="00832E26" w:rsidRPr="00873C4C">
        <w:rPr>
          <w:color w:val="000000"/>
        </w:rPr>
        <w:t xml:space="preserve"> </w:t>
      </w:r>
      <w:r w:rsidRPr="00873C4C">
        <w:rPr>
          <w:color w:val="000000"/>
        </w:rPr>
        <w:fldChar w:fldCharType="begin"/>
      </w:r>
      <w:r w:rsidR="006F41FE">
        <w:rPr>
          <w:color w:val="000000"/>
        </w:rPr>
        <w:instrText xml:space="preserve"> ADDIN EN.CITE &lt;EndNote&gt;&lt;Cite&gt;&lt;Author&gt;Giles&lt;/Author&gt;&lt;Year&gt;2006&lt;/Year&gt;&lt;RecNum&gt;255&lt;/RecNum&gt;&lt;DisplayText&gt;(Giles, 2006)&lt;/DisplayText&gt;&lt;record&gt;&lt;rec-number&gt;255&lt;/rec-number&gt;&lt;ref-type name="Journal Article"&gt;17&lt;/ref-type&gt;&lt;contributors&gt;&lt;authors&gt;&lt;author&gt;Giles, J.&lt;/author&gt;&lt;/authors&gt;&lt;/contributors&gt;&lt;titles&gt;&lt;title&gt;Huge Biobank project launches despite critics&lt;/title&gt;&lt;secondary-title&gt;Nature&lt;/secondary-title&gt;&lt;/titles&gt;&lt;periodical&gt;&lt;full-title&gt;Nature&lt;/full-title&gt;&lt;/periodical&gt;&lt;pages&gt;263&lt;/pages&gt;&lt;volume&gt;440&lt;/volume&gt;&lt;number&gt;7082&lt;/number&gt;&lt;keywords&gt;&lt;keyword&gt;Databases, Factual/*trends&lt;/keyword&gt;&lt;keyword&gt;*Environment&lt;/keyword&gt;&lt;keyword&gt;Genetic Predisposition to Disease/*genetics&lt;/keyword&gt;&lt;keyword&gt;Great Britain&lt;/keyword&gt;&lt;keyword&gt;*Health Surveys&lt;/keyword&gt;&lt;keyword&gt;Heredity&lt;/keyword&gt;&lt;keyword&gt;Humans&lt;/keyword&gt;&lt;keyword&gt;*Life Style&lt;/keyword&gt;&lt;keyword&gt;Medical Records&lt;/keyword&gt;&lt;keyword&gt;Pedigree&lt;/keyword&gt;&lt;/keywords&gt;&lt;dates&gt;&lt;year&gt;2006&lt;/year&gt;&lt;pub-dates&gt;&lt;date&gt;Mar 16&lt;/date&gt;&lt;/pub-dates&gt;&lt;/dates&gt;&lt;accession-num&gt;16541039&lt;/accession-num&gt;&lt;urls&gt;&lt;related-urls&gt;&lt;url&gt;http://www.ncbi.nlm.nih.gov/entrez/query.fcgi?cmd=Retrieve&amp;amp;db=PubMed&amp;amp;dopt=Citation&amp;amp;list_uids=16541039 &lt;/url&gt;&lt;/related-urls&gt;&lt;/urls&gt;&lt;/record&gt;&lt;/Cite&gt;&lt;/EndNote&gt;</w:instrText>
      </w:r>
      <w:r w:rsidRPr="00873C4C">
        <w:rPr>
          <w:color w:val="000000"/>
        </w:rPr>
        <w:fldChar w:fldCharType="separate"/>
      </w:r>
      <w:r w:rsidR="006F41FE">
        <w:rPr>
          <w:noProof/>
          <w:color w:val="000000"/>
        </w:rPr>
        <w:t>(</w:t>
      </w:r>
      <w:hyperlink w:anchor="_ENREF_145" w:tooltip="Giles, 2006 #255" w:history="1">
        <w:r w:rsidR="004A784D">
          <w:rPr>
            <w:noProof/>
            <w:color w:val="000000"/>
          </w:rPr>
          <w:t>Giles, 2006</w:t>
        </w:r>
      </w:hyperlink>
      <w:r w:rsidR="006F41FE">
        <w:rPr>
          <w:noProof/>
          <w:color w:val="000000"/>
        </w:rPr>
        <w:t>)</w:t>
      </w:r>
      <w:r w:rsidRPr="00873C4C">
        <w:rPr>
          <w:color w:val="000000"/>
        </w:rPr>
        <w:fldChar w:fldCharType="end"/>
      </w:r>
      <w:r w:rsidRPr="00873C4C">
        <w:rPr>
          <w:color w:val="000000"/>
        </w:rPr>
        <w:t xml:space="preserve">. </w:t>
      </w:r>
    </w:p>
    <w:p w:rsidR="00B613C8" w:rsidRDefault="00B613C8" w:rsidP="00057B42">
      <w:pPr>
        <w:spacing w:line="360" w:lineRule="auto"/>
        <w:jc w:val="both"/>
        <w:rPr>
          <w:color w:val="000000"/>
        </w:rPr>
      </w:pPr>
    </w:p>
    <w:p w:rsidR="00A47E80" w:rsidRDefault="00A47E80" w:rsidP="00057B42">
      <w:pPr>
        <w:spacing w:line="360" w:lineRule="auto"/>
        <w:jc w:val="both"/>
        <w:rPr>
          <w:color w:val="000000"/>
        </w:rPr>
      </w:pPr>
      <w:r w:rsidRPr="00873C4C">
        <w:rPr>
          <w:color w:val="000000"/>
        </w:rPr>
        <w:lastRenderedPageBreak/>
        <w:t xml:space="preserve">The types of information and samples collected depend on the specific purpose of the biological bank. For example, some biological banks are specific to a particular disease, such as haematological malignancies such as multiple myeloma. Other biological banks </w:t>
      </w:r>
      <w:r w:rsidR="00832E26" w:rsidRPr="00873C4C">
        <w:rPr>
          <w:color w:val="000000"/>
        </w:rPr>
        <w:t>can be</w:t>
      </w:r>
      <w:r w:rsidRPr="00873C4C">
        <w:rPr>
          <w:color w:val="000000"/>
        </w:rPr>
        <w:t xml:space="preserve"> population based and contain samples and information from people in a specific population or disease </w:t>
      </w:r>
      <w:r w:rsidRPr="00873C4C">
        <w:rPr>
          <w:color w:val="000000"/>
        </w:rPr>
        <w:fldChar w:fldCharType="begin">
          <w:fldData xml:space="preserve">PEVuZE5vdGU+PENpdGU+PEF1dGhvcj5BbHZhcmV6PC9BdXRob3I+PFllYXI+MjAwMzwvWWVhcj48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</w:fldData>
        </w:fldChar>
      </w:r>
      <w:r w:rsidR="00472EE1">
        <w:rPr>
          <w:color w:val="000000"/>
        </w:rPr>
        <w:instrText xml:space="preserve"> ADDIN EN.CITE </w:instrText>
      </w:r>
      <w:r w:rsidR="00472EE1">
        <w:rPr>
          <w:color w:val="000000"/>
        </w:rPr>
        <w:fldChar w:fldCharType="begin">
          <w:fldData xml:space="preserve">PEVuZE5vdGU+PENpdGU+PEF1dGhvcj5BbHZhcmV6PC9BdXRob3I+PFllYXI+MjAwMzwvWWVhcj48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</w:fldData>
        </w:fldChar>
      </w:r>
      <w:r w:rsidR="00472EE1">
        <w:rPr>
          <w:color w:val="000000"/>
        </w:rPr>
        <w:instrText xml:space="preserve"> ADDIN EN.CITE.DATA </w:instrText>
      </w:r>
      <w:r w:rsidR="00472EE1">
        <w:rPr>
          <w:color w:val="000000"/>
        </w:rPr>
      </w:r>
      <w:r w:rsidR="00472EE1">
        <w:rPr>
          <w:color w:val="000000"/>
        </w:rPr>
        <w:fldChar w:fldCharType="end"/>
      </w:r>
      <w:r w:rsidRPr="00873C4C">
        <w:rPr>
          <w:color w:val="000000"/>
        </w:rPr>
      </w:r>
      <w:r w:rsidRPr="00873C4C">
        <w:rPr>
          <w:color w:val="000000"/>
        </w:rPr>
        <w:fldChar w:fldCharType="separate"/>
      </w:r>
      <w:r w:rsidR="00472EE1">
        <w:rPr>
          <w:noProof/>
          <w:color w:val="000000"/>
        </w:rPr>
        <w:t>(</w:t>
      </w:r>
      <w:hyperlink w:anchor="_ENREF_15" w:tooltip="Alvarez, 2003 #56" w:history="1">
        <w:r w:rsidR="004A784D">
          <w:rPr>
            <w:noProof/>
            <w:color w:val="000000"/>
          </w:rPr>
          <w:t>Alvarez et al., 2003</w:t>
        </w:r>
      </w:hyperlink>
      <w:r w:rsidR="00472EE1">
        <w:rPr>
          <w:noProof/>
          <w:color w:val="000000"/>
        </w:rPr>
        <w:t xml:space="preserve">, </w:t>
      </w:r>
      <w:hyperlink w:anchor="_ENREF_420" w:tooltip="Tjonneland, 2003 #5053" w:history="1">
        <w:r w:rsidR="004A784D">
          <w:rPr>
            <w:noProof/>
            <w:color w:val="000000"/>
          </w:rPr>
          <w:t>Tjonneland and Olsen, 2003</w:t>
        </w:r>
      </w:hyperlink>
      <w:r w:rsidR="00472EE1">
        <w:rPr>
          <w:noProof/>
          <w:color w:val="000000"/>
        </w:rPr>
        <w:t>)</w:t>
      </w:r>
      <w:r w:rsidRPr="00873C4C">
        <w:rPr>
          <w:color w:val="000000"/>
        </w:rPr>
        <w:fldChar w:fldCharType="end"/>
      </w:r>
      <w:r w:rsidRPr="00873C4C">
        <w:rPr>
          <w:color w:val="000000"/>
        </w:rPr>
        <w:t xml:space="preserve">. </w:t>
      </w:r>
    </w:p>
    <w:p w:rsidR="00B613C8" w:rsidRPr="00873C4C" w:rsidRDefault="00B613C8" w:rsidP="00057B42">
      <w:pPr>
        <w:spacing w:line="360" w:lineRule="auto"/>
        <w:jc w:val="both"/>
        <w:rPr>
          <w:color w:val="000000"/>
        </w:rPr>
      </w:pPr>
    </w:p>
    <w:p w:rsidR="00C50753" w:rsidRDefault="00D509EE" w:rsidP="00645687">
      <w:pPr>
        <w:pStyle w:val="Heading4"/>
      </w:pPr>
      <w:r w:rsidRPr="00873C4C">
        <w:tab/>
      </w:r>
      <w:bookmarkStart w:id="297" w:name="_Toc305759128"/>
      <w:bookmarkStart w:id="298" w:name="_Toc306570556"/>
      <w:bookmarkStart w:id="299" w:name="_Toc307067621"/>
      <w:bookmarkStart w:id="300" w:name="_Toc312169180"/>
      <w:bookmarkStart w:id="301" w:name="_Toc312172107"/>
      <w:bookmarkStart w:id="302" w:name="_Toc312257656"/>
      <w:r w:rsidR="00C50753" w:rsidRPr="00873C4C">
        <w:t>Disease specific biological bank</w:t>
      </w:r>
      <w:bookmarkEnd w:id="297"/>
      <w:bookmarkEnd w:id="298"/>
      <w:bookmarkEnd w:id="299"/>
      <w:bookmarkEnd w:id="300"/>
      <w:bookmarkEnd w:id="301"/>
      <w:bookmarkEnd w:id="302"/>
    </w:p>
    <w:p w:rsidR="00F32A34" w:rsidRDefault="00A47E80" w:rsidP="003C0D79">
      <w:pPr>
        <w:spacing w:before="240" w:line="360" w:lineRule="auto"/>
        <w:jc w:val="both"/>
        <w:rPr>
          <w:color w:val="000000"/>
        </w:rPr>
      </w:pPr>
      <w:r w:rsidRPr="00873C4C">
        <w:rPr>
          <w:color w:val="000000"/>
        </w:rPr>
        <w:t>This disease specific b</w:t>
      </w:r>
      <w:r w:rsidR="00970C22">
        <w:rPr>
          <w:color w:val="000000"/>
        </w:rPr>
        <w:t xml:space="preserve">iological bank </w:t>
      </w:r>
      <w:r w:rsidRPr="00873C4C">
        <w:rPr>
          <w:color w:val="000000"/>
        </w:rPr>
        <w:t>ensures adequate and continuous supply of certain biologica</w:t>
      </w:r>
      <w:r w:rsidR="00832E26" w:rsidRPr="00873C4C">
        <w:rPr>
          <w:color w:val="000000"/>
        </w:rPr>
        <w:t xml:space="preserve">l specimens and associated data </w:t>
      </w:r>
      <w:r w:rsidRPr="00873C4C">
        <w:rPr>
          <w:color w:val="000000"/>
        </w:rPr>
        <w:t xml:space="preserve">within an ethical framework. </w:t>
      </w:r>
      <w:r w:rsidR="00832E26" w:rsidRPr="00873C4C">
        <w:rPr>
          <w:color w:val="000000"/>
        </w:rPr>
        <w:t>This centralized resource can help the research scientist in need of characteristic biological specimens. Having a biological bank at site, the</w:t>
      </w:r>
      <w:r w:rsidRPr="00873C4C">
        <w:rPr>
          <w:color w:val="000000"/>
        </w:rPr>
        <w:t xml:space="preserve"> time and resources needed to recruit new participants for each research study </w:t>
      </w:r>
      <w:r w:rsidR="00832E26" w:rsidRPr="00873C4C">
        <w:rPr>
          <w:color w:val="000000"/>
        </w:rPr>
        <w:t>can be</w:t>
      </w:r>
      <w:r w:rsidRPr="00873C4C">
        <w:rPr>
          <w:color w:val="000000"/>
        </w:rPr>
        <w:t xml:space="preserve"> greatly reduced because samples and corresponding medical informa</w:t>
      </w:r>
      <w:r w:rsidR="00832E26" w:rsidRPr="00873C4C">
        <w:rPr>
          <w:color w:val="000000"/>
        </w:rPr>
        <w:t xml:space="preserve">tion are </w:t>
      </w:r>
      <w:r w:rsidR="00153E98" w:rsidRPr="00873C4C">
        <w:rPr>
          <w:color w:val="000000"/>
        </w:rPr>
        <w:t xml:space="preserve">already </w:t>
      </w:r>
      <w:r w:rsidR="00832E26" w:rsidRPr="00873C4C">
        <w:rPr>
          <w:color w:val="000000"/>
        </w:rPr>
        <w:t>available in one place</w:t>
      </w:r>
      <w:r w:rsidRPr="00873C4C">
        <w:rPr>
          <w:color w:val="000000"/>
        </w:rPr>
        <w:t xml:space="preserve">. This could </w:t>
      </w:r>
      <w:r w:rsidR="00153E98" w:rsidRPr="00873C4C">
        <w:rPr>
          <w:color w:val="000000"/>
        </w:rPr>
        <w:t xml:space="preserve">also </w:t>
      </w:r>
      <w:r w:rsidRPr="00873C4C">
        <w:rPr>
          <w:color w:val="000000"/>
        </w:rPr>
        <w:t>transform the ability of major programs studying specific disease and obtain reproducible data from large number of bio-specimen</w:t>
      </w:r>
      <w:r w:rsidR="00F32A34">
        <w:rPr>
          <w:color w:val="000000"/>
        </w:rPr>
        <w:t xml:space="preserve"> </w:t>
      </w:r>
      <w:r w:rsidR="00F32A34" w:rsidRPr="00873C4C">
        <w:rPr>
          <w:color w:val="000000"/>
        </w:rPr>
        <w:fldChar w:fldCharType="begin"/>
      </w:r>
      <w:r w:rsidR="00F32A34">
        <w:rPr>
          <w:color w:val="000000"/>
        </w:rPr>
        <w:instrText xml:space="preserve"> ADDIN EN.CITE &lt;EndNote&gt;&lt;Cite&gt;&lt;Author&gt;Ravid&lt;/Author&gt;&lt;Year&gt;2008&lt;/Year&gt;&lt;RecNum&gt;20&lt;/RecNum&gt;&lt;DisplayText&gt;(Ravid, 2008)&lt;/DisplayText&gt;&lt;record&gt;&lt;rec-number&gt;20&lt;/rec-number&gt;&lt;ref-type name="Journal Article"&gt;17&lt;/ref-type&gt;&lt;contributors&gt;&lt;authors&gt;&lt;author&gt;Ravid, R.&lt;/author&gt;&lt;/authors&gt;&lt;/contributors&gt;&lt;auth-address&gt;Netherlands Institute for Neurosciences, Royal Dutch Academy of Science, Meibergdreef 47, 1105 BA Amsterdam, The Netherlands. Rivkagravid@Gmail.com&lt;/auth-address&gt;&lt;titles&gt;&lt;title&gt;Standard Operating Procedures, ethical and legal regulations in BTB (Brain/Tissue/Bio) banking: what is still missing?&lt;/title&gt;&lt;secondary-title&gt;Cell Tissue Bank&lt;/secondary-title&gt;&lt;/titles&gt;&lt;periodical&gt;&lt;full-title&gt;Cell Tissue Bank&lt;/full-title&gt;&lt;/periodical&gt;&lt;pages&gt;121-37&lt;/pages&gt;&lt;volume&gt;9&lt;/volume&gt;&lt;number&gt;2&lt;/number&gt;&lt;keywords&gt;&lt;keyword&gt;Bioethics&lt;/keyword&gt;&lt;keyword&gt;*Brain&lt;/keyword&gt;&lt;keyword&gt;Codes of Ethics&lt;/keyword&gt;&lt;keyword&gt;Confidentiality&lt;/keyword&gt;&lt;keyword&gt;Database Management Systems/standards&lt;/keyword&gt;&lt;keyword&gt;Databases, Factual&lt;/keyword&gt;&lt;keyword&gt;Ethics Committees&lt;/keyword&gt;&lt;keyword&gt;Guidelines as Topic&lt;/keyword&gt;&lt;keyword&gt;Humans&lt;/keyword&gt;&lt;keyword&gt;Management Audit&lt;/keyword&gt;&lt;keyword&gt;Tissue Banks/economics/*ethics/legislation &amp;amp; jurisprudence/*standards&lt;/keyword&gt;&lt;keyword&gt;Tissue and Organ Procurement/ethics/legislation &amp;amp; jurisprudence/standards&lt;/keyword&gt;&lt;/keywords&gt;&lt;dates&gt;&lt;year&gt;2008&lt;/year&gt;&lt;pub-dates&gt;&lt;date&gt;Jun&lt;/date&gt;&lt;/pub-dates&gt;&lt;/dates&gt;&lt;accession-num&gt;17985213&lt;/accession-num&gt;&lt;urls&gt;&lt;related-urls&gt;&lt;url&gt;http://www.ncbi.nlm.nih.gov/entrez/query.fcgi?cmd=Retrieve&amp;amp;db=PubMed&amp;amp;dopt=Citation&amp;amp;list_uids=17985213 &lt;/url&gt;&lt;/related-urls&gt;&lt;/urls&gt;&lt;/record&gt;&lt;/Cite&gt;&lt;/EndNote&gt;</w:instrText>
      </w:r>
      <w:r w:rsidR="00F32A34" w:rsidRPr="00873C4C">
        <w:rPr>
          <w:color w:val="000000"/>
        </w:rPr>
        <w:fldChar w:fldCharType="separate"/>
      </w:r>
      <w:r w:rsidR="00F32A34">
        <w:rPr>
          <w:noProof/>
          <w:color w:val="000000"/>
        </w:rPr>
        <w:t>(</w:t>
      </w:r>
      <w:hyperlink w:anchor="_ENREF_338" w:tooltip="Ravid, 2008 #20" w:history="1">
        <w:r w:rsidR="004A784D">
          <w:rPr>
            <w:noProof/>
            <w:color w:val="000000"/>
          </w:rPr>
          <w:t>Ravid, 2008</w:t>
        </w:r>
      </w:hyperlink>
      <w:r w:rsidR="00F32A34">
        <w:rPr>
          <w:noProof/>
          <w:color w:val="000000"/>
        </w:rPr>
        <w:t>)</w:t>
      </w:r>
      <w:r w:rsidR="00F32A34" w:rsidRPr="00873C4C">
        <w:rPr>
          <w:color w:val="000000"/>
        </w:rPr>
        <w:fldChar w:fldCharType="end"/>
      </w:r>
      <w:r w:rsidR="008D148E">
        <w:rPr>
          <w:color w:val="000000"/>
        </w:rPr>
        <w:t xml:space="preserve"> (</w:t>
      </w:r>
      <w:r w:rsidR="00153E98" w:rsidRPr="00873C4C">
        <w:rPr>
          <w:color w:val="000000"/>
        </w:rPr>
        <w:t>Figure 1-7)</w:t>
      </w:r>
      <w:r w:rsidRPr="00873C4C">
        <w:rPr>
          <w:color w:val="000000"/>
        </w:rPr>
        <w:t xml:space="preserve">. Creating a biological bank is advantageous for many reasons </w:t>
      </w:r>
      <w:r w:rsidRPr="00873C4C">
        <w:rPr>
          <w:color w:val="000000"/>
        </w:rPr>
        <w:fldChar w:fldCharType="begin"/>
      </w:r>
      <w:r w:rsidR="006F41FE">
        <w:rPr>
          <w:color w:val="000000"/>
        </w:rPr>
        <w:instrText xml:space="preserve"> ADDIN EN.CITE &lt;EndNote&gt;&lt;Cite&gt;&lt;Author&gt;Ollier&lt;/Author&gt;&lt;Year&gt;2005&lt;/Year&gt;&lt;RecNum&gt;273&lt;/RecNum&gt;&lt;DisplayText&gt;(Ollier et al., 2005)&lt;/DisplayText&gt;&lt;record&gt;&lt;rec-number&gt;273&lt;/rec-number&gt;&lt;ref-type name="Journal Article"&gt;17&lt;/ref-type&gt;&lt;contributors&gt;&lt;authors&gt;&lt;author&gt;Ollier, W.&lt;/author&gt;&lt;author&gt;Sprosen, T.&lt;/author&gt;&lt;author&gt;Peakman, T.&lt;/author&gt;&lt;/authors&gt;&lt;/contributors&gt;&lt;auth-address&gt;Centre for Integrated Genomic Medical Research, The University of Manchester, UK.&lt;/auth-address&gt;&lt;titles&gt;&lt;title&gt;UK Biobank: from concept to reality&lt;/title&gt;&lt;secondary-title&gt;Pharmacogenomics&lt;/secondary-title&gt;&lt;/titles&gt;&lt;periodical&gt;&lt;full-title&gt;Pharmacogenomics&lt;/full-title&gt;&lt;/periodical&gt;&lt;pages&gt;639-46&lt;/pages&gt;&lt;volume&gt;6&lt;/volume&gt;&lt;number&gt;6&lt;/number&gt;&lt;keywords&gt;&lt;keyword&gt;Adult&lt;/keyword&gt;&lt;keyword&gt;Aged&lt;/keyword&gt;&lt;keyword&gt;*Biological Specimen Banks/ethics/standards&lt;/keyword&gt;&lt;keyword&gt;Cohort Studies&lt;/keyword&gt;&lt;keyword&gt;*Database Management Systems&lt;/keyword&gt;&lt;keyword&gt;*Environmental Exposure&lt;/keyword&gt;&lt;keyword&gt;*Genetic Research&lt;/keyword&gt;&lt;keyword&gt;Great Britain&lt;/keyword&gt;&lt;keyword&gt;Humans&lt;/keyword&gt;&lt;keyword&gt;*Life Style&lt;/keyword&gt;&lt;keyword&gt;Longitudinal Studies&lt;/keyword&gt;&lt;keyword&gt;Middle Aged&lt;/keyword&gt;&lt;keyword&gt;Population/genetics&lt;/keyword&gt;&lt;keyword&gt;Prospective Studies&lt;/keyword&gt;&lt;/keywords&gt;&lt;dates&gt;&lt;year&gt;2005&lt;/year&gt;&lt;pub-dates&gt;&lt;date&gt;Sep&lt;/date&gt;&lt;/pub-dates&gt;&lt;/dates&gt;&lt;accession-num&gt;16143003&lt;/accession-num&gt;&lt;urls&gt;&lt;related-urls&gt;&lt;url&gt;http://www.ncbi.nlm.nih.gov/entrez/query.fcgi?cmd=Retrieve&amp;amp;db=PubMed&amp;amp;dopt=Citation&amp;amp;list_uids=16143003 &lt;/url&gt;&lt;/related-urls&gt;&lt;/urls&gt;&lt;/record&gt;&lt;/Cite&gt;&lt;/EndNote&gt;</w:instrText>
      </w:r>
      <w:r w:rsidRPr="00873C4C">
        <w:rPr>
          <w:color w:val="000000"/>
        </w:rPr>
        <w:fldChar w:fldCharType="separate"/>
      </w:r>
      <w:r w:rsidR="006F41FE">
        <w:rPr>
          <w:noProof/>
          <w:color w:val="000000"/>
        </w:rPr>
        <w:t>(</w:t>
      </w:r>
      <w:hyperlink w:anchor="_ENREF_300" w:tooltip="Ollier, 2005 #273" w:history="1">
        <w:r w:rsidR="004A784D">
          <w:rPr>
            <w:noProof/>
            <w:color w:val="000000"/>
          </w:rPr>
          <w:t>Ollier et al., 2005</w:t>
        </w:r>
      </w:hyperlink>
      <w:r w:rsidR="006F41FE">
        <w:rPr>
          <w:noProof/>
          <w:color w:val="000000"/>
        </w:rPr>
        <w:t>)</w:t>
      </w:r>
      <w:r w:rsidRPr="00873C4C">
        <w:rPr>
          <w:color w:val="000000"/>
        </w:rPr>
        <w:fldChar w:fldCharType="end"/>
      </w:r>
      <w:r w:rsidRPr="00873C4C">
        <w:rPr>
          <w:color w:val="000000"/>
        </w:rPr>
        <w:t xml:space="preserve"> </w:t>
      </w:r>
      <w:r w:rsidR="00153E98" w:rsidRPr="00873C4C">
        <w:rPr>
          <w:color w:val="000000"/>
        </w:rPr>
        <w:t>:</w:t>
      </w:r>
      <w:r w:rsidR="00C50753" w:rsidRPr="00873C4C">
        <w:rPr>
          <w:color w:val="000000"/>
        </w:rPr>
        <w:t xml:space="preserve"> </w:t>
      </w:r>
    </w:p>
    <w:p w:rsidR="00F32A34" w:rsidRDefault="00A47E80" w:rsidP="00057B42">
      <w:pPr>
        <w:spacing w:line="360" w:lineRule="auto"/>
        <w:jc w:val="both"/>
        <w:rPr>
          <w:color w:val="000000"/>
        </w:rPr>
      </w:pPr>
      <w:r w:rsidRPr="00873C4C">
        <w:rPr>
          <w:color w:val="000000"/>
        </w:rPr>
        <w:t xml:space="preserve">Firstly by providing </w:t>
      </w:r>
      <w:r w:rsidR="00153E98" w:rsidRPr="00873C4C">
        <w:rPr>
          <w:color w:val="000000"/>
        </w:rPr>
        <w:t xml:space="preserve">research </w:t>
      </w:r>
      <w:r w:rsidRPr="00873C4C">
        <w:rPr>
          <w:color w:val="000000"/>
        </w:rPr>
        <w:t xml:space="preserve">scientists with secure, non-patient identifying access to the biological specimens and </w:t>
      </w:r>
      <w:r w:rsidR="00153E98" w:rsidRPr="00873C4C">
        <w:rPr>
          <w:color w:val="000000"/>
        </w:rPr>
        <w:t xml:space="preserve">associated </w:t>
      </w:r>
      <w:r w:rsidRPr="00873C4C">
        <w:rPr>
          <w:color w:val="000000"/>
        </w:rPr>
        <w:t xml:space="preserve">data </w:t>
      </w:r>
      <w:r w:rsidR="00153E98" w:rsidRPr="00873C4C">
        <w:rPr>
          <w:color w:val="000000"/>
        </w:rPr>
        <w:t xml:space="preserve">needed for </w:t>
      </w:r>
      <w:r w:rsidRPr="00873C4C">
        <w:rPr>
          <w:color w:val="000000"/>
        </w:rPr>
        <w:t>their research protocols</w:t>
      </w:r>
      <w:r w:rsidR="00F32A34">
        <w:rPr>
          <w:color w:val="000000"/>
        </w:rPr>
        <w:t xml:space="preserve"> </w:t>
      </w:r>
      <w:r w:rsidR="00F32A34">
        <w:rPr>
          <w:color w:val="000000"/>
        </w:rPr>
        <w:fldChar w:fldCharType="begin"/>
      </w:r>
      <w:r w:rsidR="00F32A34">
        <w:rPr>
          <w:color w:val="000000"/>
        </w:rPr>
        <w:instrText xml:space="preserve"> ADDIN EN.CITE &lt;EndNote&gt;&lt;Cite&gt;&lt;Author&gt;Roa&lt;/Author&gt;&lt;Year&gt;2008&lt;/Year&gt;&lt;RecNum&gt;5044&lt;/RecNum&gt;&lt;DisplayText&gt;(Roa and Artigas, 2008)&lt;/DisplayText&gt;&lt;record&gt;&lt;rec-number&gt;5044&lt;/rec-number&gt;&lt;foreign-keys&gt;&lt;key app="EN" db-id="zf0awxsaczrdd3eft5qvw9wrtxxawdfrvw2a"&gt;5044&lt;/key&gt;&lt;/foreign-keys&gt;&lt;ref-type name="Journal Article"&gt;17&lt;/ref-type&gt;&lt;contributors&gt;&lt;authors&gt;&lt;author&gt;Roa, E. I.&lt;/author&gt;&lt;author&gt;Artigas, A. Cg&lt;/author&gt;&lt;/authors&gt;&lt;/contributors&gt;&lt;auth-address&gt;Servicio Anatomia Patologica, Clinica Alemana de Santiago, Chile. iroa@alemana.cl&lt;/auth-address&gt;&lt;titles&gt;&lt;title&gt;[A pilot experience with a tumor bank]&lt;/title&gt;&lt;secondary-title&gt;Rev Med Chil&lt;/secondary-title&gt;&lt;/titles&gt;&lt;periodical&gt;&lt;full-title&gt;Rev Med Chil&lt;/full-title&gt;&lt;/periodical&gt;&lt;pages&gt;733-40&lt;/pages&gt;&lt;volume&gt;136&lt;/volume&gt;&lt;number&gt;6&lt;/number&gt;&lt;edition&gt;2008/09/05&lt;/edition&gt;&lt;keywords&gt;&lt;keyword&gt;Breast Neoplasms/chemistry/genetics/pathology&lt;/keyword&gt;&lt;keyword&gt;Chile&lt;/keyword&gt;&lt;keyword&gt;Cryopreservation/methods&lt;/keyword&gt;&lt;keyword&gt;Female&lt;/keyword&gt;&lt;keyword&gt;Humans&lt;/keyword&gt;&lt;keyword&gt;Male&lt;/keyword&gt;&lt;keyword&gt;Neoplasms/chemistry/genetics/*pathology&lt;/keyword&gt;&lt;keyword&gt;Nucleic Acid Amplification Techniques&lt;/keyword&gt;&lt;keyword&gt;Pilot Projects&lt;/keyword&gt;&lt;keyword&gt;Quality Control&lt;/keyword&gt;&lt;keyword&gt;Reverse Transcriptase Polymerase Chain Reaction&lt;/keyword&gt;&lt;keyword&gt;Specimen Handling/methods/*standards&lt;/keyword&gt;&lt;keyword&gt;Tissue Banks/organization &amp;amp; administration/*standards&lt;/keyword&gt;&lt;keyword&gt;Tissue Preservation/methods&lt;/keyword&gt;&lt;/keywords&gt;&lt;dates&gt;&lt;year&gt;2008&lt;/year&gt;&lt;pub-dates&gt;&lt;date&gt;Jun&lt;/date&gt;&lt;/pub-dates&gt;&lt;/dates&gt;&lt;orig-pub&gt;Banco de tumores en Chile, su aporte a la investigacion: resultados de un proyecto piloto.&lt;/orig-pub&gt;&lt;isbn&gt;0034-9887 (Print)&amp;#xD;0034-9887 (Linking)&lt;/isbn&gt;&lt;accession-num&gt;18769829&lt;/accession-num&gt;&lt;urls&gt;&lt;related-urls&gt;&lt;url&gt;http://www.ncbi.nlm.nih.gov/pubmed/18769829&lt;/url&gt;&lt;/related-urls&gt;&lt;/urls&gt;&lt;electronic-resource-num&gt;S0034-98872008000600007 [pii]&amp;#xD;/S0034-98872008000600007&lt;/electronic-resource-num&gt;&lt;language&gt;spa&lt;/language&gt;&lt;/record&gt;&lt;/Cite&gt;&lt;/EndNote&gt;</w:instrText>
      </w:r>
      <w:r w:rsidR="00F32A34">
        <w:rPr>
          <w:color w:val="000000"/>
        </w:rPr>
        <w:fldChar w:fldCharType="separate"/>
      </w:r>
      <w:r w:rsidR="00F32A34">
        <w:rPr>
          <w:noProof/>
          <w:color w:val="000000"/>
        </w:rPr>
        <w:t>(</w:t>
      </w:r>
      <w:hyperlink w:anchor="_ENREF_347" w:tooltip="Roa, 2008 #5044" w:history="1">
        <w:r w:rsidR="004A784D">
          <w:rPr>
            <w:noProof/>
            <w:color w:val="000000"/>
          </w:rPr>
          <w:t>Roa and Artigas, 2008</w:t>
        </w:r>
      </w:hyperlink>
      <w:r w:rsidR="00F32A34">
        <w:rPr>
          <w:noProof/>
          <w:color w:val="000000"/>
        </w:rPr>
        <w:t>)</w:t>
      </w:r>
      <w:r w:rsidR="00F32A34">
        <w:rPr>
          <w:color w:val="000000"/>
        </w:rPr>
        <w:fldChar w:fldCharType="end"/>
      </w:r>
      <w:r w:rsidRPr="00873C4C">
        <w:rPr>
          <w:color w:val="000000"/>
        </w:rPr>
        <w:t>.</w:t>
      </w:r>
      <w:r w:rsidR="00F32A34">
        <w:rPr>
          <w:color w:val="000000"/>
        </w:rPr>
        <w:t xml:space="preserve"> </w:t>
      </w:r>
    </w:p>
    <w:p w:rsidR="00F32A34" w:rsidRDefault="00A47E80" w:rsidP="00057B42">
      <w:pPr>
        <w:spacing w:line="360" w:lineRule="auto"/>
        <w:jc w:val="both"/>
        <w:rPr>
          <w:color w:val="000000"/>
        </w:rPr>
      </w:pPr>
      <w:r w:rsidRPr="00873C4C">
        <w:rPr>
          <w:color w:val="000000"/>
        </w:rPr>
        <w:t xml:space="preserve">Secondly, costs and time scale duration of the future studies are decreased with the elimination of the sample collection stage, ethical approval etc. </w:t>
      </w:r>
    </w:p>
    <w:p w:rsidR="00F32A34" w:rsidRDefault="00A47E80" w:rsidP="00057B42">
      <w:pPr>
        <w:spacing w:line="360" w:lineRule="auto"/>
        <w:jc w:val="both"/>
        <w:rPr>
          <w:color w:val="000000"/>
        </w:rPr>
      </w:pPr>
      <w:r w:rsidRPr="00873C4C">
        <w:rPr>
          <w:color w:val="000000"/>
        </w:rPr>
        <w:t xml:space="preserve">Thirdly, a specimen bank is available for future development of new methods and </w:t>
      </w:r>
      <w:r w:rsidRPr="00873C4C">
        <w:rPr>
          <w:color w:val="000000"/>
          <w:lang w:val="en-GB"/>
        </w:rPr>
        <w:t xml:space="preserve">new technology to utilize </w:t>
      </w:r>
      <w:r w:rsidR="00153E98" w:rsidRPr="00873C4C">
        <w:rPr>
          <w:color w:val="000000"/>
          <w:lang w:val="en-GB"/>
        </w:rPr>
        <w:t xml:space="preserve">historical </w:t>
      </w:r>
      <w:r w:rsidRPr="00873C4C">
        <w:rPr>
          <w:color w:val="000000"/>
          <w:lang w:val="en-GB"/>
        </w:rPr>
        <w:t xml:space="preserve">biological specimen </w:t>
      </w:r>
      <w:r w:rsidRPr="00873C4C">
        <w:rPr>
          <w:color w:val="000000"/>
          <w:lang w:val="en-GB"/>
        </w:rPr>
        <w:fldChar w:fldCharType="begin"/>
      </w:r>
      <w:r w:rsidRPr="00873C4C">
        <w:rPr>
          <w:color w:val="000000"/>
          <w:lang w:val="en-GB"/>
        </w:rPr>
        <w:instrText xml:space="preserve"> ADDIN EN.CITE &lt;EndNote&gt;&lt;Cite&gt;&lt;Author&gt;Nakamura&lt;/Author&gt;&lt;RecNum&gt;1&lt;/RecNum&gt;&lt;record&gt;&lt;rec-number&gt;1&lt;/rec-number&gt;&lt;ref-type name="Journal Article"&gt;17&lt;/ref-type&gt;&lt;contributors&gt;&lt;authors&gt;&lt;author&gt;Nakamura, Y.&lt;/author&gt;&lt;/authors&gt;&lt;/contributors&gt;&lt;auth-address&gt;Cell Engineering Division, RIKEN BioResource Center, Tsukuba, Ibaraki, Japan.&lt;/auth-address&gt;&lt;titles&gt;&lt;title&gt;Bio-resource of human and animal-derived cell materials&lt;/title&gt;&lt;secondary-title&gt;Exp Anim&lt;/secondary-title&gt;&lt;/titles&gt;&lt;periodical&gt;&lt;full-title&gt;Exp Anim&lt;/full-title&gt;&lt;/periodical&gt;&lt;pages&gt;1-7&lt;/pages&gt;&lt;volume&gt;59&lt;/volume&gt;&lt;number&gt;1&lt;/number&gt;&lt;dates&gt;&lt;/dates&gt;&lt;accession-num&gt;20224164&lt;/accession-num&gt;&lt;urls&gt;&lt;related-urls&gt;&lt;url&gt;http://www.ncbi.nlm.nih.gov/entrez/query.fcgi?cmd=Retrieve&amp;amp;db=PubMed&amp;amp;dopt=Citation&amp;amp;list_uids=20224164 &lt;/url&gt;&lt;/related-urls&gt;&lt;/urls&gt;&lt;/record&gt;&lt;/Cite&gt;&lt;/EndNote&gt;</w:instrText>
      </w:r>
      <w:r w:rsidRPr="00873C4C">
        <w:rPr>
          <w:color w:val="000000"/>
          <w:lang w:val="en-GB"/>
        </w:rPr>
        <w:fldChar w:fldCharType="separate"/>
      </w:r>
      <w:r w:rsidR="00153E98" w:rsidRPr="00873C4C">
        <w:rPr>
          <w:color w:val="000000"/>
          <w:lang w:val="en-GB"/>
        </w:rPr>
        <w:t>(</w:t>
      </w:r>
      <w:hyperlink w:anchor="_ENREF_286" w:tooltip="Nakamura,  #1" w:history="1">
        <w:r w:rsidR="004A784D" w:rsidRPr="00873C4C">
          <w:rPr>
            <w:color w:val="000000"/>
            <w:lang w:val="en-GB"/>
          </w:rPr>
          <w:t>Nakamura</w:t>
        </w:r>
      </w:hyperlink>
      <w:r w:rsidR="00153E98" w:rsidRPr="00873C4C">
        <w:rPr>
          <w:color w:val="000000"/>
          <w:lang w:val="en-GB"/>
        </w:rPr>
        <w:t>)</w:t>
      </w:r>
      <w:r w:rsidRPr="00873C4C">
        <w:rPr>
          <w:color w:val="000000"/>
          <w:lang w:val="en-GB"/>
        </w:rPr>
        <w:fldChar w:fldCharType="end"/>
      </w:r>
      <w:r w:rsidRPr="00873C4C">
        <w:rPr>
          <w:color w:val="000000"/>
        </w:rPr>
        <w:t xml:space="preserve">. </w:t>
      </w:r>
    </w:p>
    <w:p w:rsidR="00A47E80" w:rsidRPr="00873C4C" w:rsidRDefault="00A47E80" w:rsidP="00057B42">
      <w:pPr>
        <w:spacing w:line="360" w:lineRule="auto"/>
        <w:jc w:val="both"/>
        <w:rPr>
          <w:color w:val="000000"/>
        </w:rPr>
      </w:pPr>
      <w:r w:rsidRPr="00873C4C">
        <w:rPr>
          <w:color w:val="000000"/>
        </w:rPr>
        <w:t>Last but not least, in today’s tight budget environment, biological banks can provide additional incentives for external collaboration and funding</w:t>
      </w:r>
      <w:r w:rsidR="00153E98" w:rsidRPr="00873C4C">
        <w:rPr>
          <w:color w:val="000000"/>
        </w:rPr>
        <w:t xml:space="preserve"> such as pharmaceutical companies</w:t>
      </w:r>
      <w:r w:rsidR="00F32A34">
        <w:rPr>
          <w:color w:val="000000"/>
        </w:rPr>
        <w:t xml:space="preserve"> </w:t>
      </w:r>
      <w:r w:rsidR="00F32A34">
        <w:rPr>
          <w:color w:val="000000"/>
        </w:rPr>
        <w:fldChar w:fldCharType="begin">
          <w:fldData xml:space="preserve">PEVuZE5vdGU+PENpdGU+PEF1dGhvcj5MdWM8L0F1dGhvcj48WWVhcj4yMDAzPC9ZZWFyPjxSZWNO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</w:fldData>
        </w:fldChar>
      </w:r>
      <w:r w:rsidR="00F32A34">
        <w:rPr>
          <w:color w:val="000000"/>
        </w:rPr>
        <w:instrText xml:space="preserve"> ADDIN EN.CITE </w:instrText>
      </w:r>
      <w:r w:rsidR="00F32A34">
        <w:rPr>
          <w:color w:val="000000"/>
        </w:rPr>
        <w:fldChar w:fldCharType="begin">
          <w:fldData xml:space="preserve">PEVuZE5vdGU+PENpdGU+PEF1dGhvcj5MdWM8L0F1dGhvcj48WWVhcj4yMDAzPC9ZZWFyPjxSZWNO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</w:fldData>
        </w:fldChar>
      </w:r>
      <w:r w:rsidR="00F32A34">
        <w:rPr>
          <w:color w:val="000000"/>
        </w:rPr>
        <w:instrText xml:space="preserve"> ADDIN EN.CITE.DATA </w:instrText>
      </w:r>
      <w:r w:rsidR="00F32A34">
        <w:rPr>
          <w:color w:val="000000"/>
        </w:rPr>
      </w:r>
      <w:r w:rsidR="00F32A34">
        <w:rPr>
          <w:color w:val="000000"/>
        </w:rPr>
        <w:fldChar w:fldCharType="end"/>
      </w:r>
      <w:r w:rsidR="00F32A34">
        <w:rPr>
          <w:color w:val="000000"/>
        </w:rPr>
      </w:r>
      <w:r w:rsidR="00F32A34">
        <w:rPr>
          <w:color w:val="000000"/>
        </w:rPr>
        <w:fldChar w:fldCharType="separate"/>
      </w:r>
      <w:r w:rsidR="00F32A34">
        <w:rPr>
          <w:noProof/>
          <w:color w:val="000000"/>
        </w:rPr>
        <w:t>(</w:t>
      </w:r>
      <w:hyperlink w:anchor="_ENREF_253" w:tooltip="Luc, 2003 #5054" w:history="1">
        <w:r w:rsidR="004A784D">
          <w:rPr>
            <w:noProof/>
            <w:color w:val="000000"/>
          </w:rPr>
          <w:t>Luc et al., 2003</w:t>
        </w:r>
      </w:hyperlink>
      <w:r w:rsidR="00F32A34">
        <w:rPr>
          <w:noProof/>
          <w:color w:val="000000"/>
        </w:rPr>
        <w:t>)</w:t>
      </w:r>
      <w:r w:rsidR="00F32A34">
        <w:rPr>
          <w:color w:val="000000"/>
        </w:rPr>
        <w:fldChar w:fldCharType="end"/>
      </w:r>
      <w:r w:rsidRPr="00873C4C">
        <w:rPr>
          <w:color w:val="000000"/>
        </w:rPr>
        <w:t xml:space="preserve">. </w:t>
      </w:r>
    </w:p>
    <w:p w:rsidR="002A4A43" w:rsidRPr="00873C4C" w:rsidRDefault="0092498C" w:rsidP="00057B42">
      <w:pPr>
        <w:spacing w:line="360" w:lineRule="auto"/>
        <w:jc w:val="both"/>
        <w:rPr>
          <w:color w:val="000000"/>
        </w:rPr>
      </w:pPr>
      <w:r w:rsidRPr="00873C4C">
        <w:rPr>
          <w:color w:val="000000"/>
        </w:rPr>
        <w:tab/>
      </w:r>
    </w:p>
    <w:p w:rsidR="00103EE4" w:rsidRDefault="00103EE4">
      <w:pPr>
        <w:rPr>
          <w:b/>
          <w:color w:val="000000"/>
          <w:sz w:val="26"/>
          <w:szCs w:val="26"/>
          <w:lang w:eastAsia="en-US"/>
        </w:rPr>
      </w:pPr>
      <w:bookmarkStart w:id="303" w:name="_Toc260495796"/>
      <w:bookmarkStart w:id="304" w:name="_Toc260496047"/>
      <w:bookmarkStart w:id="305" w:name="_Toc260500440"/>
      <w:bookmarkStart w:id="306" w:name="_Toc261098466"/>
      <w:bookmarkStart w:id="307" w:name="_Toc305759129"/>
      <w:bookmarkStart w:id="308" w:name="_Toc306570557"/>
      <w:bookmarkStart w:id="309" w:name="_Toc307067622"/>
      <w:r>
        <w:br w:type="page"/>
      </w:r>
    </w:p>
    <w:p w:rsidR="00A47E80" w:rsidRDefault="0063683C" w:rsidP="00645687">
      <w:pPr>
        <w:pStyle w:val="Heading3"/>
      </w:pPr>
      <w:r>
        <w:lastRenderedPageBreak/>
        <w:tab/>
      </w:r>
      <w:bookmarkStart w:id="310" w:name="_Toc312169181"/>
      <w:bookmarkStart w:id="311" w:name="_Toc312172108"/>
      <w:bookmarkStart w:id="312" w:name="_Toc312257657"/>
      <w:r w:rsidR="00A47E80" w:rsidRPr="00873C4C">
        <w:t>Biological banks basic activities</w:t>
      </w:r>
      <w:bookmarkEnd w:id="303"/>
      <w:bookmarkEnd w:id="304"/>
      <w:bookmarkEnd w:id="305"/>
      <w:bookmarkEnd w:id="306"/>
      <w:bookmarkEnd w:id="307"/>
      <w:bookmarkEnd w:id="308"/>
      <w:bookmarkEnd w:id="309"/>
      <w:bookmarkEnd w:id="310"/>
      <w:bookmarkEnd w:id="311"/>
      <w:bookmarkEnd w:id="312"/>
    </w:p>
    <w:p w:rsidR="00A47E80" w:rsidRPr="00873C4C" w:rsidRDefault="00970C22" w:rsidP="00057B42">
      <w:pPr>
        <w:spacing w:line="360" w:lineRule="auto"/>
        <w:jc w:val="both"/>
        <w:rPr>
          <w:color w:val="000000"/>
        </w:rPr>
      </w:pPr>
      <w:r w:rsidRPr="00970C22">
        <w:rPr>
          <w:color w:val="000000"/>
        </w:rPr>
        <w:t>An e</w:t>
      </w:r>
      <w:r>
        <w:rPr>
          <w:color w:val="000000"/>
        </w:rPr>
        <w:t xml:space="preserve">ssential element of </w:t>
      </w:r>
      <w:r w:rsidRPr="00970C22">
        <w:rPr>
          <w:color w:val="000000"/>
        </w:rPr>
        <w:t>translation</w:t>
      </w:r>
      <w:r>
        <w:rPr>
          <w:color w:val="000000"/>
        </w:rPr>
        <w:t>al</w:t>
      </w:r>
      <w:r w:rsidRPr="00970C22">
        <w:rPr>
          <w:color w:val="000000"/>
        </w:rPr>
        <w:t xml:space="preserve"> research </w:t>
      </w:r>
      <w:r>
        <w:rPr>
          <w:color w:val="000000"/>
        </w:rPr>
        <w:t>and</w:t>
      </w:r>
      <w:r w:rsidRPr="00970C22">
        <w:rPr>
          <w:color w:val="000000"/>
        </w:rPr>
        <w:t xml:space="preserve"> scientific, economic and societal benefits</w:t>
      </w:r>
      <w:r>
        <w:rPr>
          <w:color w:val="000000"/>
        </w:rPr>
        <w:t xml:space="preserve"> </w:t>
      </w:r>
      <w:r w:rsidRPr="00970C22">
        <w:rPr>
          <w:color w:val="000000"/>
        </w:rPr>
        <w:t>is the availability of large collections of patient samples and corresponding clinical</w:t>
      </w:r>
      <w:r>
        <w:rPr>
          <w:color w:val="000000"/>
        </w:rPr>
        <w:t xml:space="preserve"> data. This can achieved through </w:t>
      </w:r>
      <w:r w:rsidR="002445A1">
        <w:rPr>
          <w:color w:val="000000"/>
        </w:rPr>
        <w:t>collaboration with</w:t>
      </w:r>
      <w:r w:rsidR="00A47E80" w:rsidRPr="00873C4C">
        <w:rPr>
          <w:color w:val="000000"/>
        </w:rPr>
        <w:t xml:space="preserve"> the clinical team to recruit donors and support them through the informed consent process </w:t>
      </w:r>
      <w:r w:rsidR="00A47E80" w:rsidRPr="00873C4C">
        <w:rPr>
          <w:color w:val="000000"/>
        </w:rPr>
        <w:fldChar w:fldCharType="begin"/>
      </w:r>
      <w:r w:rsidR="006F41FE">
        <w:rPr>
          <w:color w:val="000000"/>
        </w:rPr>
        <w:instrText xml:space="preserve"> ADDIN EN.CITE &lt;EndNote&gt;&lt;Cite&gt;&lt;Author&gt;Ravid&lt;/Author&gt;&lt;Year&gt;2008&lt;/Year&gt;&lt;RecNum&gt;20&lt;/RecNum&gt;&lt;DisplayText&gt;(Ravid, 2008)&lt;/DisplayText&gt;&lt;record&gt;&lt;rec-number&gt;20&lt;/rec-number&gt;&lt;ref-type name="Journal Article"&gt;17&lt;/ref-type&gt;&lt;contributors&gt;&lt;authors&gt;&lt;author&gt;Ravid, R.&lt;/author&gt;&lt;/authors&gt;&lt;/contributors&gt;&lt;auth-address&gt;Netherlands Institute for Neurosciences, Royal Dutch Academy of Science, Meibergdreef 47, 1105 BA Amsterdam, The Netherlands. Rivkagravid@Gmail.com&lt;/auth-address&gt;&lt;titles&gt;&lt;title&gt;Standard Operating Procedures, ethical and legal regulations in BTB (Brain/Tissue/Bio) banking: what is still missing?&lt;/title&gt;&lt;secondary-title&gt;Cell Tissue Bank&lt;/secondary-title&gt;&lt;/titles&gt;&lt;periodical&gt;&lt;full-title&gt;Cell Tissue Bank&lt;/full-title&gt;&lt;/periodical&gt;&lt;pages&gt;121-37&lt;/pages&gt;&lt;volume&gt;9&lt;/volume&gt;&lt;number&gt;2&lt;/number&gt;&lt;keywords&gt;&lt;keyword&gt;Bioethics&lt;/keyword&gt;&lt;keyword&gt;*Brain&lt;/keyword&gt;&lt;keyword&gt;Codes of Ethics&lt;/keyword&gt;&lt;keyword&gt;Confidentiality&lt;/keyword&gt;&lt;keyword&gt;Database Management Systems/standards&lt;/keyword&gt;&lt;keyword&gt;Databases, Factual&lt;/keyword&gt;&lt;keyword&gt;Ethics Committees&lt;/keyword&gt;&lt;keyword&gt;Guidelines as Topic&lt;/keyword&gt;&lt;keyword&gt;Humans&lt;/keyword&gt;&lt;keyword&gt;Management Audit&lt;/keyword&gt;&lt;keyword&gt;Tissue Banks/economics/*ethics/legislation &amp;amp; jurisprudence/*standards&lt;/keyword&gt;&lt;keyword&gt;Tissue and Organ Procurement/ethics/legislation &amp;amp; jurisprudence/standards&lt;/keyword&gt;&lt;/keywords&gt;&lt;dates&gt;&lt;year&gt;2008&lt;/year&gt;&lt;pub-dates&gt;&lt;date&gt;Jun&lt;/date&gt;&lt;/pub-dates&gt;&lt;/dates&gt;&lt;accession-num&gt;17985213&lt;/accession-num&gt;&lt;urls&gt;&lt;related-urls&gt;&lt;url&gt;http://www.ncbi.nlm.nih.gov/entrez/query.fcgi?cmd=Retrieve&amp;amp;db=PubMed&amp;amp;dopt=Citation&amp;amp;list_uids=17985213 &lt;/url&gt;&lt;/related-urls&gt;&lt;/urls&gt;&lt;/record&gt;&lt;/Cite&gt;&lt;/EndNote&gt;</w:instrText>
      </w:r>
      <w:r w:rsidR="00A47E80" w:rsidRPr="00873C4C">
        <w:rPr>
          <w:color w:val="000000"/>
        </w:rPr>
        <w:fldChar w:fldCharType="separate"/>
      </w:r>
      <w:r w:rsidR="006F41FE">
        <w:rPr>
          <w:noProof/>
          <w:color w:val="000000"/>
        </w:rPr>
        <w:t>(</w:t>
      </w:r>
      <w:hyperlink w:anchor="_ENREF_338" w:tooltip="Ravid, 2008 #20" w:history="1">
        <w:r w:rsidR="004A784D">
          <w:rPr>
            <w:noProof/>
            <w:color w:val="000000"/>
          </w:rPr>
          <w:t>Ravid, 2008</w:t>
        </w:r>
      </w:hyperlink>
      <w:r w:rsidR="006F41FE">
        <w:rPr>
          <w:noProof/>
          <w:color w:val="000000"/>
        </w:rPr>
        <w:t>)</w:t>
      </w:r>
      <w:r w:rsidR="00A47E80" w:rsidRPr="00873C4C">
        <w:rPr>
          <w:color w:val="000000"/>
        </w:rPr>
        <w:fldChar w:fldCharType="end"/>
      </w:r>
      <w:r w:rsidR="00A47E80" w:rsidRPr="00873C4C">
        <w:rPr>
          <w:color w:val="000000"/>
        </w:rPr>
        <w:t>. Such recruitment also involves coordination with ethics review bo</w:t>
      </w:r>
      <w:r w:rsidR="004304CA">
        <w:rPr>
          <w:color w:val="000000"/>
        </w:rPr>
        <w:t xml:space="preserve">ards and committees to design </w:t>
      </w:r>
      <w:r w:rsidR="00A47E80" w:rsidRPr="00873C4C">
        <w:rPr>
          <w:color w:val="000000"/>
        </w:rPr>
        <w:t xml:space="preserve">protocols that provide the full scope of donor protection </w:t>
      </w:r>
      <w:r w:rsidR="00A47E80" w:rsidRPr="00873C4C">
        <w:rPr>
          <w:color w:val="000000"/>
        </w:rPr>
        <w:fldChar w:fldCharType="begin"/>
      </w:r>
      <w:r w:rsidR="006F41FE">
        <w:rPr>
          <w:color w:val="000000"/>
        </w:rPr>
        <w:instrText xml:space="preserve"> ADDIN EN.CITE &lt;EndNote&gt;&lt;Cite&gt;&lt;Author&gt;Felding&lt;/Author&gt;&lt;Year&gt;2004&lt;/Year&gt;&lt;RecNum&gt;58&lt;/RecNum&gt;&lt;DisplayText&gt;(Felding et al., 2004)&lt;/DisplayText&gt;&lt;record&gt;&lt;rec-number&gt;58&lt;/rec-number&gt;&lt;ref-type name="Journal Article"&gt;17&lt;/ref-type&gt;&lt;contributors&gt;&lt;authors&gt;&lt;author&gt;Felding, P.&lt;/author&gt;&lt;author&gt;Rustad, P.&lt;/author&gt;&lt;author&gt;Martensson, A.&lt;/author&gt;&lt;author&gt;Kairisto, V.&lt;/author&gt;&lt;author&gt;Franzson, L.&lt;/author&gt;&lt;author&gt;Hyltoft Petersen, P.&lt;/author&gt;&lt;author&gt;Uldall, A.&lt;/author&gt;&lt;/authors&gt;&lt;/contributors&gt;&lt;auth-address&gt;Copenhagen General Practitioners&amp;apos; Laboratory, Pilestraede 65, DK-1112 Copenhagen, Denmark. pf@kpll.dk&lt;/auth-address&gt;&lt;titles&gt;&lt;title&gt;Reference individuals, blood collection, treatment of samples and descriptive data from the questionnaire in the Nordic Reference Interval Project 2000&lt;/title&gt;&lt;secondary-title&gt;Scand J Clin Lab Invest&lt;/secondary-title&gt;&lt;/titles&gt;&lt;periodical&gt;&lt;full-title&gt;Scand J Clin Lab Invest&lt;/full-title&gt;&lt;/periodical&gt;&lt;pages&gt;327-42&lt;/pages&gt;&lt;volume&gt;64&lt;/volume&gt;&lt;number&gt;4&lt;/number&gt;&lt;keywords&gt;&lt;keyword&gt;Adolescent&lt;/keyword&gt;&lt;keyword&gt;Adult&lt;/keyword&gt;&lt;keyword&gt;Aged&lt;/keyword&gt;&lt;keyword&gt;Blood Specimen Collection/methods/*standards&lt;/keyword&gt;&lt;keyword&gt;Chemistry, Clinical/*standards&lt;/keyword&gt;&lt;keyword&gt;Clinical Medicine/*standards&lt;/keyword&gt;&lt;keyword&gt;Europe&lt;/keyword&gt;&lt;keyword&gt;Female&lt;/keyword&gt;&lt;keyword&gt;Humans&lt;/keyword&gt;&lt;keyword&gt;*International Cooperation&lt;/keyword&gt;&lt;keyword&gt;Laboratories, Hospital/standards&lt;/keyword&gt;&lt;keyword&gt;Male&lt;/keyword&gt;&lt;keyword&gt;Middle Aged&lt;/keyword&gt;&lt;keyword&gt;*Questionnaires&lt;/keyword&gt;&lt;keyword&gt;*Reference Values&lt;/keyword&gt;&lt;/keywords&gt;&lt;dates&gt;&lt;year&gt;2004&lt;/year&gt;&lt;/dates&gt;&lt;accession-num&gt;15223699&lt;/accession-num&gt;&lt;urls&gt;&lt;related-urls&gt;&lt;url&gt;http://www.ncbi.nlm.nih.gov/entrez/query.fcgi?cmd=Retrieve&amp;amp;db=PubMed&amp;amp;dopt=Citation&amp;amp;list_uids=15223699 &lt;/url&gt;&lt;/related-urls&gt;&lt;/urls&gt;&lt;/record&gt;&lt;/Cite&gt;&lt;/EndNote&gt;</w:instrText>
      </w:r>
      <w:r w:rsidR="00A47E80" w:rsidRPr="00873C4C">
        <w:rPr>
          <w:color w:val="000000"/>
        </w:rPr>
        <w:fldChar w:fldCharType="separate"/>
      </w:r>
      <w:r w:rsidR="006F41FE">
        <w:rPr>
          <w:noProof/>
          <w:color w:val="000000"/>
        </w:rPr>
        <w:t>(</w:t>
      </w:r>
      <w:hyperlink w:anchor="_ENREF_120" w:tooltip="Felding, 2004 #58" w:history="1">
        <w:r w:rsidR="004A784D">
          <w:rPr>
            <w:noProof/>
            <w:color w:val="000000"/>
          </w:rPr>
          <w:t>Felding et al., 2004</w:t>
        </w:r>
      </w:hyperlink>
      <w:r w:rsidR="006F41FE">
        <w:rPr>
          <w:noProof/>
          <w:color w:val="000000"/>
        </w:rPr>
        <w:t>)</w:t>
      </w:r>
      <w:r w:rsidR="00A47E80" w:rsidRPr="00873C4C">
        <w:rPr>
          <w:color w:val="000000"/>
        </w:rPr>
        <w:fldChar w:fldCharType="end"/>
      </w:r>
      <w:r w:rsidR="00A47E80" w:rsidRPr="00873C4C">
        <w:rPr>
          <w:color w:val="000000"/>
        </w:rPr>
        <w:t>.</w:t>
      </w:r>
      <w:r w:rsidR="0063683C">
        <w:rPr>
          <w:color w:val="000000"/>
        </w:rPr>
        <w:t xml:space="preserve"> </w:t>
      </w:r>
      <w:r w:rsidR="00A47E80" w:rsidRPr="00873C4C">
        <w:rPr>
          <w:color w:val="000000"/>
        </w:rPr>
        <w:t xml:space="preserve">Interaction with the clinical </w:t>
      </w:r>
      <w:r w:rsidR="00153E98" w:rsidRPr="00873C4C">
        <w:rPr>
          <w:color w:val="000000"/>
        </w:rPr>
        <w:t>physicians</w:t>
      </w:r>
      <w:r w:rsidR="00A47E80" w:rsidRPr="00873C4C">
        <w:rPr>
          <w:color w:val="000000"/>
        </w:rPr>
        <w:t xml:space="preserve"> and </w:t>
      </w:r>
      <w:r w:rsidR="00153E98" w:rsidRPr="00873C4C">
        <w:rPr>
          <w:color w:val="000000"/>
        </w:rPr>
        <w:t>their</w:t>
      </w:r>
      <w:r w:rsidR="00A47E80" w:rsidRPr="00873C4C">
        <w:rPr>
          <w:color w:val="000000"/>
        </w:rPr>
        <w:t xml:space="preserve"> teams to collect </w:t>
      </w:r>
      <w:r w:rsidR="00153E98" w:rsidRPr="00873C4C">
        <w:rPr>
          <w:color w:val="000000"/>
        </w:rPr>
        <w:t>clinical specimen</w:t>
      </w:r>
      <w:r w:rsidR="00A47E80" w:rsidRPr="00873C4C">
        <w:rPr>
          <w:color w:val="000000"/>
        </w:rPr>
        <w:t xml:space="preserve"> during various patient visits to the </w:t>
      </w:r>
      <w:r w:rsidR="00153E98" w:rsidRPr="00873C4C">
        <w:rPr>
          <w:color w:val="000000"/>
        </w:rPr>
        <w:t xml:space="preserve">clinics, </w:t>
      </w:r>
      <w:r w:rsidR="00A47E80" w:rsidRPr="00873C4C">
        <w:rPr>
          <w:color w:val="000000"/>
        </w:rPr>
        <w:t xml:space="preserve">hospitals, research centres, </w:t>
      </w:r>
      <w:r w:rsidR="00153E98" w:rsidRPr="00873C4C">
        <w:rPr>
          <w:color w:val="000000"/>
        </w:rPr>
        <w:t xml:space="preserve">other </w:t>
      </w:r>
      <w:r w:rsidR="00A47E80" w:rsidRPr="00873C4C">
        <w:rPr>
          <w:color w:val="000000"/>
        </w:rPr>
        <w:t xml:space="preserve">clinical </w:t>
      </w:r>
      <w:r w:rsidR="00153E98" w:rsidRPr="00873C4C">
        <w:rPr>
          <w:color w:val="000000"/>
        </w:rPr>
        <w:t>facilities</w:t>
      </w:r>
      <w:r w:rsidR="00A47E80" w:rsidRPr="00873C4C">
        <w:rPr>
          <w:color w:val="000000"/>
        </w:rPr>
        <w:t xml:space="preserve"> that study specific diseases</w:t>
      </w:r>
      <w:r w:rsidR="00153E98" w:rsidRPr="00873C4C">
        <w:rPr>
          <w:color w:val="000000"/>
        </w:rPr>
        <w:t xml:space="preserve"> </w:t>
      </w:r>
      <w:r w:rsidR="00A47E80" w:rsidRPr="00873C4C">
        <w:rPr>
          <w:color w:val="000000"/>
        </w:rPr>
        <w:fldChar w:fldCharType="begin">
          <w:fldData xml:space="preserve">PEVuZE5vdGU+PENpdGU+PEF1dGhvcj5OYWthbXVyYTwvQXV0aG9yPjxZZWFyPjIwMDc8L1llYXI+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</w:fldData>
        </w:fldChar>
      </w:r>
      <w:r w:rsidR="006F41FE">
        <w:rPr>
          <w:color w:val="000000"/>
        </w:rPr>
        <w:instrText xml:space="preserve"> ADDIN EN.CITE </w:instrText>
      </w:r>
      <w:r w:rsidR="006F41FE">
        <w:rPr>
          <w:color w:val="000000"/>
        </w:rPr>
        <w:fldChar w:fldCharType="begin">
          <w:fldData xml:space="preserve">PEVuZE5vdGU+PENpdGU+PEF1dGhvcj5OYWthbXVyYTwvQXV0aG9yPjxZZWFyPjIwMDc8L1llYXI+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00A47E80" w:rsidRPr="00873C4C">
        <w:rPr>
          <w:color w:val="000000"/>
        </w:rPr>
      </w:r>
      <w:r w:rsidR="00A47E80" w:rsidRPr="00873C4C">
        <w:rPr>
          <w:color w:val="000000"/>
        </w:rPr>
        <w:fldChar w:fldCharType="separate"/>
      </w:r>
      <w:r w:rsidR="006F41FE">
        <w:rPr>
          <w:noProof/>
          <w:color w:val="000000"/>
        </w:rPr>
        <w:t>(</w:t>
      </w:r>
      <w:hyperlink w:anchor="_ENREF_287" w:tooltip="Nakamura, 2007 #169" w:history="1">
        <w:r w:rsidR="004A784D">
          <w:rPr>
            <w:noProof/>
            <w:color w:val="000000"/>
          </w:rPr>
          <w:t>Nakamura, 2007</w:t>
        </w:r>
      </w:hyperlink>
      <w:r w:rsidR="006F41FE">
        <w:rPr>
          <w:noProof/>
          <w:color w:val="000000"/>
        </w:rPr>
        <w:t xml:space="preserve">, </w:t>
      </w:r>
      <w:hyperlink w:anchor="_ENREF_28" w:tooltip="Asslaber, 2007 #174" w:history="1">
        <w:r w:rsidR="004A784D">
          <w:rPr>
            <w:noProof/>
            <w:color w:val="000000"/>
          </w:rPr>
          <w:t>Asslaber and Zatloukal, 2007</w:t>
        </w:r>
      </w:hyperlink>
      <w:r w:rsidR="006F41FE">
        <w:rPr>
          <w:noProof/>
          <w:color w:val="000000"/>
        </w:rPr>
        <w:t>)</w:t>
      </w:r>
      <w:r w:rsidR="00A47E80" w:rsidRPr="00873C4C">
        <w:rPr>
          <w:color w:val="000000"/>
        </w:rPr>
        <w:fldChar w:fldCharType="end"/>
      </w:r>
      <w:r w:rsidR="00A47E80" w:rsidRPr="00873C4C">
        <w:rPr>
          <w:color w:val="000000"/>
        </w:rPr>
        <w:t xml:space="preserve">. </w:t>
      </w:r>
    </w:p>
    <w:p w:rsidR="00A47E80" w:rsidRPr="00873C4C" w:rsidRDefault="00A47E80" w:rsidP="00057B42">
      <w:pPr>
        <w:spacing w:line="360" w:lineRule="auto"/>
        <w:rPr>
          <w:color w:val="000000"/>
        </w:rPr>
      </w:pPr>
    </w:p>
    <w:p w:rsidR="000E21E3" w:rsidRPr="00873C4C" w:rsidRDefault="00ED7D82" w:rsidP="00057B42">
      <w:pPr>
        <w:keepNext/>
        <w:spacing w:line="360" w:lineRule="auto"/>
        <w:jc w:val="center"/>
        <w:rPr>
          <w:color w:val="000000"/>
        </w:rPr>
      </w:pPr>
      <w:r>
        <w:rPr>
          <w:noProof/>
          <w:color w:val="000000"/>
          <w:lang w:eastAsia="en-IE"/>
        </w:rPr>
        <w:drawing>
          <wp:inline distT="0" distB="0" distL="0" distR="0" wp14:anchorId="464FC204" wp14:editId="7CD2E472">
            <wp:extent cx="2941320" cy="250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1320" cy="2501900"/>
                    </a:xfrm>
                    <a:prstGeom prst="rect">
                      <a:avLst/>
                    </a:prstGeom>
                    <a:noFill/>
                    <a:ln>
                      <a:noFill/>
                    </a:ln>
                  </pic:spPr>
                </pic:pic>
              </a:graphicData>
            </a:graphic>
          </wp:inline>
        </w:drawing>
      </w:r>
    </w:p>
    <w:p w:rsidR="005100D5" w:rsidRDefault="005100D5" w:rsidP="00057B42">
      <w:pPr>
        <w:pStyle w:val="Caption"/>
        <w:pBdr>
          <w:bottom w:val="single" w:sz="12" w:space="1" w:color="auto"/>
        </w:pBdr>
        <w:jc w:val="both"/>
        <w:rPr>
          <w:color w:val="000000"/>
        </w:rPr>
      </w:pPr>
      <w:bookmarkStart w:id="313" w:name="_Toc260495733"/>
      <w:bookmarkStart w:id="314" w:name="_Toc260927158"/>
      <w:bookmarkStart w:id="315" w:name="_Toc304195966"/>
    </w:p>
    <w:p w:rsidR="002A4A43" w:rsidRPr="00873C4C" w:rsidRDefault="000E21E3" w:rsidP="00057B42">
      <w:pPr>
        <w:pStyle w:val="Caption"/>
        <w:pBdr>
          <w:bottom w:val="single" w:sz="12" w:space="1" w:color="auto"/>
        </w:pBdr>
        <w:jc w:val="both"/>
        <w:rPr>
          <w:color w:val="000000"/>
          <w:lang w:val="en"/>
        </w:rPr>
      </w:pPr>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8</w:t>
      </w:r>
      <w:r w:rsidR="008A68DC">
        <w:rPr>
          <w:color w:val="000000"/>
        </w:rPr>
        <w:fldChar w:fldCharType="end"/>
      </w:r>
      <w:bookmarkEnd w:id="313"/>
      <w:bookmarkEnd w:id="314"/>
      <w:r w:rsidR="00907F6D">
        <w:rPr>
          <w:color w:val="000000"/>
        </w:rPr>
        <w:t xml:space="preserve"> </w:t>
      </w:r>
      <w:r w:rsidRPr="00873C4C">
        <w:rPr>
          <w:color w:val="000000"/>
        </w:rPr>
        <w:t xml:space="preserve"> </w:t>
      </w:r>
      <w:r w:rsidR="003C6194" w:rsidRPr="00873C4C">
        <w:rPr>
          <w:color w:val="000000"/>
          <w:lang w:val="en"/>
        </w:rPr>
        <w:t>A bio</w:t>
      </w:r>
      <w:r w:rsidR="00153E98" w:rsidRPr="00873C4C">
        <w:rPr>
          <w:color w:val="000000"/>
          <w:lang w:val="en"/>
        </w:rPr>
        <w:t xml:space="preserve">logical </w:t>
      </w:r>
      <w:r w:rsidR="003C6194" w:rsidRPr="00873C4C">
        <w:rPr>
          <w:color w:val="000000"/>
          <w:lang w:val="en"/>
        </w:rPr>
        <w:t xml:space="preserve">bank is a carefully managed collection of biological </w:t>
      </w:r>
      <w:r w:rsidR="00153E98" w:rsidRPr="00873C4C">
        <w:rPr>
          <w:color w:val="000000"/>
          <w:lang w:val="en"/>
        </w:rPr>
        <w:t xml:space="preserve">and clinical </w:t>
      </w:r>
      <w:r w:rsidR="003C6194" w:rsidRPr="00873C4C">
        <w:rPr>
          <w:color w:val="000000"/>
          <w:lang w:val="en"/>
        </w:rPr>
        <w:t xml:space="preserve">samples </w:t>
      </w:r>
      <w:r w:rsidR="00153E98" w:rsidRPr="00873C4C">
        <w:rPr>
          <w:color w:val="000000"/>
          <w:lang w:val="en"/>
        </w:rPr>
        <w:t xml:space="preserve">with </w:t>
      </w:r>
      <w:r w:rsidR="003C6194" w:rsidRPr="00873C4C">
        <w:rPr>
          <w:color w:val="000000"/>
          <w:lang w:val="en"/>
        </w:rPr>
        <w:t>related clinical information from anonymous donors.  These</w:t>
      </w:r>
      <w:r w:rsidR="00153E98" w:rsidRPr="00873C4C">
        <w:rPr>
          <w:color w:val="000000"/>
          <w:lang w:val="en"/>
        </w:rPr>
        <w:t xml:space="preserve"> samples are used by research scientists</w:t>
      </w:r>
      <w:r w:rsidR="003C6194" w:rsidRPr="00873C4C">
        <w:rPr>
          <w:color w:val="000000"/>
          <w:lang w:val="en"/>
        </w:rPr>
        <w:t xml:space="preserve"> in their efforts to better understand the mechanism of the disease, to develop new drugs, to assess the validity of diagnostic markers, and to devise tailor made therapies for the treatment of cancer.</w:t>
      </w:r>
      <w:bookmarkEnd w:id="315"/>
    </w:p>
    <w:p w:rsidR="002A4A43" w:rsidRPr="00873C4C" w:rsidRDefault="002A4A43" w:rsidP="00057B42">
      <w:pPr>
        <w:pStyle w:val="Caption"/>
        <w:pBdr>
          <w:bottom w:val="single" w:sz="12" w:space="1" w:color="auto"/>
        </w:pBdr>
        <w:jc w:val="both"/>
        <w:rPr>
          <w:color w:val="000000"/>
          <w:lang w:val="en"/>
        </w:rPr>
      </w:pPr>
    </w:p>
    <w:p w:rsidR="00A47E80" w:rsidRPr="00873C4C" w:rsidRDefault="00A47E80" w:rsidP="00057B42">
      <w:pPr>
        <w:pStyle w:val="Caption"/>
        <w:jc w:val="both"/>
        <w:rPr>
          <w:color w:val="000000"/>
        </w:rPr>
      </w:pPr>
    </w:p>
    <w:p w:rsidR="00A47E80" w:rsidRPr="00B933E7" w:rsidRDefault="00A47E80" w:rsidP="00057B42">
      <w:pPr>
        <w:spacing w:line="360" w:lineRule="auto"/>
      </w:pPr>
    </w:p>
    <w:p w:rsidR="00B3149A" w:rsidRPr="00873C4C" w:rsidRDefault="00B3149A" w:rsidP="00057B42">
      <w:pPr>
        <w:spacing w:line="360" w:lineRule="auto"/>
        <w:jc w:val="both"/>
        <w:rPr>
          <w:color w:val="000000"/>
        </w:rPr>
      </w:pPr>
      <w:r w:rsidRPr="00873C4C">
        <w:rPr>
          <w:color w:val="000000"/>
        </w:rPr>
        <w:lastRenderedPageBreak/>
        <w:t>Similarly, the biological bank also provides systems and support to collect the donor’s clinical information from the medical record and from the patient or doctor interviews. That information is then formatted for storage as per ethical committee’s guideline.</w:t>
      </w:r>
    </w:p>
    <w:p w:rsidR="00125E8A" w:rsidRPr="00873C4C" w:rsidRDefault="00125E8A" w:rsidP="00057B42">
      <w:pPr>
        <w:spacing w:line="360" w:lineRule="auto"/>
        <w:jc w:val="both"/>
        <w:rPr>
          <w:color w:val="000000"/>
        </w:rPr>
      </w:pPr>
    </w:p>
    <w:p w:rsidR="00B3149A" w:rsidRDefault="0092498C" w:rsidP="00645687">
      <w:pPr>
        <w:pStyle w:val="Heading3"/>
      </w:pPr>
      <w:bookmarkStart w:id="316" w:name="_Toc305759130"/>
      <w:r w:rsidRPr="00873C4C">
        <w:tab/>
      </w:r>
      <w:bookmarkStart w:id="317" w:name="_Toc306570558"/>
      <w:bookmarkStart w:id="318" w:name="_Toc307067623"/>
      <w:bookmarkStart w:id="319" w:name="_Toc312169182"/>
      <w:bookmarkStart w:id="320" w:name="_Toc312172109"/>
      <w:bookmarkStart w:id="321" w:name="_Toc312257658"/>
      <w:r w:rsidR="00C50753" w:rsidRPr="00873C4C">
        <w:t>Logistical support</w:t>
      </w:r>
      <w:bookmarkEnd w:id="316"/>
      <w:bookmarkEnd w:id="317"/>
      <w:bookmarkEnd w:id="318"/>
      <w:bookmarkEnd w:id="319"/>
      <w:bookmarkEnd w:id="320"/>
      <w:bookmarkEnd w:id="321"/>
    </w:p>
    <w:p w:rsidR="00B3149A" w:rsidRDefault="00B3149A" w:rsidP="00057B42">
      <w:pPr>
        <w:spacing w:line="360" w:lineRule="auto"/>
        <w:jc w:val="both"/>
        <w:rPr>
          <w:color w:val="000000"/>
        </w:rPr>
      </w:pPr>
      <w:r w:rsidRPr="00873C4C">
        <w:rPr>
          <w:color w:val="000000"/>
        </w:rPr>
        <w:t xml:space="preserve">A biological </w:t>
      </w:r>
      <w:r w:rsidR="00153E98" w:rsidRPr="00873C4C">
        <w:rPr>
          <w:color w:val="000000"/>
        </w:rPr>
        <w:t>bank pro</w:t>
      </w:r>
      <w:r w:rsidR="00F32A34">
        <w:rPr>
          <w:color w:val="000000"/>
        </w:rPr>
        <w:t>vides facilities for</w:t>
      </w:r>
      <w:r w:rsidRPr="00873C4C">
        <w:rPr>
          <w:color w:val="000000"/>
        </w:rPr>
        <w:t xml:space="preserve"> </w:t>
      </w:r>
      <w:r w:rsidRPr="00873C4C">
        <w:rPr>
          <w:color w:val="000000"/>
        </w:rPr>
        <w:fldChar w:fldCharType="begin">
          <w:fldData xml:space="preserve">PEVuZE5vdGU+PENpdGU+PEF1dGhvcj5QYWxtZXI8L0F1dGhvcj48WWVhcj4yMDA3PC9ZZWFyPjxS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</w:fldData>
        </w:fldChar>
      </w:r>
      <w:r w:rsidR="006F41FE">
        <w:rPr>
          <w:color w:val="000000"/>
        </w:rPr>
        <w:instrText xml:space="preserve"> ADDIN EN.CITE </w:instrText>
      </w:r>
      <w:r w:rsidR="006F41FE">
        <w:rPr>
          <w:color w:val="000000"/>
        </w:rPr>
        <w:fldChar w:fldCharType="begin">
          <w:fldData xml:space="preserve">PEVuZE5vdGU+PENpdGU+PEF1dGhvcj5QYWxtZXI8L0F1dGhvcj48WWVhcj4yMDA3PC9ZZWFyPjxS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308" w:tooltip="Palmer, 2007 #198" w:history="1">
        <w:r w:rsidR="004A784D">
          <w:rPr>
            <w:noProof/>
            <w:color w:val="000000"/>
          </w:rPr>
          <w:t>Palmer, 2007</w:t>
        </w:r>
      </w:hyperlink>
      <w:r w:rsidR="006F41FE">
        <w:rPr>
          <w:noProof/>
          <w:color w:val="000000"/>
        </w:rPr>
        <w:t xml:space="preserve">, </w:t>
      </w:r>
      <w:hyperlink w:anchor="_ENREF_240" w:tooltip="Leppaluoto, 2006 #241" w:history="1">
        <w:r w:rsidR="004A784D">
          <w:rPr>
            <w:noProof/>
            <w:color w:val="000000"/>
          </w:rPr>
          <w:t>Leppaluoto, 2006</w:t>
        </w:r>
      </w:hyperlink>
      <w:r w:rsidR="006F41FE">
        <w:rPr>
          <w:noProof/>
          <w:color w:val="000000"/>
        </w:rPr>
        <w:t>)</w:t>
      </w:r>
      <w:r w:rsidRPr="00873C4C">
        <w:rPr>
          <w:color w:val="000000"/>
        </w:rPr>
        <w:fldChar w:fldCharType="end"/>
      </w:r>
      <w:r w:rsidRPr="00873C4C">
        <w:rPr>
          <w:color w:val="000000"/>
        </w:rPr>
        <w:t>:</w:t>
      </w:r>
      <w:r w:rsidR="00C50753" w:rsidRPr="00873C4C">
        <w:rPr>
          <w:color w:val="000000"/>
        </w:rPr>
        <w:t xml:space="preserve"> </w:t>
      </w:r>
      <w:r w:rsidR="009F1EF9" w:rsidRPr="00873C4C">
        <w:rPr>
          <w:color w:val="000000"/>
        </w:rPr>
        <w:t xml:space="preserve">(1) </w:t>
      </w:r>
      <w:r w:rsidRPr="00873C4C">
        <w:rPr>
          <w:color w:val="000000"/>
        </w:rPr>
        <w:t>Providing the safe transportation of biological specimens from</w:t>
      </w:r>
      <w:r w:rsidR="00C50753" w:rsidRPr="00873C4C">
        <w:rPr>
          <w:color w:val="000000"/>
        </w:rPr>
        <w:t xml:space="preserve"> the collection points as above.</w:t>
      </w:r>
      <w:r w:rsidR="009F1EF9" w:rsidRPr="00873C4C">
        <w:rPr>
          <w:color w:val="000000"/>
        </w:rPr>
        <w:t xml:space="preserve"> (2) </w:t>
      </w:r>
      <w:r w:rsidRPr="00873C4C">
        <w:rPr>
          <w:color w:val="000000"/>
        </w:rPr>
        <w:t>The protocols and procedures to receive and manage, the biological specimens</w:t>
      </w:r>
      <w:r w:rsidR="009F1EF9" w:rsidRPr="00873C4C">
        <w:rPr>
          <w:color w:val="000000"/>
        </w:rPr>
        <w:t xml:space="preserve"> p</w:t>
      </w:r>
      <w:r w:rsidRPr="00873C4C">
        <w:rPr>
          <w:color w:val="000000"/>
        </w:rPr>
        <w:t>roviding secur</w:t>
      </w:r>
      <w:r w:rsidR="009F1EF9" w:rsidRPr="00873C4C">
        <w:rPr>
          <w:color w:val="000000"/>
        </w:rPr>
        <w:t xml:space="preserve">e long term storage capability. (3) </w:t>
      </w:r>
      <w:r w:rsidRPr="00873C4C">
        <w:rPr>
          <w:color w:val="000000"/>
        </w:rPr>
        <w:t xml:space="preserve">Providing scientists with secure, non-patient identifying access to biological specimen. </w:t>
      </w:r>
      <w:r w:rsidR="009F1EF9" w:rsidRPr="00873C4C">
        <w:rPr>
          <w:color w:val="000000"/>
        </w:rPr>
        <w:t xml:space="preserve">(4) </w:t>
      </w:r>
      <w:r w:rsidRPr="00873C4C">
        <w:rPr>
          <w:color w:val="000000"/>
        </w:rPr>
        <w:t xml:space="preserve">Supporting processing laboratories for the translational research </w:t>
      </w:r>
      <w:r w:rsidRPr="00873C4C">
        <w:rPr>
          <w:color w:val="000000"/>
        </w:rPr>
        <w:fldChar w:fldCharType="begin">
          <w:fldData xml:space="preserve">PEVuZE5vdGU+PENpdGU+PEF1dGhvcj5BbHZhcmV6PC9BdXRob3I+PFllYXI+MjAwMzwvWWVhcj48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</w:fldData>
        </w:fldChar>
      </w:r>
      <w:r w:rsidR="006F41FE">
        <w:rPr>
          <w:color w:val="000000"/>
        </w:rPr>
        <w:instrText xml:space="preserve"> ADDIN EN.CITE </w:instrText>
      </w:r>
      <w:r w:rsidR="006F41FE">
        <w:rPr>
          <w:color w:val="000000"/>
        </w:rPr>
        <w:fldChar w:fldCharType="begin">
          <w:fldData xml:space="preserve">PEVuZE5vdGU+PENpdGU+PEF1dGhvcj5BbHZhcmV6PC9BdXRob3I+PFllYXI+MjAwMzwvWWVhcj48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15" w:tooltip="Alvarez, 2003 #56" w:history="1">
        <w:r w:rsidR="004A784D">
          <w:rPr>
            <w:noProof/>
            <w:color w:val="000000"/>
          </w:rPr>
          <w:t>Alvarez et al., 2003</w:t>
        </w:r>
      </w:hyperlink>
      <w:r w:rsidR="006F41FE">
        <w:rPr>
          <w:noProof/>
          <w:color w:val="000000"/>
        </w:rPr>
        <w:t xml:space="preserve">, </w:t>
      </w:r>
      <w:hyperlink w:anchor="_ENREF_459" w:tooltip="Yuille, 2009 #53" w:history="1">
        <w:r w:rsidR="004A784D">
          <w:rPr>
            <w:noProof/>
            <w:color w:val="000000"/>
          </w:rPr>
          <w:t>Yuille et al., 2009</w:t>
        </w:r>
      </w:hyperlink>
      <w:r w:rsidR="006F41FE">
        <w:rPr>
          <w:noProof/>
          <w:color w:val="000000"/>
        </w:rPr>
        <w:t>)</w:t>
      </w:r>
      <w:r w:rsidRPr="00873C4C">
        <w:rPr>
          <w:color w:val="000000"/>
        </w:rPr>
        <w:fldChar w:fldCharType="end"/>
      </w:r>
      <w:r w:rsidRPr="00873C4C">
        <w:rPr>
          <w:color w:val="000000"/>
        </w:rPr>
        <w:t xml:space="preserve">. </w:t>
      </w:r>
    </w:p>
    <w:p w:rsidR="009D40CC" w:rsidRDefault="009F1EF9" w:rsidP="00645687">
      <w:pPr>
        <w:pStyle w:val="Heading4"/>
      </w:pPr>
      <w:bookmarkStart w:id="322" w:name="_Toc260495797"/>
      <w:bookmarkStart w:id="323" w:name="_Toc260496048"/>
      <w:bookmarkStart w:id="324" w:name="_Toc260500441"/>
      <w:bookmarkStart w:id="325" w:name="_Toc261098467"/>
      <w:r w:rsidRPr="00873C4C">
        <w:tab/>
      </w:r>
      <w:bookmarkStart w:id="326" w:name="_Toc305759131"/>
      <w:bookmarkStart w:id="327" w:name="_Toc306570559"/>
      <w:bookmarkStart w:id="328" w:name="_Toc307067624"/>
      <w:bookmarkStart w:id="329" w:name="_Toc312169183"/>
      <w:bookmarkStart w:id="330" w:name="_Toc312172110"/>
      <w:bookmarkStart w:id="331" w:name="_Toc312257659"/>
      <w:r w:rsidR="00B3149A" w:rsidRPr="00873C4C">
        <w:t>Storage Facility</w:t>
      </w:r>
      <w:bookmarkEnd w:id="322"/>
      <w:bookmarkEnd w:id="323"/>
      <w:bookmarkEnd w:id="324"/>
      <w:bookmarkEnd w:id="325"/>
      <w:bookmarkEnd w:id="326"/>
      <w:bookmarkEnd w:id="327"/>
      <w:bookmarkEnd w:id="328"/>
      <w:bookmarkEnd w:id="329"/>
      <w:bookmarkEnd w:id="330"/>
      <w:bookmarkEnd w:id="331"/>
    </w:p>
    <w:p w:rsidR="00B3149A" w:rsidRPr="00873C4C" w:rsidRDefault="00B3149A" w:rsidP="0063683C">
      <w:pPr>
        <w:spacing w:before="240" w:line="360" w:lineRule="auto"/>
        <w:rPr>
          <w:color w:val="000000"/>
        </w:rPr>
      </w:pPr>
      <w:r w:rsidRPr="00873C4C">
        <w:rPr>
          <w:color w:val="000000"/>
        </w:rPr>
        <w:t xml:space="preserve">The variety of storage systems available for specimen collections continues to expand as technologies advance. Storage equipment selections should be based on the type of specimens to be stored, the anticipated length of time the specimens will be stored, and on the intended use for the specimens </w:t>
      </w:r>
      <w:r w:rsidRPr="00873C4C">
        <w:rPr>
          <w:color w:val="000000"/>
        </w:rPr>
        <w:fldChar w:fldCharType="begin">
          <w:fldData xml:space="preserve">PEVuZE5vdGU+PENpdGU+PEF1dGhvcj5FbGxpb3R0PC9BdXRob3I+PFllYXI+MjAwODwvWWVhcj48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</w:fldData>
        </w:fldChar>
      </w:r>
      <w:r w:rsidR="00EC28C1">
        <w:rPr>
          <w:color w:val="000000"/>
        </w:rPr>
        <w:instrText xml:space="preserve"> ADDIN EN.CITE </w:instrText>
      </w:r>
      <w:r w:rsidR="00EC28C1">
        <w:rPr>
          <w:color w:val="000000"/>
        </w:rPr>
        <w:fldChar w:fldCharType="begin">
          <w:fldData xml:space="preserve">PEVuZE5vdGU+PENpdGU+PEF1dGhvcj5FbGxpb3R0PC9BdXRob3I+PFllYXI+MjAwODwvWWVhcj48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</w:fldData>
        </w:fldChar>
      </w:r>
      <w:r w:rsidR="00EC28C1">
        <w:rPr>
          <w:color w:val="000000"/>
        </w:rPr>
        <w:instrText xml:space="preserve"> ADDIN EN.CITE.DATA </w:instrText>
      </w:r>
      <w:r w:rsidR="00EC28C1">
        <w:rPr>
          <w:color w:val="000000"/>
        </w:rPr>
      </w:r>
      <w:r w:rsidR="00EC28C1">
        <w:rPr>
          <w:color w:val="000000"/>
        </w:rPr>
        <w:fldChar w:fldCharType="end"/>
      </w:r>
      <w:r w:rsidRPr="00873C4C">
        <w:rPr>
          <w:color w:val="000000"/>
        </w:rPr>
      </w:r>
      <w:r w:rsidRPr="00873C4C">
        <w:rPr>
          <w:color w:val="000000"/>
        </w:rPr>
        <w:fldChar w:fldCharType="separate"/>
      </w:r>
      <w:r w:rsidR="006F41FE">
        <w:rPr>
          <w:noProof/>
          <w:color w:val="000000"/>
        </w:rPr>
        <w:t>(</w:t>
      </w:r>
      <w:hyperlink w:anchor="_ENREF_116" w:tooltip="Elliott, 2008 #7352" w:history="1">
        <w:r w:rsidR="004A784D">
          <w:rPr>
            <w:noProof/>
            <w:color w:val="000000"/>
          </w:rPr>
          <w:t>Elliott and Peakman, 2008</w:t>
        </w:r>
      </w:hyperlink>
      <w:r w:rsidR="006F41FE">
        <w:rPr>
          <w:noProof/>
          <w:color w:val="000000"/>
        </w:rPr>
        <w:t xml:space="preserve">, </w:t>
      </w:r>
      <w:hyperlink w:anchor="_ENREF_287" w:tooltip="Nakamura, 2007 #169" w:history="1">
        <w:r w:rsidR="004A784D">
          <w:rPr>
            <w:noProof/>
            <w:color w:val="000000"/>
          </w:rPr>
          <w:t>Nakamura, 2007</w:t>
        </w:r>
      </w:hyperlink>
      <w:r w:rsidR="006F41FE">
        <w:rPr>
          <w:noProof/>
          <w:color w:val="000000"/>
        </w:rPr>
        <w:t>)</w:t>
      </w:r>
      <w:r w:rsidRPr="00873C4C">
        <w:rPr>
          <w:color w:val="000000"/>
        </w:rPr>
        <w:fldChar w:fldCharType="end"/>
      </w:r>
      <w:r w:rsidRPr="00873C4C">
        <w:rPr>
          <w:color w:val="000000"/>
        </w:rPr>
        <w:t xml:space="preserve">. </w:t>
      </w:r>
    </w:p>
    <w:p w:rsidR="0063683C" w:rsidRDefault="0063683C" w:rsidP="00057B42">
      <w:pPr>
        <w:spacing w:line="360" w:lineRule="auto"/>
      </w:pPr>
    </w:p>
    <w:p w:rsidR="00B3149A" w:rsidRDefault="00125E8A" w:rsidP="00057B42">
      <w:pPr>
        <w:pStyle w:val="Heading5"/>
        <w:spacing w:line="360" w:lineRule="auto"/>
      </w:pPr>
      <w:r w:rsidRPr="00873C4C">
        <w:tab/>
        <w:t>Liquid Nitrogen</w:t>
      </w:r>
    </w:p>
    <w:p w:rsidR="00B3149A" w:rsidRDefault="00B3149A" w:rsidP="0063683C">
      <w:pPr>
        <w:spacing w:before="240" w:line="360" w:lineRule="auto"/>
        <w:jc w:val="both"/>
        <w:rPr>
          <w:color w:val="000000"/>
        </w:rPr>
      </w:pPr>
      <w:r w:rsidRPr="00873C4C">
        <w:rPr>
          <w:color w:val="000000"/>
        </w:rPr>
        <w:t xml:space="preserve">The use of liquid nitrogen freezers for </w:t>
      </w:r>
      <w:r w:rsidR="00153E98" w:rsidRPr="00873C4C">
        <w:rPr>
          <w:color w:val="000000"/>
        </w:rPr>
        <w:t>continuing</w:t>
      </w:r>
      <w:r w:rsidRPr="00873C4C">
        <w:rPr>
          <w:color w:val="000000"/>
        </w:rPr>
        <w:t xml:space="preserve"> specimen </w:t>
      </w:r>
      <w:r w:rsidR="00153E98" w:rsidRPr="00873C4C">
        <w:rPr>
          <w:color w:val="000000"/>
        </w:rPr>
        <w:t>conservation</w:t>
      </w:r>
      <w:r w:rsidRPr="00873C4C">
        <w:rPr>
          <w:color w:val="000000"/>
        </w:rPr>
        <w:t xml:space="preserve"> is </w:t>
      </w:r>
      <w:r w:rsidR="00BE00DC" w:rsidRPr="00873C4C">
        <w:rPr>
          <w:color w:val="000000"/>
        </w:rPr>
        <w:t>most favourable</w:t>
      </w:r>
      <w:r w:rsidRPr="00873C4C">
        <w:rPr>
          <w:color w:val="000000"/>
        </w:rPr>
        <w:t xml:space="preserve"> for the storage of som</w:t>
      </w:r>
      <w:r w:rsidR="00BE00DC" w:rsidRPr="00873C4C">
        <w:rPr>
          <w:color w:val="000000"/>
        </w:rPr>
        <w:t xml:space="preserve">e types of biological material. </w:t>
      </w:r>
      <w:r w:rsidRPr="00873C4C">
        <w:rPr>
          <w:color w:val="000000"/>
        </w:rPr>
        <w:t xml:space="preserve">Cryogenic storage using liquid nitrogen is an effective long-term storage </w:t>
      </w:r>
      <w:r w:rsidR="00BE00DC" w:rsidRPr="00873C4C">
        <w:rPr>
          <w:color w:val="000000"/>
        </w:rPr>
        <w:t>stage,</w:t>
      </w:r>
      <w:r w:rsidRPr="00873C4C">
        <w:rPr>
          <w:color w:val="000000"/>
        </w:rPr>
        <w:t xml:space="preserve"> because the extreme cold</w:t>
      </w:r>
      <w:r w:rsidR="00BE00DC" w:rsidRPr="00873C4C">
        <w:rPr>
          <w:color w:val="000000"/>
        </w:rPr>
        <w:t xml:space="preserve"> temperature</w:t>
      </w:r>
      <w:r w:rsidRPr="00873C4C">
        <w:rPr>
          <w:color w:val="000000"/>
        </w:rPr>
        <w:t xml:space="preserve"> </w:t>
      </w:r>
      <w:r w:rsidR="00BE00DC" w:rsidRPr="00873C4C">
        <w:rPr>
          <w:color w:val="000000"/>
        </w:rPr>
        <w:t>reduces</w:t>
      </w:r>
      <w:r w:rsidRPr="00873C4C">
        <w:rPr>
          <w:color w:val="000000"/>
        </w:rPr>
        <w:t xml:space="preserve"> most chemical and physical reactions that cause specimens to deteriorate and </w:t>
      </w:r>
      <w:r w:rsidR="00BE00DC" w:rsidRPr="00873C4C">
        <w:rPr>
          <w:color w:val="000000"/>
        </w:rPr>
        <w:t xml:space="preserve">also </w:t>
      </w:r>
      <w:r w:rsidRPr="00873C4C">
        <w:rPr>
          <w:color w:val="000000"/>
        </w:rPr>
        <w:t xml:space="preserve">on-site liquid nitrogen supplies reduce </w:t>
      </w:r>
      <w:r w:rsidR="00BE00DC" w:rsidRPr="00873C4C">
        <w:rPr>
          <w:color w:val="000000"/>
        </w:rPr>
        <w:t>dependence</w:t>
      </w:r>
      <w:r w:rsidRPr="00873C4C">
        <w:rPr>
          <w:color w:val="000000"/>
        </w:rPr>
        <w:t xml:space="preserve"> on mechanical freezers that use electrical power</w:t>
      </w:r>
      <w:r w:rsidR="00F32A34">
        <w:rPr>
          <w:color w:val="000000"/>
        </w:rPr>
        <w:t xml:space="preserve"> </w:t>
      </w:r>
      <w:r w:rsidR="00F32A34">
        <w:rPr>
          <w:color w:val="000000"/>
        </w:rPr>
        <w:fldChar w:fldCharType="begin"/>
      </w:r>
      <w:r w:rsidR="00F32A34">
        <w:rPr>
          <w:color w:val="000000"/>
        </w:rPr>
        <w:instrText xml:space="preserve"> ADDIN EN.CITE &lt;EndNote&gt;&lt;Cite&gt;&lt;Author&gt;Nsabimana&lt;/Author&gt;&lt;Year&gt;2003&lt;/Year&gt;&lt;RecNum&gt;5052&lt;/RecNum&gt;&lt;DisplayText&gt;(Nsabimana et al., 2003)&lt;/DisplayText&gt;&lt;record&gt;&lt;rec-number&gt;5052&lt;/rec-number&gt;&lt;foreign-keys&gt;&lt;key app="EN" db-id="zf0awxsaczrdd3eft5qvw9wrtxxawdfrvw2a"&gt;5052&lt;/key&gt;&lt;/foreign-keys&gt;&lt;ref-type name="Journal Article"&gt;17&lt;/ref-type&gt;&lt;contributors&gt;&lt;authors&gt;&lt;author&gt;Nsabimana, E.&lt;/author&gt;&lt;author&gt;Kisidayova, S.&lt;/author&gt;&lt;author&gt;Macheboeuf, D.&lt;/author&gt;&lt;author&gt;Newbold, C. J.&lt;/author&gt;&lt;author&gt;Jouany, J. P.&lt;/author&gt;&lt;/authors&gt;&lt;/contributors&gt;&lt;auth-address&gt;Centre de Recherches de Clermont-Ferrand/Theix, Institut National de la Recherche Agronomique, 63122 Saint-Genes Champanelle, France.&lt;/auth-address&gt;&lt;titles&gt;&lt;title&gt;Two-step freezing procedure for cryopreservation of rumen ciliates, an effective tool for creation of a frozen rumen protozoa bank&lt;/title&gt;&lt;secondary-title&gt;Appl Environ Microbiol&lt;/secondary-title&gt;&lt;/titles&gt;&lt;periodical&gt;&lt;full-title&gt;Appl Environ Microbiol&lt;/full-title&gt;&lt;/periodical&gt;&lt;pages&gt;3826-32&lt;/pages&gt;&lt;volume&gt;69&lt;/volume&gt;&lt;number&gt;7&lt;/number&gt;&lt;edition&gt;2003/07/04&lt;/edition&gt;&lt;keywords&gt;&lt;keyword&gt;Animals&lt;/keyword&gt;&lt;keyword&gt;*Biological Specimen Banks&lt;/keyword&gt;&lt;keyword&gt;Ciliophora/*growth &amp;amp; development&lt;/keyword&gt;&lt;keyword&gt;Cryopreservation/*methods&lt;/keyword&gt;&lt;keyword&gt;Cryoprotective Agents/pharmacology&lt;/keyword&gt;&lt;keyword&gt;Dimethyl Sulfoxide/pharmacology&lt;/keyword&gt;&lt;keyword&gt;Freezing&lt;/keyword&gt;&lt;keyword&gt;Rumen/*parasitology&lt;/keyword&gt;&lt;keyword&gt;Sheep&lt;/keyword&gt;&lt;/keywords&gt;&lt;dates&gt;&lt;year&gt;2003&lt;/year&gt;&lt;pub-dates&gt;&lt;date&gt;Jul&lt;/date&gt;&lt;/pub-dates&gt;&lt;/dates&gt;&lt;isbn&gt;0099-2240 (Print)&amp;#xD;0099-2240 (Linking)&lt;/isbn&gt;&lt;accession-num&gt;12839750&lt;/accession-num&gt;&lt;urls&gt;&lt;related-urls&gt;&lt;url&gt;http://www.ncbi.nlm.nih.gov/pubmed/12839750&lt;/url&gt;&lt;/related-urls&gt;&lt;/urls&gt;&lt;custom2&gt;165129&lt;/custom2&gt;&lt;language&gt;eng&lt;/language&gt;&lt;/record&gt;&lt;/Cite&gt;&lt;/EndNote&gt;</w:instrText>
      </w:r>
      <w:r w:rsidR="00F32A34">
        <w:rPr>
          <w:color w:val="000000"/>
        </w:rPr>
        <w:fldChar w:fldCharType="separate"/>
      </w:r>
      <w:r w:rsidR="00F32A34">
        <w:rPr>
          <w:noProof/>
          <w:color w:val="000000"/>
        </w:rPr>
        <w:t>(</w:t>
      </w:r>
      <w:hyperlink w:anchor="_ENREF_293" w:tooltip="Nsabimana, 2003 #5052" w:history="1">
        <w:r w:rsidR="004A784D">
          <w:rPr>
            <w:noProof/>
            <w:color w:val="000000"/>
          </w:rPr>
          <w:t>Nsabimana et al., 2003</w:t>
        </w:r>
      </w:hyperlink>
      <w:r w:rsidR="00F32A34">
        <w:rPr>
          <w:noProof/>
          <w:color w:val="000000"/>
        </w:rPr>
        <w:t>)</w:t>
      </w:r>
      <w:r w:rsidR="00F32A34">
        <w:rPr>
          <w:color w:val="000000"/>
        </w:rPr>
        <w:fldChar w:fldCharType="end"/>
      </w:r>
      <w:r w:rsidRPr="00873C4C">
        <w:rPr>
          <w:color w:val="000000"/>
        </w:rPr>
        <w:t>.</w:t>
      </w:r>
    </w:p>
    <w:p w:rsidR="003C663E" w:rsidRDefault="003C663E" w:rsidP="00057B42">
      <w:pPr>
        <w:spacing w:line="360" w:lineRule="auto"/>
        <w:jc w:val="both"/>
        <w:rPr>
          <w:color w:val="000000"/>
        </w:rPr>
      </w:pPr>
    </w:p>
    <w:p w:rsidR="0063683C" w:rsidRDefault="0063683C" w:rsidP="00057B42">
      <w:pPr>
        <w:spacing w:line="360" w:lineRule="auto"/>
        <w:jc w:val="both"/>
        <w:rPr>
          <w:color w:val="000000"/>
        </w:rPr>
      </w:pPr>
    </w:p>
    <w:p w:rsidR="0063683C" w:rsidRPr="00873C4C" w:rsidRDefault="0063683C" w:rsidP="00057B42">
      <w:pPr>
        <w:spacing w:line="360" w:lineRule="auto"/>
        <w:jc w:val="both"/>
        <w:rPr>
          <w:color w:val="000000"/>
        </w:rPr>
      </w:pPr>
    </w:p>
    <w:p w:rsidR="003473F8" w:rsidRPr="003473F8" w:rsidRDefault="0092498C" w:rsidP="00057B42">
      <w:pPr>
        <w:pStyle w:val="Heading5"/>
        <w:spacing w:line="360" w:lineRule="auto"/>
      </w:pPr>
      <w:r w:rsidRPr="00873C4C">
        <w:lastRenderedPageBreak/>
        <w:tab/>
      </w:r>
      <w:r w:rsidR="009F1EF9" w:rsidRPr="00873C4C">
        <w:t>Vapour Phase Storage</w:t>
      </w:r>
    </w:p>
    <w:p w:rsidR="00B73512" w:rsidRDefault="00B73512" w:rsidP="0063683C">
      <w:pPr>
        <w:spacing w:before="240" w:line="360" w:lineRule="auto"/>
        <w:jc w:val="both"/>
        <w:rPr>
          <w:color w:val="000000"/>
        </w:rPr>
      </w:pPr>
      <w:r w:rsidRPr="00873C4C">
        <w:rPr>
          <w:color w:val="000000"/>
        </w:rPr>
        <w:t xml:space="preserve">In general, </w:t>
      </w:r>
      <w:r w:rsidR="00BE00DC" w:rsidRPr="00873C4C">
        <w:rPr>
          <w:color w:val="000000"/>
        </w:rPr>
        <w:t xml:space="preserve">liquid nitrogen </w:t>
      </w:r>
      <w:r w:rsidRPr="00873C4C">
        <w:rPr>
          <w:color w:val="000000"/>
        </w:rPr>
        <w:t xml:space="preserve">vapour phase storage is preferred over storage in the liquid phase of nitrogen because the vapour phase provides sufficiently low temperatures for long-term specimen </w:t>
      </w:r>
      <w:r w:rsidR="00BE00DC" w:rsidRPr="00873C4C">
        <w:rPr>
          <w:color w:val="000000"/>
        </w:rPr>
        <w:t>conservation</w:t>
      </w:r>
      <w:r w:rsidRPr="00873C4C">
        <w:rPr>
          <w:color w:val="000000"/>
        </w:rPr>
        <w:t>.  Storage in the vapour phase also avoids the safety hazards inherent in liquid phase storage. Many commercially available vials are penetrable by liquid nitrogen so vials selected for storage should be tested before they are used</w:t>
      </w:r>
      <w:r w:rsidR="00F32A34">
        <w:rPr>
          <w:color w:val="000000"/>
        </w:rPr>
        <w:t xml:space="preserve"> </w:t>
      </w:r>
      <w:r w:rsidR="00F32A34">
        <w:rPr>
          <w:color w:val="000000"/>
        </w:rPr>
        <w:fldChar w:fldCharType="begin"/>
      </w:r>
      <w:r w:rsidR="00F32A34">
        <w:rPr>
          <w:color w:val="000000"/>
        </w:rPr>
        <w:instrText xml:space="preserve"> ADDIN EN.CITE &lt;EndNote&gt;&lt;Cite&gt;&lt;Author&gt;Mericka&lt;/Author&gt;&lt;Year&gt;2002&lt;/Year&gt;&lt;RecNum&gt;5056&lt;/RecNum&gt;&lt;DisplayText&gt;(Mericka et al., 2002)&lt;/DisplayText&gt;&lt;record&gt;&lt;rec-number&gt;5056&lt;/rec-number&gt;&lt;foreign-keys&gt;&lt;key app="EN" db-id="zf0awxsaczrdd3eft5qvw9wrtxxawdfrvw2a"&gt;5056&lt;/key&gt;&lt;/foreign-keys&gt;&lt;ref-type name="Journal Article"&gt;17&lt;/ref-type&gt;&lt;contributors&gt;&lt;authors&gt;&lt;author&gt;Mericka, P.&lt;/author&gt;&lt;author&gt;Strakova, H.&lt;/author&gt;&lt;author&gt;Cermak, P.&lt;/author&gt;&lt;author&gt;Stepanova, V.&lt;/author&gt;&lt;author&gt;Hradecky, Z.&lt;/author&gt;&lt;author&gt;Drahosova, M.&lt;/author&gt;&lt;/authors&gt;&lt;/contributors&gt;&lt;auth-address&gt;Tissue Bank, Faculty Hospital Hardec Kralove, Czech Republic.&lt;/auth-address&gt;&lt;titles&gt;&lt;title&gt;New safety assurance for biological skin covers&lt;/title&gt;&lt;secondary-title&gt;Acta Chir Plast&lt;/secondary-title&gt;&lt;/titles&gt;&lt;periodical&gt;&lt;full-title&gt;Acta Chir Plast&lt;/full-title&gt;&lt;/periodical&gt;&lt;pages&gt;23-9&lt;/pages&gt;&lt;volume&gt;44&lt;/volume&gt;&lt;number&gt;1&lt;/number&gt;&lt;edition&gt;2002/06/11&lt;/edition&gt;&lt;keywords&gt;&lt;keyword&gt;Humans&lt;/keyword&gt;&lt;keyword&gt;Quality Control&lt;/keyword&gt;&lt;keyword&gt;*Safety Management&lt;/keyword&gt;&lt;keyword&gt;Skin Transplantation/*standards&lt;/keyword&gt;&lt;keyword&gt;Tissue Banks/*standards&lt;/keyword&gt;&lt;keyword&gt;Tissue Preservation/standards&lt;/keyword&gt;&lt;keyword&gt;Transplantation, Heterologous/standards&lt;/keyword&gt;&lt;keyword&gt;Transplantation, Homologous/standards&lt;/keyword&gt;&lt;/keywords&gt;&lt;dates&gt;&lt;year&gt;2002&lt;/year&gt;&lt;/dates&gt;&lt;isbn&gt;0001-5423 (Print)&amp;#xD;0001-5423 (Linking)&lt;/isbn&gt;&lt;accession-num&gt;12053432&lt;/accession-num&gt;&lt;urls&gt;&lt;related-urls&gt;&lt;url&gt;http://www.ncbi.nlm.nih.gov/pubmed/12053432&lt;/url&gt;&lt;/related-urls&gt;&lt;/urls&gt;&lt;language&gt;eng&lt;/language&gt;&lt;/record&gt;&lt;/Cite&gt;&lt;/EndNote&gt;</w:instrText>
      </w:r>
      <w:r w:rsidR="00F32A34">
        <w:rPr>
          <w:color w:val="000000"/>
        </w:rPr>
        <w:fldChar w:fldCharType="separate"/>
      </w:r>
      <w:r w:rsidR="00F32A34">
        <w:rPr>
          <w:noProof/>
          <w:color w:val="000000"/>
        </w:rPr>
        <w:t>(</w:t>
      </w:r>
      <w:hyperlink w:anchor="_ENREF_272" w:tooltip="Mericka, 2002 #5056" w:history="1">
        <w:r w:rsidR="004A784D">
          <w:rPr>
            <w:noProof/>
            <w:color w:val="000000"/>
          </w:rPr>
          <w:t>Mericka et al., 2002</w:t>
        </w:r>
      </w:hyperlink>
      <w:r w:rsidR="00F32A34">
        <w:rPr>
          <w:noProof/>
          <w:color w:val="000000"/>
        </w:rPr>
        <w:t>)</w:t>
      </w:r>
      <w:r w:rsidR="00F32A34">
        <w:rPr>
          <w:color w:val="000000"/>
        </w:rPr>
        <w:fldChar w:fldCharType="end"/>
      </w:r>
      <w:r w:rsidRPr="00873C4C">
        <w:rPr>
          <w:color w:val="000000"/>
        </w:rPr>
        <w:t xml:space="preserve">. </w:t>
      </w:r>
    </w:p>
    <w:p w:rsidR="003C663E" w:rsidRPr="00873C4C" w:rsidRDefault="003C663E" w:rsidP="00057B42">
      <w:pPr>
        <w:spacing w:line="360" w:lineRule="auto"/>
        <w:jc w:val="both"/>
        <w:rPr>
          <w:color w:val="000000"/>
        </w:rPr>
      </w:pPr>
    </w:p>
    <w:p w:rsidR="00B73512" w:rsidRDefault="0092498C" w:rsidP="00057B42">
      <w:pPr>
        <w:pStyle w:val="Heading5"/>
        <w:spacing w:line="360" w:lineRule="auto"/>
      </w:pPr>
      <w:r w:rsidRPr="00873C4C">
        <w:tab/>
      </w:r>
      <w:r w:rsidR="00CE7847">
        <w:t xml:space="preserve"> </w:t>
      </w:r>
      <w:r w:rsidR="00B34096" w:rsidRPr="00873C4C">
        <w:t xml:space="preserve">Mechanical Freezers </w:t>
      </w:r>
    </w:p>
    <w:p w:rsidR="00B34096" w:rsidRDefault="00B34096" w:rsidP="0063683C">
      <w:pPr>
        <w:spacing w:before="240" w:line="360" w:lineRule="auto"/>
        <w:jc w:val="both"/>
        <w:rPr>
          <w:color w:val="000000"/>
        </w:rPr>
      </w:pPr>
      <w:r w:rsidRPr="00873C4C">
        <w:rPr>
          <w:color w:val="000000"/>
        </w:rPr>
        <w:t xml:space="preserve">The Mechanical </w:t>
      </w:r>
      <w:r w:rsidR="00125E8A" w:rsidRPr="00873C4C">
        <w:rPr>
          <w:color w:val="000000"/>
        </w:rPr>
        <w:t>freezers are</w:t>
      </w:r>
      <w:r w:rsidRPr="00873C4C">
        <w:rPr>
          <w:color w:val="000000"/>
        </w:rPr>
        <w:t xml:space="preserve"> </w:t>
      </w:r>
      <w:r w:rsidR="00BE00DC" w:rsidRPr="00873C4C">
        <w:rPr>
          <w:color w:val="000000"/>
        </w:rPr>
        <w:t>in use</w:t>
      </w:r>
      <w:r w:rsidRPr="00873C4C">
        <w:rPr>
          <w:color w:val="000000"/>
        </w:rPr>
        <w:t xml:space="preserve"> in a variety of storage temperature ranges, s</w:t>
      </w:r>
      <w:r w:rsidR="00126E54" w:rsidRPr="00873C4C">
        <w:rPr>
          <w:color w:val="000000"/>
        </w:rPr>
        <w:t xml:space="preserve">uch </w:t>
      </w:r>
      <w:r w:rsidR="00676041" w:rsidRPr="00873C4C">
        <w:rPr>
          <w:color w:val="000000"/>
        </w:rPr>
        <w:t>as -</w:t>
      </w:r>
      <w:r w:rsidRPr="00873C4C">
        <w:rPr>
          <w:color w:val="000000"/>
        </w:rPr>
        <w:t xml:space="preserve">20, -40, to -80 °C.  Mechanical freezers come in a wide </w:t>
      </w:r>
      <w:r w:rsidR="00BE00DC" w:rsidRPr="00873C4C">
        <w:rPr>
          <w:color w:val="000000"/>
        </w:rPr>
        <w:t>selection of sizes, configurations</w:t>
      </w:r>
      <w:r w:rsidRPr="00873C4C">
        <w:rPr>
          <w:color w:val="000000"/>
        </w:rPr>
        <w:t xml:space="preserve">. Because mechanical freezers are devices </w:t>
      </w:r>
      <w:r w:rsidR="00BE00DC" w:rsidRPr="00873C4C">
        <w:rPr>
          <w:color w:val="000000"/>
        </w:rPr>
        <w:t>are powered by</w:t>
      </w:r>
      <w:r w:rsidRPr="00873C4C">
        <w:rPr>
          <w:color w:val="000000"/>
        </w:rPr>
        <w:t xml:space="preserve"> commercial </w:t>
      </w:r>
      <w:r w:rsidR="00BE00DC" w:rsidRPr="00873C4C">
        <w:rPr>
          <w:color w:val="000000"/>
        </w:rPr>
        <w:t>electricity</w:t>
      </w:r>
      <w:r w:rsidRPr="00873C4C">
        <w:rPr>
          <w:color w:val="000000"/>
        </w:rPr>
        <w:t>, a backup power plan and emergency response plans are usually in place. The length of time that results in the significant warming of the stored material will vary by the properties of the stored material, the temperature of the material stored in the freezer. In many modern biological banks, the mechanical freezers are equipped with emergency backup systems that automatically cool their contents with either liquid nitrogen or liquid carbon dioxide (CO2) in the event of an extended power loss</w:t>
      </w:r>
      <w:r w:rsidR="00F32A34">
        <w:rPr>
          <w:color w:val="000000"/>
        </w:rPr>
        <w:t xml:space="preserve"> </w:t>
      </w:r>
      <w:r w:rsidR="00F32A34">
        <w:rPr>
          <w:color w:val="000000"/>
        </w:rPr>
        <w:fldChar w:fldCharType="begin"/>
      </w:r>
      <w:r w:rsidR="00F32A34">
        <w:rPr>
          <w:color w:val="000000"/>
        </w:rPr>
        <w:instrText xml:space="preserve"> ADDIN EN.CITE &lt;EndNote&gt;&lt;Cite&gt;&lt;Author&gt;Pegg&lt;/Author&gt;&lt;Year&gt;2006&lt;/Year&gt;&lt;RecNum&gt;5047&lt;/RecNum&gt;&lt;DisplayText&gt;(Pegg, 2006)&lt;/DisplayText&gt;&lt;record&gt;&lt;rec-number&gt;5047&lt;/rec-number&gt;&lt;foreign-keys&gt;&lt;key app="EN" db-id="zf0awxsaczrdd3eft5qvw9wrtxxawdfrvw2a"&gt;5047&lt;/key&gt;&lt;/foreign-keys&gt;&lt;ref-type name="Journal Article"&gt;17&lt;/ref-type&gt;&lt;contributors&gt;&lt;authors&gt;&lt;author&gt;Pegg, D. E.&lt;/author&gt;&lt;/authors&gt;&lt;/contributors&gt;&lt;auth-address&gt;Medical Cryobiology Unit, Biology Department, University of York, York, UK. dep1@york.ac.uk&lt;/auth-address&gt;&lt;titles&gt;&lt;title&gt;The preservation of tissues for transplantation&lt;/title&gt;&lt;secondary-title&gt;Cell Tissue Bank&lt;/secondary-title&gt;&lt;/titles&gt;&lt;periodical&gt;&lt;full-title&gt;Cell Tissue Bank&lt;/full-title&gt;&lt;/periodical&gt;&lt;pages&gt;349-58&lt;/pages&gt;&lt;volume&gt;7&lt;/volume&gt;&lt;number&gt;4&lt;/number&gt;&lt;edition&gt;2006/09/08&lt;/edition&gt;&lt;keywords&gt;&lt;keyword&gt;Cell Survival/physiology&lt;/keyword&gt;&lt;keyword&gt;Cryopreservation/methods&lt;/keyword&gt;&lt;keyword&gt;Humans&lt;/keyword&gt;&lt;keyword&gt;Tissue Banks&lt;/keyword&gt;&lt;keyword&gt;Tissue Preservation/*methods&lt;/keyword&gt;&lt;keyword&gt;Tissue Survival/*physiology&lt;/keyword&gt;&lt;keyword&gt;Tissue Transplantation/*methods&lt;/keyword&gt;&lt;/keywords&gt;&lt;dates&gt;&lt;year&gt;2006&lt;/year&gt;&lt;/dates&gt;&lt;isbn&gt;1389-9333 (Print)&amp;#xD;1389-9333 (Linking)&lt;/isbn&gt;&lt;accession-num&gt;16957871&lt;/accession-num&gt;&lt;urls&gt;&lt;related-urls&gt;&lt;url&gt;http://www.ncbi.nlm.nih.gov/pubmed/16957871&lt;/url&gt;&lt;/related-urls&gt;&lt;/urls&gt;&lt;electronic-resource-num&gt;10.1007/s10561-006-9013-0&lt;/electronic-resource-num&gt;&lt;language&gt;eng&lt;/language&gt;&lt;/record&gt;&lt;/Cite&gt;&lt;/EndNote&gt;</w:instrText>
      </w:r>
      <w:r w:rsidR="00F32A34">
        <w:rPr>
          <w:color w:val="000000"/>
        </w:rPr>
        <w:fldChar w:fldCharType="separate"/>
      </w:r>
      <w:r w:rsidR="00F32A34">
        <w:rPr>
          <w:noProof/>
          <w:color w:val="000000"/>
        </w:rPr>
        <w:t>(</w:t>
      </w:r>
      <w:hyperlink w:anchor="_ENREF_319" w:tooltip="Pegg, 2006 #5047" w:history="1">
        <w:r w:rsidR="004A784D">
          <w:rPr>
            <w:noProof/>
            <w:color w:val="000000"/>
          </w:rPr>
          <w:t>Pegg, 2006</w:t>
        </w:r>
      </w:hyperlink>
      <w:r w:rsidR="00F32A34">
        <w:rPr>
          <w:noProof/>
          <w:color w:val="000000"/>
        </w:rPr>
        <w:t>)</w:t>
      </w:r>
      <w:r w:rsidR="00F32A34">
        <w:rPr>
          <w:color w:val="000000"/>
        </w:rPr>
        <w:fldChar w:fldCharType="end"/>
      </w:r>
      <w:r w:rsidR="00BE00DC" w:rsidRPr="00873C4C">
        <w:rPr>
          <w:color w:val="000000"/>
        </w:rPr>
        <w:t>.</w:t>
      </w:r>
    </w:p>
    <w:p w:rsidR="003C663E" w:rsidRPr="00873C4C" w:rsidRDefault="003C663E" w:rsidP="00057B42">
      <w:pPr>
        <w:spacing w:line="360" w:lineRule="auto"/>
        <w:jc w:val="both"/>
        <w:rPr>
          <w:color w:val="000000"/>
        </w:rPr>
      </w:pPr>
    </w:p>
    <w:p w:rsidR="003473F8" w:rsidRPr="003473F8" w:rsidRDefault="0092498C" w:rsidP="00057B42">
      <w:pPr>
        <w:pStyle w:val="Heading5"/>
        <w:spacing w:line="360" w:lineRule="auto"/>
      </w:pPr>
      <w:r w:rsidRPr="00873C4C">
        <w:tab/>
      </w:r>
      <w:r w:rsidR="009F1EF9" w:rsidRPr="00873C4C">
        <w:t>Refrigerators</w:t>
      </w:r>
      <w:r w:rsidR="00126E54" w:rsidRPr="00873C4C">
        <w:t xml:space="preserve">  </w:t>
      </w:r>
    </w:p>
    <w:p w:rsidR="00126E54" w:rsidRDefault="00126E54" w:rsidP="00057B42">
      <w:pPr>
        <w:spacing w:before="240" w:line="360" w:lineRule="auto"/>
        <w:jc w:val="both"/>
        <w:rPr>
          <w:color w:val="000000"/>
        </w:rPr>
      </w:pPr>
      <w:r w:rsidRPr="00873C4C">
        <w:rPr>
          <w:color w:val="000000"/>
        </w:rPr>
        <w:t xml:space="preserve">They are commonly </w:t>
      </w:r>
      <w:r w:rsidR="00BE00DC" w:rsidRPr="00873C4C">
        <w:rPr>
          <w:color w:val="000000"/>
        </w:rPr>
        <w:t>used</w:t>
      </w:r>
      <w:r w:rsidRPr="00873C4C">
        <w:rPr>
          <w:color w:val="000000"/>
        </w:rPr>
        <w:t xml:space="preserve"> where the </w:t>
      </w:r>
      <w:r w:rsidR="00BE00DC" w:rsidRPr="00873C4C">
        <w:rPr>
          <w:color w:val="000000"/>
        </w:rPr>
        <w:t>long life</w:t>
      </w:r>
      <w:r w:rsidRPr="00873C4C">
        <w:rPr>
          <w:color w:val="000000"/>
        </w:rPr>
        <w:t xml:space="preserve"> of the material being stored is enhanced by storage below </w:t>
      </w:r>
      <w:r w:rsidR="00BE00DC" w:rsidRPr="00873C4C">
        <w:rPr>
          <w:color w:val="000000"/>
        </w:rPr>
        <w:t>room</w:t>
      </w:r>
      <w:r w:rsidRPr="00873C4C">
        <w:rPr>
          <w:color w:val="000000"/>
        </w:rPr>
        <w:t xml:space="preserve"> temperature. This is the preferred storage medium when the material should be kept cool, but does not require freezing. It is important to ensure that the temperature is maintained within the specified operating range, not just below a maximum temperature. </w:t>
      </w:r>
    </w:p>
    <w:p w:rsidR="003473F8" w:rsidRDefault="003473F8" w:rsidP="00057B42">
      <w:pPr>
        <w:spacing w:line="360" w:lineRule="auto"/>
        <w:jc w:val="both"/>
        <w:rPr>
          <w:color w:val="000000"/>
        </w:rPr>
      </w:pPr>
    </w:p>
    <w:p w:rsidR="0063683C" w:rsidRPr="00873C4C" w:rsidRDefault="0063683C" w:rsidP="00057B42">
      <w:pPr>
        <w:spacing w:line="360" w:lineRule="auto"/>
        <w:jc w:val="both"/>
        <w:rPr>
          <w:color w:val="000000"/>
        </w:rPr>
      </w:pPr>
    </w:p>
    <w:p w:rsidR="00D81086" w:rsidRDefault="00D81086">
      <w:pPr>
        <w:rPr>
          <w:b/>
          <w:color w:val="000000"/>
          <w:sz w:val="26"/>
          <w:szCs w:val="26"/>
          <w:lang w:eastAsia="en-US"/>
        </w:rPr>
      </w:pPr>
      <w:bookmarkStart w:id="332" w:name="_Toc260495798"/>
      <w:bookmarkStart w:id="333" w:name="_Toc260496049"/>
      <w:bookmarkStart w:id="334" w:name="_Toc260500442"/>
      <w:bookmarkStart w:id="335" w:name="_Toc261098468"/>
      <w:bookmarkStart w:id="336" w:name="_Toc305759132"/>
      <w:bookmarkStart w:id="337" w:name="_Toc306570560"/>
      <w:bookmarkStart w:id="338" w:name="_Toc307067625"/>
      <w:r>
        <w:br w:type="page"/>
      </w:r>
    </w:p>
    <w:p w:rsidR="0092498C" w:rsidRDefault="0063683C" w:rsidP="00645687">
      <w:pPr>
        <w:pStyle w:val="Heading3"/>
      </w:pPr>
      <w:r>
        <w:lastRenderedPageBreak/>
        <w:tab/>
      </w:r>
      <w:bookmarkStart w:id="339" w:name="_Toc312169184"/>
      <w:bookmarkStart w:id="340" w:name="_Toc312172111"/>
      <w:bookmarkStart w:id="341" w:name="_Toc312257660"/>
      <w:r w:rsidR="00126E54" w:rsidRPr="00873C4C">
        <w:t>Legal and Ethical Issues</w:t>
      </w:r>
      <w:bookmarkEnd w:id="332"/>
      <w:bookmarkEnd w:id="333"/>
      <w:bookmarkEnd w:id="334"/>
      <w:bookmarkEnd w:id="335"/>
      <w:bookmarkEnd w:id="336"/>
      <w:bookmarkEnd w:id="337"/>
      <w:bookmarkEnd w:id="338"/>
      <w:bookmarkEnd w:id="339"/>
      <w:bookmarkEnd w:id="340"/>
      <w:bookmarkEnd w:id="341"/>
      <w:r w:rsidR="00126E54" w:rsidRPr="00873C4C">
        <w:t xml:space="preserve"> </w:t>
      </w:r>
    </w:p>
    <w:p w:rsidR="00126E54" w:rsidRDefault="00126E54" w:rsidP="00057B42">
      <w:pPr>
        <w:spacing w:line="360" w:lineRule="auto"/>
        <w:jc w:val="both"/>
        <w:rPr>
          <w:color w:val="000000"/>
        </w:rPr>
      </w:pPr>
      <w:r w:rsidRPr="00873C4C">
        <w:rPr>
          <w:color w:val="000000"/>
        </w:rPr>
        <w:t xml:space="preserve">The collection, storage, distribution and use of human biological materials in research raise many legal and ethical issues </w:t>
      </w:r>
      <w:r w:rsidRPr="00873C4C">
        <w:rPr>
          <w:color w:val="000000"/>
        </w:rPr>
        <w:fldChar w:fldCharType="begin"/>
      </w:r>
      <w:r w:rsidR="006F41FE">
        <w:rPr>
          <w:color w:val="000000"/>
        </w:rPr>
        <w:instrText xml:space="preserve"> ADDIN EN.CITE &lt;EndNote&gt;&lt;Cite&gt;&lt;Author&gt;Ravid&lt;/Author&gt;&lt;Year&gt;2008&lt;/Year&gt;&lt;RecNum&gt;20&lt;/RecNum&gt;&lt;DisplayText&gt;(Ravid, 2008)&lt;/DisplayText&gt;&lt;record&gt;&lt;rec-number&gt;20&lt;/rec-number&gt;&lt;ref-type name="Journal Article"&gt;17&lt;/ref-type&gt;&lt;contributors&gt;&lt;authors&gt;&lt;author&gt;Ravid, R.&lt;/author&gt;&lt;/authors&gt;&lt;/contributors&gt;&lt;auth-address&gt;Netherlands Institute for Neurosciences, Royal Dutch Academy of Science, Meibergdreef 47, 1105 BA Amsterdam, The Netherlands. Rivkagravid@Gmail.com&lt;/auth-address&gt;&lt;titles&gt;&lt;title&gt;Standard Operating Procedures, ethical and legal regulations in BTB (Brain/Tissue/Bio) banking: what is still missing?&lt;/title&gt;&lt;secondary-title&gt;Cell Tissue Bank&lt;/secondary-title&gt;&lt;/titles&gt;&lt;periodical&gt;&lt;full-title&gt;Cell Tissue Bank&lt;/full-title&gt;&lt;/periodical&gt;&lt;pages&gt;121-37&lt;/pages&gt;&lt;volume&gt;9&lt;/volume&gt;&lt;number&gt;2&lt;/number&gt;&lt;keywords&gt;&lt;keyword&gt;Bioethics&lt;/keyword&gt;&lt;keyword&gt;*Brain&lt;/keyword&gt;&lt;keyword&gt;Codes of Ethics&lt;/keyword&gt;&lt;keyword&gt;Confidentiality&lt;/keyword&gt;&lt;keyword&gt;Database Management Systems/standards&lt;/keyword&gt;&lt;keyword&gt;Databases, Factual&lt;/keyword&gt;&lt;keyword&gt;Ethics Committees&lt;/keyword&gt;&lt;keyword&gt;Guidelines as Topic&lt;/keyword&gt;&lt;keyword&gt;Humans&lt;/keyword&gt;&lt;keyword&gt;Management Audit&lt;/keyword&gt;&lt;keyword&gt;Tissue Banks/economics/*ethics/legislation &amp;amp; jurisprudence/*standards&lt;/keyword&gt;&lt;keyword&gt;Tissue and Organ Procurement/ethics/legislation &amp;amp; jurisprudence/standards&lt;/keyword&gt;&lt;/keywords&gt;&lt;dates&gt;&lt;year&gt;2008&lt;/year&gt;&lt;pub-dates&gt;&lt;date&gt;Jun&lt;/date&gt;&lt;/pub-dates&gt;&lt;/dates&gt;&lt;accession-num&gt;17985213&lt;/accession-num&gt;&lt;urls&gt;&lt;related-urls&gt;&lt;url&gt;http://www.ncbi.nlm.nih.gov/entrez/query.fcgi?cmd=Retrieve&amp;amp;db=PubMed&amp;amp;dopt=Citation&amp;amp;list_uids=17985213 &lt;/url&gt;&lt;/related-urls&gt;&lt;/urls&gt;&lt;/record&gt;&lt;/Cite&gt;&lt;/EndNote&gt;</w:instrText>
      </w:r>
      <w:r w:rsidRPr="00873C4C">
        <w:rPr>
          <w:color w:val="000000"/>
        </w:rPr>
        <w:fldChar w:fldCharType="separate"/>
      </w:r>
      <w:r w:rsidR="006F41FE">
        <w:rPr>
          <w:noProof/>
          <w:color w:val="000000"/>
        </w:rPr>
        <w:t>(</w:t>
      </w:r>
      <w:hyperlink w:anchor="_ENREF_338" w:tooltip="Ravid, 2008 #20" w:history="1">
        <w:r w:rsidR="004A784D">
          <w:rPr>
            <w:noProof/>
            <w:color w:val="000000"/>
          </w:rPr>
          <w:t>Ravid, 2008</w:t>
        </w:r>
      </w:hyperlink>
      <w:r w:rsidR="006F41FE">
        <w:rPr>
          <w:noProof/>
          <w:color w:val="000000"/>
        </w:rPr>
        <w:t>)</w:t>
      </w:r>
      <w:r w:rsidRPr="00873C4C">
        <w:rPr>
          <w:color w:val="000000"/>
        </w:rPr>
        <w:fldChar w:fldCharType="end"/>
      </w:r>
      <w:r w:rsidRPr="00873C4C">
        <w:rPr>
          <w:color w:val="000000"/>
        </w:rPr>
        <w:t xml:space="preserve">. On an international level, the collection and use of these materials is currently regulated by </w:t>
      </w:r>
      <w:r w:rsidR="00BE00DC" w:rsidRPr="00873C4C">
        <w:rPr>
          <w:color w:val="000000"/>
        </w:rPr>
        <w:t>the</w:t>
      </w:r>
      <w:r w:rsidRPr="00873C4C">
        <w:rPr>
          <w:color w:val="000000"/>
        </w:rPr>
        <w:t xml:space="preserve"> </w:t>
      </w:r>
      <w:r w:rsidR="00BE00DC" w:rsidRPr="00873C4C">
        <w:rPr>
          <w:color w:val="000000"/>
        </w:rPr>
        <w:t>combination</w:t>
      </w:r>
      <w:r w:rsidRPr="00873C4C">
        <w:rPr>
          <w:color w:val="000000"/>
        </w:rPr>
        <w:t xml:space="preserve"> of differing and occasionally conflicting laws and policies</w:t>
      </w:r>
      <w:r w:rsidR="00BE00DC" w:rsidRPr="00873C4C">
        <w:rPr>
          <w:color w:val="000000"/>
        </w:rPr>
        <w:t xml:space="preserve"> </w:t>
      </w:r>
      <w:r w:rsidRPr="00873C4C">
        <w:rPr>
          <w:color w:val="000000"/>
        </w:rPr>
        <w:fldChar w:fldCharType="begin"/>
      </w:r>
      <w:r w:rsidR="006F41FE">
        <w:rPr>
          <w:color w:val="000000"/>
        </w:rPr>
        <w:instrText xml:space="preserve"> ADDIN EN.CITE &lt;EndNote&gt;&lt;Cite&gt;&lt;Author&gt;Kaufman&lt;/Author&gt;&lt;Year&gt;2009&lt;/Year&gt;&lt;RecNum&gt;36&lt;/RecNum&gt;&lt;DisplayText&gt;(Kaufman et al., 2009)&lt;/DisplayText&gt;&lt;record&gt;&lt;rec-number&gt;36&lt;/rec-number&gt;&lt;ref-type name="Journal Article"&gt;17&lt;/ref-type&gt;&lt;contributors&gt;&lt;authors&gt;&lt;author&gt;Kaufman, D. J.&lt;/author&gt;&lt;author&gt;Murphy-Bollinger, J.&lt;/author&gt;&lt;author&gt;Scott, J.&lt;/author&gt;&lt;author&gt;Hudson, K. L.&lt;/author&gt;&lt;/authors&gt;&lt;/contributors&gt;&lt;auth-address&gt;Genetics and Public Policy Center, Johns Hopkins University, Washington, DC 20036, USA. dkaufma2@jhu.edu&lt;/auth-address&gt;&lt;titles&gt;&lt;title&gt;Public opinion about the importance of privacy in biobank research&lt;/title&gt;&lt;secondary-title&gt;Am J Hum Genet&lt;/secondary-title&gt;&lt;/titles&gt;&lt;periodical&gt;&lt;full-title&gt;Am J Hum Genet&lt;/full-title&gt;&lt;/periodical&gt;&lt;pages&gt;643-54&lt;/pages&gt;&lt;volume&gt;85&lt;/volume&gt;&lt;number&gt;5&lt;/number&gt;&lt;keywords&gt;&lt;keyword&gt;Adolescent&lt;/keyword&gt;&lt;keyword&gt;Adult&lt;/keyword&gt;&lt;keyword&gt;Biological Specimen Banks/*ethics&lt;/keyword&gt;&lt;keyword&gt;Biomedical Research/*ethics&lt;/keyword&gt;&lt;keyword&gt;Cohort Studies&lt;/keyword&gt;&lt;keyword&gt;Female&lt;/keyword&gt;&lt;keyword&gt;Humans&lt;/keyword&gt;&lt;keyword&gt;Informed Consent/ethics&lt;/keyword&gt;&lt;keyword&gt;Male&lt;/keyword&gt;&lt;keyword&gt;Middle Aged&lt;/keyword&gt;&lt;keyword&gt;*Privacy&lt;/keyword&gt;&lt;keyword&gt;Prospective Studies&lt;/keyword&gt;&lt;keyword&gt;*Public Opinion&lt;/keyword&gt;&lt;keyword&gt;Young Adult&lt;/keyword&gt;&lt;/keywords&gt;&lt;dates&gt;&lt;year&gt;2009&lt;/year&gt;&lt;pub-dates&gt;&lt;date&gt;Nov&lt;/date&gt;&lt;/pub-dates&gt;&lt;/dates&gt;&lt;accession-num&gt;19878915&lt;/accession-num&gt;&lt;urls&gt;&lt;related-urls&gt;&lt;url&gt;http://www.ncbi.nlm.nih.gov/entrez/query.fcgi?cmd=Retrieve&amp;amp;db=PubMed&amp;amp;dopt=Citation&amp;amp;list_uids=19878915 &lt;/url&gt;&lt;/related-urls&gt;&lt;/urls&gt;&lt;/record&gt;&lt;/Cite&gt;&lt;/EndNote&gt;</w:instrText>
      </w:r>
      <w:r w:rsidRPr="00873C4C">
        <w:rPr>
          <w:color w:val="000000"/>
        </w:rPr>
        <w:fldChar w:fldCharType="separate"/>
      </w:r>
      <w:r w:rsidR="006F41FE">
        <w:rPr>
          <w:noProof/>
          <w:color w:val="000000"/>
        </w:rPr>
        <w:t>(</w:t>
      </w:r>
      <w:hyperlink w:anchor="_ENREF_203" w:tooltip="Kaufman, 2009 #36" w:history="1">
        <w:r w:rsidR="004A784D">
          <w:rPr>
            <w:noProof/>
            <w:color w:val="000000"/>
          </w:rPr>
          <w:t>Kaufman et al., 2009</w:t>
        </w:r>
      </w:hyperlink>
      <w:r w:rsidR="006F41FE">
        <w:rPr>
          <w:noProof/>
          <w:color w:val="000000"/>
        </w:rPr>
        <w:t>)</w:t>
      </w:r>
      <w:r w:rsidRPr="00873C4C">
        <w:rPr>
          <w:color w:val="000000"/>
        </w:rPr>
        <w:fldChar w:fldCharType="end"/>
      </w:r>
      <w:r w:rsidRPr="00873C4C">
        <w:rPr>
          <w:color w:val="000000"/>
        </w:rPr>
        <w:t>. Key discussions of ethics in human subjects’ research are found in a number of documents, including the Declaration of Helsinki adopted by the World Medical Association in 1964 and revised several times subsequently, most recently in 2000. The fundamental key concepts are</w:t>
      </w:r>
      <w:r w:rsidR="00BE00DC" w:rsidRPr="00873C4C">
        <w:rPr>
          <w:color w:val="000000"/>
        </w:rPr>
        <w:t xml:space="preserve"> </w:t>
      </w:r>
      <w:r w:rsidRPr="00873C4C">
        <w:rPr>
          <w:color w:val="000000"/>
        </w:rPr>
        <w:fldChar w:fldCharType="begin"/>
      </w:r>
      <w:r w:rsidR="006F41FE">
        <w:rPr>
          <w:color w:val="000000"/>
        </w:rPr>
        <w:instrText xml:space="preserve"> ADDIN EN.CITE &lt;EndNote&gt;&lt;Cite&gt;&lt;Author&gt;Murphy&lt;/Author&gt;&lt;Year&gt;2009&lt;/Year&gt;&lt;RecNum&gt;37&lt;/RecNum&gt;&lt;DisplayText&gt;(Murphy et al., 2009)&lt;/DisplayText&gt;&lt;record&gt;&lt;rec-number&gt;37&lt;/rec-number&gt;&lt;ref-type name="Journal Article"&gt;17&lt;/ref-type&gt;&lt;contributors&gt;&lt;authors&gt;&lt;author&gt;Murphy, J.&lt;/author&gt;&lt;author&gt;Scott, J.&lt;/author&gt;&lt;author&gt;Kaufman, D.&lt;/author&gt;&lt;author&gt;Geller, G.&lt;/author&gt;&lt;author&gt;LeRoy, L.&lt;/author&gt;&lt;author&gt;Hudson, K.&lt;/author&gt;&lt;/authors&gt;&lt;/contributors&gt;&lt;auth-address&gt;Genetics and Public Policy Center, Johns Hopkins University, 1717 Massachusetts Ave, NW, Suite 530, Washington, DC 20036, USA. jmurph46@jhu.edu&lt;/auth-address&gt;&lt;titles&gt;&lt;title&gt;Public perspectives on informed consent for biobanking&lt;/title&gt;&lt;secondary-title&gt;Am J Public Health&lt;/secondary-title&gt;&lt;/titles&gt;&lt;periodical&gt;&lt;full-title&gt;Am J Public Health&lt;/full-title&gt;&lt;/periodical&gt;&lt;pages&gt;2128-34&lt;/pages&gt;&lt;volume&gt;99&lt;/volume&gt;&lt;number&gt;12&lt;/number&gt;&lt;keywords&gt;&lt;keyword&gt;Adult&lt;/keyword&gt;&lt;keyword&gt;Attitude&lt;/keyword&gt;&lt;keyword&gt;Biological Specimen Banks/*ethics&lt;/keyword&gt;&lt;keyword&gt;Female&lt;/keyword&gt;&lt;keyword&gt;Focus Groups&lt;/keyword&gt;&lt;keyword&gt;Humans&lt;/keyword&gt;&lt;keyword&gt;Informed Consent/*ethics&lt;/keyword&gt;&lt;keyword&gt;Logistic Models&lt;/keyword&gt;&lt;keyword&gt;Male&lt;/keyword&gt;&lt;keyword&gt;Public Opinion&lt;/keyword&gt;&lt;keyword&gt;United States&lt;/keyword&gt;&lt;/keywords&gt;&lt;dates&gt;&lt;year&gt;2009&lt;/year&gt;&lt;pub-dates&gt;&lt;date&gt;Dec&lt;/date&gt;&lt;/pub-dates&gt;&lt;/dates&gt;&lt;accession-num&gt;19833988&lt;/accession-num&gt;&lt;urls&gt;&lt;related-urls&gt;&lt;url&gt;http://www.ncbi.nlm.nih.gov/entrez/query.fcgi?cmd=Retrieve&amp;amp;db=PubMed&amp;amp;dopt=Citation&amp;amp;list_uids=19833988 &lt;/url&gt;&lt;/related-urls&gt;&lt;/urls&gt;&lt;/record&gt;&lt;/Cite&gt;&lt;/EndNote&gt;</w:instrText>
      </w:r>
      <w:r w:rsidRPr="00873C4C">
        <w:rPr>
          <w:color w:val="000000"/>
        </w:rPr>
        <w:fldChar w:fldCharType="separate"/>
      </w:r>
      <w:r w:rsidR="006F41FE">
        <w:rPr>
          <w:noProof/>
          <w:color w:val="000000"/>
        </w:rPr>
        <w:t>(</w:t>
      </w:r>
      <w:hyperlink w:anchor="_ENREF_282" w:tooltip="Murphy, 2009 #37" w:history="1">
        <w:r w:rsidR="004A784D">
          <w:rPr>
            <w:noProof/>
            <w:color w:val="000000"/>
          </w:rPr>
          <w:t>Murphy et al., 2009</w:t>
        </w:r>
      </w:hyperlink>
      <w:r w:rsidR="006F41FE">
        <w:rPr>
          <w:noProof/>
          <w:color w:val="000000"/>
        </w:rPr>
        <w:t>)</w:t>
      </w:r>
      <w:r w:rsidRPr="00873C4C">
        <w:rPr>
          <w:color w:val="000000"/>
        </w:rPr>
        <w:fldChar w:fldCharType="end"/>
      </w:r>
      <w:r w:rsidRPr="00873C4C">
        <w:rPr>
          <w:color w:val="000000"/>
        </w:rPr>
        <w:t>:</w:t>
      </w:r>
      <w:r w:rsidR="009F1EF9" w:rsidRPr="00873C4C">
        <w:rPr>
          <w:color w:val="000000"/>
        </w:rPr>
        <w:t xml:space="preserve"> (1) </w:t>
      </w:r>
      <w:r w:rsidRPr="00873C4C">
        <w:rPr>
          <w:color w:val="000000"/>
        </w:rPr>
        <w:t xml:space="preserve">Freely-given informed patient consent is necessary before research on humans </w:t>
      </w:r>
      <w:r w:rsidR="00BE00DC" w:rsidRPr="00873C4C">
        <w:rPr>
          <w:color w:val="000000"/>
        </w:rPr>
        <w:t xml:space="preserve">and clinical specimen </w:t>
      </w:r>
      <w:r w:rsidRPr="00873C4C">
        <w:rPr>
          <w:color w:val="000000"/>
        </w:rPr>
        <w:t>may be conducted.</w:t>
      </w:r>
      <w:r w:rsidR="009F1EF9" w:rsidRPr="00873C4C">
        <w:rPr>
          <w:color w:val="000000"/>
        </w:rPr>
        <w:t xml:space="preserve">(2) </w:t>
      </w:r>
      <w:r w:rsidRPr="00873C4C">
        <w:rPr>
          <w:color w:val="000000"/>
        </w:rPr>
        <w:t xml:space="preserve">Research should be well designed, conducted by persons with appropriate expertise and </w:t>
      </w:r>
      <w:r w:rsidR="00BE00DC" w:rsidRPr="00873C4C">
        <w:rPr>
          <w:color w:val="000000"/>
        </w:rPr>
        <w:t xml:space="preserve">expected to </w:t>
      </w:r>
      <w:r w:rsidRPr="00873C4C">
        <w:rPr>
          <w:color w:val="000000"/>
        </w:rPr>
        <w:t xml:space="preserve">lead to </w:t>
      </w:r>
      <w:r w:rsidR="00BE00DC" w:rsidRPr="00873C4C">
        <w:rPr>
          <w:color w:val="000000"/>
        </w:rPr>
        <w:t xml:space="preserve">a </w:t>
      </w:r>
      <w:r w:rsidRPr="00873C4C">
        <w:rPr>
          <w:color w:val="000000"/>
        </w:rPr>
        <w:t>meaningful conclusions.</w:t>
      </w:r>
      <w:r w:rsidR="009F1EF9" w:rsidRPr="00873C4C">
        <w:rPr>
          <w:color w:val="000000"/>
        </w:rPr>
        <w:t xml:space="preserve">(3) </w:t>
      </w:r>
      <w:r w:rsidRPr="00873C4C">
        <w:rPr>
          <w:color w:val="000000"/>
        </w:rPr>
        <w:t>Every effort should be taken to reduce the risks to patients and ensure that the risks do not exceed the benefit of the expected findings.</w:t>
      </w:r>
      <w:r w:rsidR="009F1EF9" w:rsidRPr="00873C4C">
        <w:rPr>
          <w:color w:val="000000"/>
        </w:rPr>
        <w:t xml:space="preserve">(4) </w:t>
      </w:r>
      <w:r w:rsidRPr="00873C4C">
        <w:rPr>
          <w:color w:val="000000"/>
        </w:rPr>
        <w:t>Studies in animals should provide reason to believe that the study of humans is needed and is the only way to get the necessary information.</w:t>
      </w:r>
      <w:r w:rsidR="009F1EF9" w:rsidRPr="00873C4C">
        <w:rPr>
          <w:color w:val="000000"/>
        </w:rPr>
        <w:t xml:space="preserve"> (5) </w:t>
      </w:r>
      <w:r w:rsidRPr="00873C4C">
        <w:rPr>
          <w:color w:val="000000"/>
        </w:rPr>
        <w:t>The collection, storage, and use of human specimens and associated data should be done in a way that respects the individual and maintai</w:t>
      </w:r>
      <w:r w:rsidR="009F1EF9" w:rsidRPr="00873C4C">
        <w:rPr>
          <w:color w:val="000000"/>
        </w:rPr>
        <w:t>ns privacy and confidentiality</w:t>
      </w:r>
      <w:r w:rsidR="00F32A34">
        <w:rPr>
          <w:color w:val="000000"/>
        </w:rPr>
        <w:t xml:space="preserve"> </w:t>
      </w:r>
      <w:r w:rsidR="00F32A34">
        <w:rPr>
          <w:color w:val="000000"/>
        </w:rPr>
        <w:fldChar w:fldCharType="begin"/>
      </w:r>
      <w:r w:rsidR="00F32A34">
        <w:rPr>
          <w:color w:val="000000"/>
        </w:rPr>
        <w:instrText xml:space="preserve"> ADDIN EN.CITE &lt;EndNote&gt;&lt;Cite&gt;&lt;Author&gt;Goffin&lt;/Author&gt;&lt;Year&gt;2000&lt;/Year&gt;&lt;RecNum&gt;5059&lt;/RecNum&gt;&lt;DisplayText&gt;(Goffin et al., 2000)&lt;/DisplayText&gt;&lt;record&gt;&lt;rec-number&gt;5059&lt;/rec-number&gt;&lt;foreign-keys&gt;&lt;key app="EN" db-id="zf0awxsaczrdd3eft5qvw9wrtxxawdfrvw2a"&gt;5059&lt;/key&gt;&lt;/foreign-keys&gt;&lt;ref-type name="Journal Article"&gt;17&lt;/ref-type&gt;&lt;contributors&gt;&lt;authors&gt;&lt;author&gt;Goffin, Y. A.&lt;/author&gt;&lt;author&gt;Van Hoeck, B.&lt;/author&gt;&lt;author&gt;Jashari, R.&lt;/author&gt;&lt;author&gt;Soots, G.&lt;/author&gt;&lt;author&gt;Kalmar, P.&lt;/author&gt;&lt;/authors&gt;&lt;/contributors&gt;&lt;auth-address&gt;European Homograft Bank, International Association, Brussels, Belgium.&lt;/auth-address&gt;&lt;titles&gt;&lt;title&gt;Banking of cryopreserved heart valves in Europe: assessment of a 10-year operation in the European Homograft Bank (EHB)&lt;/title&gt;&lt;secondary-title&gt;J Heart Valve Dis&lt;/secondary-title&gt;&lt;/titles&gt;&lt;periodical&gt;&lt;full-title&gt;J Heart Valve Dis&lt;/full-title&gt;&lt;/periodical&gt;&lt;pages&gt;207-14&lt;/pages&gt;&lt;volume&gt;9&lt;/volume&gt;&lt;number&gt;2&lt;/number&gt;&lt;edition&gt;2000/04/20&lt;/edition&gt;&lt;keywords&gt;&lt;keyword&gt;Adolescent&lt;/keyword&gt;&lt;keyword&gt;Aortic Valve/transplantation&lt;/keyword&gt;&lt;keyword&gt;Belgium&lt;/keyword&gt;&lt;keyword&gt;Child&lt;/keyword&gt;&lt;keyword&gt;Child, Preschool&lt;/keyword&gt;&lt;keyword&gt;*Cryopreservation&lt;/keyword&gt;&lt;keyword&gt;Europe&lt;/keyword&gt;&lt;keyword&gt;Female&lt;/keyword&gt;&lt;keyword&gt;Heart Valves/*transplantation&lt;/keyword&gt;&lt;keyword&gt;Humans&lt;/keyword&gt;&lt;keyword&gt;Infant&lt;/keyword&gt;&lt;keyword&gt;Infant, Newborn&lt;/keyword&gt;&lt;keyword&gt;Male&lt;/keyword&gt;&lt;keyword&gt;Middle Aged&lt;/keyword&gt;&lt;keyword&gt;*Organ Preservation&lt;/keyword&gt;&lt;keyword&gt;Quality Control&lt;/keyword&gt;&lt;keyword&gt;*Tissue Banks/statistics &amp;amp; numerical data&lt;/keyword&gt;&lt;keyword&gt;Tissue Donors/supply &amp;amp; distribution&lt;/keyword&gt;&lt;keyword&gt;Tissue and Organ Procurement/statistics &amp;amp; numerical data&lt;/keyword&gt;&lt;keyword&gt;Transplantation, Homologous&lt;/keyword&gt;&lt;/keywords&gt;&lt;dates&gt;&lt;year&gt;2000&lt;/year&gt;&lt;pub-dates&gt;&lt;date&gt;Mar&lt;/date&gt;&lt;/pub-dates&gt;&lt;/dates&gt;&lt;isbn&gt;0966-8519 (Print)&amp;#xD;0966-8519 (Linking)&lt;/isbn&gt;&lt;accession-num&gt;10772038&lt;/accession-num&gt;&lt;urls&gt;&lt;related-urls&gt;&lt;url&gt;http://www.ncbi.nlm.nih.gov/pubmed/10772038&lt;/url&gt;&lt;/related-urls&gt;&lt;/urls&gt;&lt;language&gt;eng&lt;/language&gt;&lt;/record&gt;&lt;/Cite&gt;&lt;/EndNote&gt;</w:instrText>
      </w:r>
      <w:r w:rsidR="00F32A34">
        <w:rPr>
          <w:color w:val="000000"/>
        </w:rPr>
        <w:fldChar w:fldCharType="separate"/>
      </w:r>
      <w:r w:rsidR="00F32A34">
        <w:rPr>
          <w:noProof/>
          <w:color w:val="000000"/>
        </w:rPr>
        <w:t>(</w:t>
      </w:r>
      <w:hyperlink w:anchor="_ENREF_148" w:tooltip="Goffin, 2000 #5059" w:history="1">
        <w:r w:rsidR="004A784D">
          <w:rPr>
            <w:noProof/>
            <w:color w:val="000000"/>
          </w:rPr>
          <w:t>Goffin et al., 2000</w:t>
        </w:r>
      </w:hyperlink>
      <w:r w:rsidR="00F32A34">
        <w:rPr>
          <w:noProof/>
          <w:color w:val="000000"/>
        </w:rPr>
        <w:t>)</w:t>
      </w:r>
      <w:r w:rsidR="00F32A34">
        <w:rPr>
          <w:color w:val="000000"/>
        </w:rPr>
        <w:fldChar w:fldCharType="end"/>
      </w:r>
      <w:r w:rsidR="009F1EF9" w:rsidRPr="00873C4C">
        <w:rPr>
          <w:color w:val="000000"/>
        </w:rPr>
        <w:t>.</w:t>
      </w:r>
    </w:p>
    <w:p w:rsidR="00057B42" w:rsidRDefault="00057B42" w:rsidP="00057B42">
      <w:pPr>
        <w:spacing w:line="360" w:lineRule="auto"/>
        <w:jc w:val="both"/>
        <w:rPr>
          <w:color w:val="000000"/>
        </w:rPr>
      </w:pPr>
    </w:p>
    <w:p w:rsidR="00FC1CBC" w:rsidRPr="00873C4C" w:rsidRDefault="0092498C" w:rsidP="00645687">
      <w:pPr>
        <w:pStyle w:val="Heading4"/>
      </w:pPr>
      <w:bookmarkStart w:id="342" w:name="_Toc260495799"/>
      <w:bookmarkStart w:id="343" w:name="_Toc260496050"/>
      <w:bookmarkStart w:id="344" w:name="_Toc260500443"/>
      <w:bookmarkStart w:id="345" w:name="_Toc261098469"/>
      <w:bookmarkStart w:id="346" w:name="_Toc305759133"/>
      <w:r w:rsidRPr="00873C4C">
        <w:tab/>
      </w:r>
      <w:bookmarkStart w:id="347" w:name="_Toc306570561"/>
      <w:bookmarkStart w:id="348" w:name="_Toc307067626"/>
      <w:bookmarkStart w:id="349" w:name="_Toc312169185"/>
      <w:bookmarkStart w:id="350" w:name="_Toc312172112"/>
      <w:bookmarkStart w:id="351" w:name="_Toc312257661"/>
      <w:r w:rsidR="00FC1CBC" w:rsidRPr="00873C4C">
        <w:t>Informed Consent</w:t>
      </w:r>
      <w:bookmarkEnd w:id="342"/>
      <w:bookmarkEnd w:id="343"/>
      <w:bookmarkEnd w:id="344"/>
      <w:bookmarkEnd w:id="345"/>
      <w:bookmarkEnd w:id="346"/>
      <w:bookmarkEnd w:id="347"/>
      <w:bookmarkEnd w:id="348"/>
      <w:bookmarkEnd w:id="349"/>
      <w:bookmarkEnd w:id="350"/>
      <w:bookmarkEnd w:id="351"/>
    </w:p>
    <w:p w:rsidR="00FC1CBC" w:rsidRPr="00873C4C" w:rsidRDefault="00FC1CBC" w:rsidP="00057B42">
      <w:pPr>
        <w:spacing w:before="240" w:line="360" w:lineRule="auto"/>
        <w:jc w:val="both"/>
        <w:rPr>
          <w:color w:val="000000"/>
        </w:rPr>
      </w:pPr>
      <w:r w:rsidRPr="00873C4C">
        <w:rPr>
          <w:color w:val="000000"/>
        </w:rPr>
        <w:t xml:space="preserve">Consent can be seen as a kind of </w:t>
      </w:r>
      <w:r w:rsidR="00BE00DC" w:rsidRPr="00873C4C">
        <w:rPr>
          <w:color w:val="000000"/>
        </w:rPr>
        <w:t>respect</w:t>
      </w:r>
      <w:r w:rsidRPr="00873C4C">
        <w:rPr>
          <w:color w:val="000000"/>
        </w:rPr>
        <w:t xml:space="preserve"> of a person. It is recognising the donors’ moral status by asking </w:t>
      </w:r>
      <w:r w:rsidR="00BE00DC" w:rsidRPr="00873C4C">
        <w:rPr>
          <w:color w:val="000000"/>
        </w:rPr>
        <w:t xml:space="preserve">their permission </w:t>
      </w:r>
      <w:r w:rsidRPr="00873C4C">
        <w:rPr>
          <w:color w:val="000000"/>
        </w:rPr>
        <w:fldChar w:fldCharType="begin"/>
      </w:r>
      <w:r w:rsidR="006F41FE">
        <w:rPr>
          <w:color w:val="000000"/>
        </w:rPr>
        <w:instrText xml:space="preserve"> ADDIN EN.CITE &lt;EndNote&gt;&lt;Cite&gt;&lt;Author&gt;Murphy&lt;/Author&gt;&lt;Year&gt;2009&lt;/Year&gt;&lt;RecNum&gt;37&lt;/RecNum&gt;&lt;DisplayText&gt;(Murphy et al., 2009)&lt;/DisplayText&gt;&lt;record&gt;&lt;rec-number&gt;37&lt;/rec-number&gt;&lt;ref-type name="Journal Article"&gt;17&lt;/ref-type&gt;&lt;contributors&gt;&lt;authors&gt;&lt;author&gt;Murphy, J.&lt;/author&gt;&lt;author&gt;Scott, J.&lt;/author&gt;&lt;author&gt;Kaufman, D.&lt;/author&gt;&lt;author&gt;Geller, G.&lt;/author&gt;&lt;author&gt;LeRoy, L.&lt;/author&gt;&lt;author&gt;Hudson, K.&lt;/author&gt;&lt;/authors&gt;&lt;/contributors&gt;&lt;auth-address&gt;Genetics and Public Policy Center, Johns Hopkins University, 1717 Massachusetts Ave, NW, Suite 530, Washington, DC 20036, USA. jmurph46@jhu.edu&lt;/auth-address&gt;&lt;titles&gt;&lt;title&gt;Public perspectives on informed consent for biobanking&lt;/title&gt;&lt;secondary-title&gt;Am J Public Health&lt;/secondary-title&gt;&lt;/titles&gt;&lt;periodical&gt;&lt;full-title&gt;Am J Public Health&lt;/full-title&gt;&lt;/periodical&gt;&lt;pages&gt;2128-34&lt;/pages&gt;&lt;volume&gt;99&lt;/volume&gt;&lt;number&gt;12&lt;/number&gt;&lt;keywords&gt;&lt;keyword&gt;Adult&lt;/keyword&gt;&lt;keyword&gt;Attitude&lt;/keyword&gt;&lt;keyword&gt;Biological Specimen Banks/*ethics&lt;/keyword&gt;&lt;keyword&gt;Female&lt;/keyword&gt;&lt;keyword&gt;Focus Groups&lt;/keyword&gt;&lt;keyword&gt;Humans&lt;/keyword&gt;&lt;keyword&gt;Informed Consent/*ethics&lt;/keyword&gt;&lt;keyword&gt;Logistic Models&lt;/keyword&gt;&lt;keyword&gt;Male&lt;/keyword&gt;&lt;keyword&gt;Public Opinion&lt;/keyword&gt;&lt;keyword&gt;United States&lt;/keyword&gt;&lt;/keywords&gt;&lt;dates&gt;&lt;year&gt;2009&lt;/year&gt;&lt;pub-dates&gt;&lt;date&gt;Dec&lt;/date&gt;&lt;/pub-dates&gt;&lt;/dates&gt;&lt;accession-num&gt;19833988&lt;/accession-num&gt;&lt;urls&gt;&lt;related-urls&gt;&lt;url&gt;http://www.ncbi.nlm.nih.gov/entrez/query.fcgi?cmd=Retrieve&amp;amp;db=PubMed&amp;amp;dopt=Citation&amp;amp;list_uids=19833988 &lt;/url&gt;&lt;/related-urls&gt;&lt;/urls&gt;&lt;/record&gt;&lt;/Cite&gt;&lt;/EndNote&gt;</w:instrText>
      </w:r>
      <w:r w:rsidRPr="00873C4C">
        <w:rPr>
          <w:color w:val="000000"/>
        </w:rPr>
        <w:fldChar w:fldCharType="separate"/>
      </w:r>
      <w:r w:rsidR="006F41FE">
        <w:rPr>
          <w:noProof/>
          <w:color w:val="000000"/>
        </w:rPr>
        <w:t>(</w:t>
      </w:r>
      <w:hyperlink w:anchor="_ENREF_282" w:tooltip="Murphy, 2009 #37" w:history="1">
        <w:r w:rsidR="004A784D">
          <w:rPr>
            <w:noProof/>
            <w:color w:val="000000"/>
          </w:rPr>
          <w:t>Murphy et al., 2009</w:t>
        </w:r>
      </w:hyperlink>
      <w:r w:rsidR="006F41FE">
        <w:rPr>
          <w:noProof/>
          <w:color w:val="000000"/>
        </w:rPr>
        <w:t>)</w:t>
      </w:r>
      <w:r w:rsidRPr="00873C4C">
        <w:rPr>
          <w:color w:val="000000"/>
        </w:rPr>
        <w:fldChar w:fldCharType="end"/>
      </w:r>
      <w:r w:rsidRPr="00873C4C">
        <w:rPr>
          <w:color w:val="000000"/>
        </w:rPr>
        <w:t xml:space="preserve">. Consent, first of all, protects from </w:t>
      </w:r>
      <w:r w:rsidR="00FA0918" w:rsidRPr="00873C4C">
        <w:rPr>
          <w:color w:val="000000"/>
        </w:rPr>
        <w:t>invasive procedures</w:t>
      </w:r>
      <w:r w:rsidRPr="00873C4C">
        <w:rPr>
          <w:color w:val="000000"/>
        </w:rPr>
        <w:t xml:space="preserve"> and disrespectful treatment. Second, it provides the </w:t>
      </w:r>
      <w:r w:rsidR="005100D5" w:rsidRPr="00873C4C">
        <w:rPr>
          <w:color w:val="000000"/>
        </w:rPr>
        <w:t>researchers</w:t>
      </w:r>
      <w:r w:rsidR="00FA0918" w:rsidRPr="00873C4C">
        <w:rPr>
          <w:color w:val="000000"/>
        </w:rPr>
        <w:t xml:space="preserve"> and clinicians </w:t>
      </w:r>
      <w:r w:rsidRPr="00873C4C">
        <w:rPr>
          <w:color w:val="000000"/>
        </w:rPr>
        <w:t xml:space="preserve">with usually written limits to the access. However, consent is not worth much if it doesn’t </w:t>
      </w:r>
      <w:r w:rsidR="00676041" w:rsidRPr="00873C4C">
        <w:rPr>
          <w:color w:val="000000"/>
        </w:rPr>
        <w:t>fulfil</w:t>
      </w:r>
      <w:r w:rsidRPr="00873C4C">
        <w:rPr>
          <w:color w:val="000000"/>
        </w:rPr>
        <w:t xml:space="preserve"> some prerequisites such as guaranteeing that the consenter has a sufficient amount of relevant information available to her to </w:t>
      </w:r>
      <w:r w:rsidR="00FA0918" w:rsidRPr="00873C4C">
        <w:rPr>
          <w:color w:val="000000"/>
        </w:rPr>
        <w:t>expressively</w:t>
      </w:r>
      <w:r w:rsidRPr="00873C4C">
        <w:rPr>
          <w:color w:val="000000"/>
        </w:rPr>
        <w:t xml:space="preserve"> consent to something</w:t>
      </w:r>
      <w:r w:rsidR="00F32A34">
        <w:rPr>
          <w:color w:val="000000"/>
        </w:rPr>
        <w:t xml:space="preserve"> </w:t>
      </w:r>
      <w:r w:rsidR="00F32A34">
        <w:rPr>
          <w:color w:val="000000"/>
        </w:rPr>
        <w:fldChar w:fldCharType="begin"/>
      </w:r>
      <w:r w:rsidR="00F32A34">
        <w:rPr>
          <w:color w:val="000000"/>
        </w:rPr>
        <w:instrText xml:space="preserve"> ADDIN EN.CITE &lt;EndNote&gt;&lt;Cite&gt;&lt;Author&gt;Roa&lt;/Author&gt;&lt;Year&gt;2008&lt;/Year&gt;&lt;RecNum&gt;5044&lt;/RecNum&gt;&lt;DisplayText&gt;(Roa and Artigas, 2008)&lt;/DisplayText&gt;&lt;record&gt;&lt;rec-number&gt;5044&lt;/rec-number&gt;&lt;foreign-keys&gt;&lt;key app="EN" db-id="zf0awxsaczrdd3eft5qvw9wrtxxawdfrvw2a"&gt;5044&lt;/key&gt;&lt;/foreign-keys&gt;&lt;ref-type name="Journal Article"&gt;17&lt;/ref-type&gt;&lt;contributors&gt;&lt;authors&gt;&lt;author&gt;Roa, E. I.&lt;/author&gt;&lt;author&gt;Artigas, A. Cg&lt;/author&gt;&lt;/authors&gt;&lt;/contributors&gt;&lt;auth-address&gt;Servicio Anatomia Patologica, Clinica Alemana de Santiago, Chile. iroa@alemana.cl&lt;/auth-address&gt;&lt;titles&gt;&lt;title&gt;[A pilot experience with a tumor bank]&lt;/title&gt;&lt;secondary-title&gt;Rev Med Chil&lt;/secondary-title&gt;&lt;/titles&gt;&lt;periodical&gt;&lt;full-title&gt;Rev Med Chil&lt;/full-title&gt;&lt;/periodical&gt;&lt;pages&gt;733-40&lt;/pages&gt;&lt;volume&gt;136&lt;/volume&gt;&lt;number&gt;6&lt;/number&gt;&lt;edition&gt;2008/09/05&lt;/edition&gt;&lt;keywords&gt;&lt;keyword&gt;Breast Neoplasms/chemistry/genetics/pathology&lt;/keyword&gt;&lt;keyword&gt;Chile&lt;/keyword&gt;&lt;keyword&gt;Cryopreservation/methods&lt;/keyword&gt;&lt;keyword&gt;Female&lt;/keyword&gt;&lt;keyword&gt;Humans&lt;/keyword&gt;&lt;keyword&gt;Male&lt;/keyword&gt;&lt;keyword&gt;Neoplasms/chemistry/genetics/*pathology&lt;/keyword&gt;&lt;keyword&gt;Nucleic Acid Amplification Techniques&lt;/keyword&gt;&lt;keyword&gt;Pilot Projects&lt;/keyword&gt;&lt;keyword&gt;Quality Control&lt;/keyword&gt;&lt;keyword&gt;Reverse Transcriptase Polymerase Chain Reaction&lt;/keyword&gt;&lt;keyword&gt;Specimen Handling/methods/*standards&lt;/keyword&gt;&lt;keyword&gt;Tissue Banks/organization &amp;amp; administration/*standards&lt;/keyword&gt;&lt;keyword&gt;Tissue Preservation/methods&lt;/keyword&gt;&lt;/keywords&gt;&lt;dates&gt;&lt;year&gt;2008&lt;/year&gt;&lt;pub-dates&gt;&lt;date&gt;Jun&lt;/date&gt;&lt;/pub-dates&gt;&lt;/dates&gt;&lt;orig-pub&gt;Banco de tumores en Chile, su aporte a la investigacion: resultados de un proyecto piloto.&lt;/orig-pub&gt;&lt;isbn&gt;0034-9887 (Print)&amp;#xD;0034-9887 (Linking)&lt;/isbn&gt;&lt;accession-num&gt;18769829&lt;/accession-num&gt;&lt;urls&gt;&lt;related-urls&gt;&lt;url&gt;http://www.ncbi.nlm.nih.gov/pubmed/18769829&lt;/url&gt;&lt;/related-urls&gt;&lt;/urls&gt;&lt;electronic-resource-num&gt;S0034-98872008000600007 [pii]&amp;#xD;/S0034-98872008000600007&lt;/electronic-resource-num&gt;&lt;language&gt;spa&lt;/language&gt;&lt;/record&gt;&lt;/Cite&gt;&lt;/EndNote&gt;</w:instrText>
      </w:r>
      <w:r w:rsidR="00F32A34">
        <w:rPr>
          <w:color w:val="000000"/>
        </w:rPr>
        <w:fldChar w:fldCharType="separate"/>
      </w:r>
      <w:r w:rsidR="00F32A34">
        <w:rPr>
          <w:noProof/>
          <w:color w:val="000000"/>
        </w:rPr>
        <w:t>(</w:t>
      </w:r>
      <w:hyperlink w:anchor="_ENREF_347" w:tooltip="Roa, 2008 #5044" w:history="1">
        <w:r w:rsidR="004A784D">
          <w:rPr>
            <w:noProof/>
            <w:color w:val="000000"/>
          </w:rPr>
          <w:t>Roa and Artigas, 2008</w:t>
        </w:r>
      </w:hyperlink>
      <w:r w:rsidR="00F32A34">
        <w:rPr>
          <w:noProof/>
          <w:color w:val="000000"/>
        </w:rPr>
        <w:t>)</w:t>
      </w:r>
      <w:r w:rsidR="00F32A34">
        <w:rPr>
          <w:color w:val="000000"/>
        </w:rPr>
        <w:fldChar w:fldCharType="end"/>
      </w:r>
      <w:r w:rsidRPr="00873C4C">
        <w:rPr>
          <w:color w:val="000000"/>
        </w:rPr>
        <w:t xml:space="preserve">. </w:t>
      </w:r>
    </w:p>
    <w:p w:rsidR="00CE7847" w:rsidRDefault="00CE7847" w:rsidP="00057B42">
      <w:pPr>
        <w:spacing w:line="360" w:lineRule="auto"/>
        <w:jc w:val="both"/>
        <w:rPr>
          <w:color w:val="000000"/>
        </w:rPr>
      </w:pPr>
    </w:p>
    <w:p w:rsidR="00FC1CBC" w:rsidRPr="00873C4C" w:rsidRDefault="00FC1CBC" w:rsidP="00057B42">
      <w:pPr>
        <w:spacing w:line="360" w:lineRule="auto"/>
        <w:jc w:val="both"/>
        <w:rPr>
          <w:color w:val="000000"/>
        </w:rPr>
      </w:pPr>
      <w:r w:rsidRPr="00873C4C">
        <w:rPr>
          <w:color w:val="000000"/>
        </w:rPr>
        <w:t xml:space="preserve">The collection, retention and use of specimens is a process that offers subjects information sufficient to allow them to make an informed choice about whether to provide specimens and </w:t>
      </w:r>
      <w:r w:rsidR="00FA0918" w:rsidRPr="00873C4C">
        <w:rPr>
          <w:color w:val="000000"/>
        </w:rPr>
        <w:t xml:space="preserve">associated clinical </w:t>
      </w:r>
      <w:r w:rsidRPr="00873C4C">
        <w:rPr>
          <w:color w:val="000000"/>
        </w:rPr>
        <w:t xml:space="preserve">data and agree, where applicable, to future research use. Furthermore, the consenter is usually required to be free in a sense that </w:t>
      </w:r>
      <w:r w:rsidRPr="00873C4C">
        <w:rPr>
          <w:color w:val="000000"/>
        </w:rPr>
        <w:lastRenderedPageBreak/>
        <w:t>no one is forcing her/him to consent against her/his will or try to manipulate her/</w:t>
      </w:r>
      <w:r w:rsidR="00676041" w:rsidRPr="00873C4C">
        <w:rPr>
          <w:color w:val="000000"/>
        </w:rPr>
        <w:t>him by</w:t>
      </w:r>
      <w:r w:rsidRPr="00873C4C">
        <w:rPr>
          <w:color w:val="000000"/>
        </w:rPr>
        <w:t xml:space="preserve"> lying, omitting information or providing misleading information</w:t>
      </w:r>
      <w:r w:rsidR="00F32A34">
        <w:rPr>
          <w:color w:val="000000"/>
        </w:rPr>
        <w:t xml:space="preserve"> </w:t>
      </w:r>
      <w:r w:rsidR="00F32A34">
        <w:rPr>
          <w:color w:val="000000"/>
        </w:rPr>
        <w:fldChar w:fldCharType="begin"/>
      </w:r>
      <w:r w:rsidR="00F32A34">
        <w:rPr>
          <w:color w:val="000000"/>
        </w:rPr>
        <w:instrText xml:space="preserve"> ADDIN EN.CITE &lt;EndNote&gt;&lt;Cite&gt;&lt;Author&gt;Henny&lt;/Author&gt;&lt;Year&gt;2003&lt;/Year&gt;&lt;RecNum&gt;5055&lt;/RecNum&gt;&lt;DisplayText&gt;(Henny, 2003)&lt;/DisplayText&gt;&lt;record&gt;&lt;rec-number&gt;5055&lt;/rec-number&gt;&lt;foreign-keys&gt;&lt;key app="EN" db-id="zf0awxsaczrdd3eft5qvw9wrtxxawdfrvw2a"&gt;5055&lt;/key&gt;&lt;/foreign-keys&gt;&lt;ref-type name="Journal Article"&gt;17&lt;/ref-type&gt;&lt;contributors&gt;&lt;authors&gt;&lt;author&gt;Henny, J.&lt;/author&gt;&lt;/authors&gt;&lt;/contributors&gt;&lt;auth-address&gt;Laboratoire du Centre de Medecine Preventive, 2, avenue du Doyen-Jacques-Parisot, 54501 Vandoeuvre-les-Nancy Cedex. Joseph.Henny@cmp.u-nancy.fr&lt;/auth-address&gt;&lt;titles&gt;&lt;title&gt;[Constitution of a bank of biological material. Practical aspects]&lt;/title&gt;&lt;secondary-title&gt;Rev Epidemiol Sante Publique&lt;/secondary-title&gt;&lt;/titles&gt;&lt;periodical&gt;&lt;full-title&gt;Rev Epidemiol Sante Publique&lt;/full-title&gt;&lt;/periodical&gt;&lt;pages&gt;127-36&lt;/pages&gt;&lt;volume&gt;51&lt;/volume&gt;&lt;number&gt;1 Pt 2&lt;/number&gt;&lt;edition&gt;2003/04/10&lt;/edition&gt;&lt;keywords&gt;&lt;keyword&gt;Biological Specimen Banks/*organization &amp;amp; administration/*standards&lt;/keyword&gt;&lt;keyword&gt;Equipment and Supplies/standards&lt;/keyword&gt;&lt;keyword&gt;France&lt;/keyword&gt;&lt;keyword&gt;Humans&lt;/keyword&gt;&lt;keyword&gt;Quality Control&lt;/keyword&gt;&lt;keyword&gt;Specimen Handling/standards&lt;/keyword&gt;&lt;/keywords&gt;&lt;dates&gt;&lt;year&gt;2003&lt;/year&gt;&lt;pub-dates&gt;&lt;date&gt;Feb&lt;/date&gt;&lt;/pub-dates&gt;&lt;/dates&gt;&lt;orig-pub&gt;Constitution d&amp;apos;un centre de ressources biologiques Aspects pratiques.&lt;/orig-pub&gt;&lt;isbn&gt;0398-7620 (Print)&amp;#xD;0398-7620 (Linking)&lt;/isbn&gt;&lt;accession-num&gt;12684569&lt;/accession-num&gt;&lt;urls&gt;&lt;related-urls&gt;&lt;url&gt;http://www.ncbi.nlm.nih.gov/pubmed/12684569&lt;/url&gt;&lt;/related-urls&gt;&lt;/urls&gt;&lt;electronic-resource-num&gt;MDOI-RESP-02-2003-51-1-C2-0398-7620-101019-ART6 [pii]&lt;/electronic-resource-num&gt;&lt;language&gt;fre&lt;/language&gt;&lt;/record&gt;&lt;/Cite&gt;&lt;/EndNote&gt;</w:instrText>
      </w:r>
      <w:r w:rsidR="00F32A34">
        <w:rPr>
          <w:color w:val="000000"/>
        </w:rPr>
        <w:fldChar w:fldCharType="separate"/>
      </w:r>
      <w:r w:rsidR="00F32A34">
        <w:rPr>
          <w:noProof/>
          <w:color w:val="000000"/>
        </w:rPr>
        <w:t>(</w:t>
      </w:r>
      <w:hyperlink w:anchor="_ENREF_169" w:tooltip="Henny, 2003 #5055" w:history="1">
        <w:r w:rsidR="004A784D">
          <w:rPr>
            <w:noProof/>
            <w:color w:val="000000"/>
          </w:rPr>
          <w:t>Henny, 2003</w:t>
        </w:r>
      </w:hyperlink>
      <w:r w:rsidR="00F32A34">
        <w:rPr>
          <w:noProof/>
          <w:color w:val="000000"/>
        </w:rPr>
        <w:t>)</w:t>
      </w:r>
      <w:r w:rsidR="00F32A34">
        <w:rPr>
          <w:color w:val="000000"/>
        </w:rPr>
        <w:fldChar w:fldCharType="end"/>
      </w:r>
      <w:r w:rsidRPr="00873C4C">
        <w:rPr>
          <w:color w:val="000000"/>
        </w:rPr>
        <w:t xml:space="preserve">. </w:t>
      </w:r>
    </w:p>
    <w:p w:rsidR="00CE7847" w:rsidRDefault="00CE7847" w:rsidP="00057B42">
      <w:pPr>
        <w:spacing w:line="360" w:lineRule="auto"/>
        <w:jc w:val="both"/>
        <w:rPr>
          <w:color w:val="000000"/>
        </w:rPr>
      </w:pPr>
    </w:p>
    <w:p w:rsidR="00FC1CBC" w:rsidRPr="00873C4C" w:rsidRDefault="00FC1CBC" w:rsidP="00057B42">
      <w:pPr>
        <w:spacing w:line="360" w:lineRule="auto"/>
        <w:jc w:val="both"/>
        <w:rPr>
          <w:color w:val="000000"/>
        </w:rPr>
      </w:pPr>
      <w:r w:rsidRPr="00873C4C">
        <w:rPr>
          <w:color w:val="000000"/>
        </w:rPr>
        <w:t>Consent may be obtained for a specific research project, such that the details of the project can be specifically outlined; alternatively consent may be obtained for unspecified future research</w:t>
      </w:r>
      <w:r w:rsidR="00FA0918" w:rsidRPr="00873C4C">
        <w:rPr>
          <w:color w:val="000000"/>
        </w:rPr>
        <w:t xml:space="preserve"> and clinical trial</w:t>
      </w:r>
      <w:r w:rsidRPr="00873C4C">
        <w:rPr>
          <w:color w:val="000000"/>
        </w:rPr>
        <w:t>, in which case general information about the possible future research uses is provided</w:t>
      </w:r>
      <w:r w:rsidR="00FA0918" w:rsidRPr="00873C4C">
        <w:rPr>
          <w:color w:val="000000"/>
        </w:rPr>
        <w:t xml:space="preserve"> in patient information leaflets</w:t>
      </w:r>
      <w:r w:rsidRPr="00873C4C">
        <w:rPr>
          <w:color w:val="000000"/>
        </w:rPr>
        <w:t>, in accordanc</w:t>
      </w:r>
      <w:r w:rsidR="00FA0918" w:rsidRPr="00873C4C">
        <w:rPr>
          <w:color w:val="000000"/>
        </w:rPr>
        <w:t>e with local ethical committees</w:t>
      </w:r>
      <w:r w:rsidRPr="00873C4C">
        <w:rPr>
          <w:color w:val="000000"/>
        </w:rPr>
        <w:t xml:space="preserve"> guidelines</w:t>
      </w:r>
      <w:r w:rsidR="00FA0918" w:rsidRPr="00873C4C">
        <w:rPr>
          <w:color w:val="000000"/>
        </w:rPr>
        <w:t xml:space="preserve"> </w:t>
      </w:r>
      <w:r w:rsidRPr="00873C4C">
        <w:rPr>
          <w:color w:val="000000"/>
        </w:rPr>
        <w:fldChar w:fldCharType="begin"/>
      </w:r>
      <w:r w:rsidR="006F41FE">
        <w:rPr>
          <w:color w:val="000000"/>
        </w:rPr>
        <w:instrText xml:space="preserve"> ADDIN EN.CITE &lt;EndNote&gt;&lt;Cite&gt;&lt;Author&gt;Ormond&lt;/Author&gt;&lt;Year&gt;2009&lt;/Year&gt;&lt;RecNum&gt;90&lt;/RecNum&gt;&lt;DisplayText&gt;(Ormond et al., 2009)&lt;/DisplayText&gt;&lt;record&gt;&lt;rec-number&gt;90&lt;/rec-number&gt;&lt;ref-type name="Journal Article"&gt;17&lt;/ref-type&gt;&lt;contributors&gt;&lt;authors&gt;&lt;author&gt;Ormond, K. E.&lt;/author&gt;&lt;author&gt;Cirino, A. L.&lt;/author&gt;&lt;author&gt;Helenowski, I. B.&lt;/author&gt;&lt;author&gt;Chisholm, R. L.&lt;/author&gt;&lt;author&gt;Wolf, W. A.&lt;/author&gt;&lt;/authors&gt;&lt;/contributors&gt;&lt;auth-address&gt;Center for Genetic Medicine, Feinberg School of Medicine, Northwestern University, Chicago, IL, USA. kormond@stanford.edu&lt;/auth-address&gt;&lt;titles&gt;&lt;title&gt;Assessing the understanding of biobank participants&lt;/title&gt;&lt;secondary-title&gt;Am J Med Genet A&lt;/secondary-title&gt;&lt;/titles&gt;&lt;periodical&gt;&lt;full-title&gt;Am J Med Genet A&lt;/full-title&gt;&lt;/periodical&gt;&lt;pages&gt;188-98&lt;/pages&gt;&lt;volume&gt;149A&lt;/volume&gt;&lt;number&gt;2&lt;/number&gt;&lt;keywords&gt;&lt;keyword&gt;Databases, Factual&lt;/keyword&gt;&lt;keyword&gt;*Databases, Nucleic Acid&lt;/keyword&gt;&lt;keyword&gt;Ethics Committees, Research/ethics&lt;/keyword&gt;&lt;keyword&gt;Genetic Predisposition to Disease/*genetics&lt;/keyword&gt;&lt;keyword&gt;Humans&lt;/keyword&gt;&lt;keyword&gt;Informed Consent/*standards&lt;/keyword&gt;&lt;keyword&gt;Interviews as Topic&lt;/keyword&gt;&lt;/keywords&gt;&lt;dates&gt;&lt;year&gt;2009&lt;/year&gt;&lt;pub-dates&gt;&lt;date&gt;Feb&lt;/date&gt;&lt;/pub-dates&gt;&lt;/dates&gt;&lt;accession-num&gt;19161150&lt;/accession-num&gt;&lt;urls&gt;&lt;related-urls&gt;&lt;url&gt;http://www.ncbi.nlm.nih.gov/entrez/query.fcgi?cmd=Retrieve&amp;amp;db=PubMed&amp;amp;dopt=Citation&amp;amp;list_uids=19161150 &lt;/url&gt;&lt;/related-urls&gt;&lt;/urls&gt;&lt;/record&gt;&lt;/Cite&gt;&lt;/EndNote&gt;</w:instrText>
      </w:r>
      <w:r w:rsidRPr="00873C4C">
        <w:rPr>
          <w:color w:val="000000"/>
        </w:rPr>
        <w:fldChar w:fldCharType="separate"/>
      </w:r>
      <w:r w:rsidR="006F41FE">
        <w:rPr>
          <w:noProof/>
          <w:color w:val="000000"/>
        </w:rPr>
        <w:t>(</w:t>
      </w:r>
      <w:hyperlink w:anchor="_ENREF_303" w:tooltip="Ormond, 2009 #90" w:history="1">
        <w:r w:rsidR="004A784D">
          <w:rPr>
            <w:noProof/>
            <w:color w:val="000000"/>
          </w:rPr>
          <w:t>Ormond et al., 2009</w:t>
        </w:r>
      </w:hyperlink>
      <w:r w:rsidR="006F41FE">
        <w:rPr>
          <w:noProof/>
          <w:color w:val="000000"/>
        </w:rPr>
        <w:t>)</w:t>
      </w:r>
      <w:r w:rsidRPr="00873C4C">
        <w:rPr>
          <w:color w:val="000000"/>
        </w:rPr>
        <w:fldChar w:fldCharType="end"/>
      </w:r>
      <w:r w:rsidRPr="00873C4C">
        <w:rPr>
          <w:color w:val="000000"/>
        </w:rPr>
        <w:t xml:space="preserve">. </w:t>
      </w:r>
    </w:p>
    <w:p w:rsidR="00FC1CBC" w:rsidRPr="00873C4C" w:rsidRDefault="00FC1CBC" w:rsidP="00057B42">
      <w:pPr>
        <w:spacing w:line="360" w:lineRule="auto"/>
        <w:jc w:val="both"/>
        <w:rPr>
          <w:color w:val="000000"/>
        </w:rPr>
      </w:pPr>
    </w:p>
    <w:p w:rsidR="00FA0918" w:rsidRPr="00873C4C" w:rsidRDefault="00FC1CBC" w:rsidP="00057B42">
      <w:pPr>
        <w:spacing w:line="360" w:lineRule="auto"/>
        <w:jc w:val="both"/>
        <w:rPr>
          <w:color w:val="000000"/>
        </w:rPr>
      </w:pPr>
      <w:r w:rsidRPr="00873C4C">
        <w:rPr>
          <w:color w:val="000000"/>
        </w:rPr>
        <w:t xml:space="preserve">Patient or volunteers also have the right to withdraw consent and to have their unused </w:t>
      </w:r>
      <w:r w:rsidR="00FA0918" w:rsidRPr="00873C4C">
        <w:rPr>
          <w:color w:val="000000"/>
        </w:rPr>
        <w:t xml:space="preserve">clinical </w:t>
      </w:r>
      <w:r w:rsidRPr="00873C4C">
        <w:rPr>
          <w:color w:val="000000"/>
        </w:rPr>
        <w:t xml:space="preserve">specimens removed or destroyed from the biological-bank. </w:t>
      </w:r>
    </w:p>
    <w:p w:rsidR="00FC1CBC" w:rsidRPr="00873C4C" w:rsidRDefault="00FC1CBC" w:rsidP="00057B42">
      <w:pPr>
        <w:spacing w:line="360" w:lineRule="auto"/>
        <w:jc w:val="both"/>
        <w:rPr>
          <w:color w:val="000000"/>
        </w:rPr>
      </w:pPr>
      <w:r w:rsidRPr="00873C4C">
        <w:rPr>
          <w:color w:val="000000"/>
        </w:rPr>
        <w:t>Care should be taken to minimize the risks to subjects, and ensure that risks do not outweigh the benefits of the expected findings from studies using the specimens</w:t>
      </w:r>
      <w:r w:rsidR="00FA0918" w:rsidRPr="00873C4C">
        <w:rPr>
          <w:color w:val="000000"/>
        </w:rPr>
        <w:t xml:space="preserve"> </w:t>
      </w:r>
      <w:r w:rsidRPr="00873C4C">
        <w:rPr>
          <w:color w:val="000000"/>
        </w:rPr>
        <w:fldChar w:fldCharType="begin"/>
      </w:r>
      <w:r w:rsidR="006F41FE">
        <w:rPr>
          <w:color w:val="000000"/>
        </w:rPr>
        <w:instrText xml:space="preserve"> ADDIN EN.CITE &lt;EndNote&gt;&lt;Cite&gt;&lt;Author&gt;Hofmann&lt;/Author&gt;&lt;Year&gt;2009&lt;/Year&gt;&lt;RecNum&gt;86&lt;/RecNum&gt;&lt;DisplayText&gt;(Hofmann, 2009)&lt;/DisplayText&gt;&lt;record&gt;&lt;rec-number&gt;86&lt;/rec-number&gt;&lt;ref-type name="Journal Article"&gt;17&lt;/ref-type&gt;&lt;contributors&gt;&lt;authors&gt;&lt;author&gt;Hofmann, B.&lt;/author&gt;&lt;/authors&gt;&lt;/contributors&gt;&lt;auth-address&gt;Faculty of Health Care and Nursing, University College of Gjovik, Blindern, Gjovik, Norway. bjoern.hofmann@hig.no&lt;/auth-address&gt;&lt;titles&gt;&lt;title&gt;Broadening consent--and diluting ethics?&lt;/title&gt;&lt;secondary-title&gt;J Med Ethics&lt;/secondary-title&gt;&lt;/titles&gt;&lt;periodical&gt;&lt;full-title&gt;J Med Ethics&lt;/full-title&gt;&lt;/periodical&gt;&lt;pages&gt;125-9&lt;/pages&gt;&lt;volume&gt;35&lt;/volume&gt;&lt;number&gt;2&lt;/number&gt;&lt;keywords&gt;&lt;keyword&gt;Ethics Committees, Research&lt;/keyword&gt;&lt;keyword&gt;Genetic Privacy/*ethics&lt;/keyword&gt;&lt;keyword&gt;Humans&lt;/keyword&gt;&lt;keyword&gt;Informed Consent/*ethics&lt;/keyword&gt;&lt;keyword&gt;Personal Autonomy&lt;/keyword&gt;&lt;keyword&gt;Research Subjects&lt;/keyword&gt;&lt;keyword&gt;Tissue Banks/*ethics&lt;/keyword&gt;&lt;keyword&gt;Tissue Donors/*ethics&lt;/keyword&gt;&lt;/keywords&gt;&lt;dates&gt;&lt;year&gt;2009&lt;/year&gt;&lt;pub-dates&gt;&lt;date&gt;Feb&lt;/date&gt;&lt;/pub-dates&gt;&lt;/dates&gt;&lt;accession-num&gt;19181887&lt;/accession-num&gt;&lt;urls&gt;&lt;related-urls&gt;&lt;url&gt;http://www.ncbi.nlm.nih.gov/entrez/query.fcgi?cmd=Retrieve&amp;amp;db=PubMed&amp;amp;dopt=Citation&amp;amp;list_uids=19181887 &lt;/url&gt;&lt;/related-urls&gt;&lt;/urls&gt;&lt;/record&gt;&lt;/Cite&gt;&lt;/EndNote&gt;</w:instrText>
      </w:r>
      <w:r w:rsidRPr="00873C4C">
        <w:rPr>
          <w:color w:val="000000"/>
        </w:rPr>
        <w:fldChar w:fldCharType="separate"/>
      </w:r>
      <w:r w:rsidR="006F41FE">
        <w:rPr>
          <w:noProof/>
          <w:color w:val="000000"/>
        </w:rPr>
        <w:t>(</w:t>
      </w:r>
      <w:hyperlink w:anchor="_ENREF_177" w:tooltip="Hofmann, 2009 #86" w:history="1">
        <w:r w:rsidR="004A784D">
          <w:rPr>
            <w:noProof/>
            <w:color w:val="000000"/>
          </w:rPr>
          <w:t>Hofmann, 2009</w:t>
        </w:r>
      </w:hyperlink>
      <w:r w:rsidR="006F41FE">
        <w:rPr>
          <w:noProof/>
          <w:color w:val="000000"/>
        </w:rPr>
        <w:t>)</w:t>
      </w:r>
      <w:r w:rsidRPr="00873C4C">
        <w:rPr>
          <w:color w:val="000000"/>
        </w:rPr>
        <w:fldChar w:fldCharType="end"/>
      </w:r>
      <w:r w:rsidRPr="00873C4C">
        <w:rPr>
          <w:color w:val="000000"/>
        </w:rPr>
        <w:t xml:space="preserve">. This includes minimizing physical risks and psychosocial risks associated with the collection of specimens and/or data and ensuring that the collection of specimens and data does not affect patient care </w:t>
      </w:r>
      <w:r w:rsidRPr="00873C4C">
        <w:rPr>
          <w:color w:val="000000"/>
        </w:rPr>
        <w:fldChar w:fldCharType="begin">
          <w:fldData xml:space="preserve">PEVuZE5vdGU+PENpdGU+PEF1dGhvcj5EZSBQYW9saTwvQXV0aG9yPjxZZWFyPjIwMDU8L1llYXI+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</w:fldData>
        </w:fldChar>
      </w:r>
      <w:r w:rsidR="006F41FE">
        <w:rPr>
          <w:color w:val="000000"/>
        </w:rPr>
        <w:instrText xml:space="preserve"> ADDIN EN.CITE </w:instrText>
      </w:r>
      <w:r w:rsidR="006F41FE">
        <w:rPr>
          <w:color w:val="000000"/>
        </w:rPr>
        <w:fldChar w:fldCharType="begin">
          <w:fldData xml:space="preserve">PEVuZE5vdGU+PENpdGU+PEF1dGhvcj5EZSBQYW9saTwvQXV0aG9yPjxZZWFyPjIwMDU8L1llYXI+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93" w:tooltip="De Paoli, 2005 #41" w:history="1">
        <w:r w:rsidR="004A784D">
          <w:rPr>
            <w:noProof/>
            <w:color w:val="000000"/>
          </w:rPr>
          <w:t>De Paoli, 2005</w:t>
        </w:r>
      </w:hyperlink>
      <w:r w:rsidR="006F41FE">
        <w:rPr>
          <w:noProof/>
          <w:color w:val="000000"/>
        </w:rPr>
        <w:t xml:space="preserve">, </w:t>
      </w:r>
      <w:hyperlink w:anchor="_ENREF_142" w:tooltip="Gertz, 2008 #87" w:history="1">
        <w:r w:rsidR="004A784D">
          <w:rPr>
            <w:noProof/>
            <w:color w:val="000000"/>
          </w:rPr>
          <w:t>Gertz, 2008</w:t>
        </w:r>
      </w:hyperlink>
      <w:r w:rsidR="006F41FE">
        <w:rPr>
          <w:noProof/>
          <w:color w:val="000000"/>
        </w:rPr>
        <w:t>)</w:t>
      </w:r>
      <w:r w:rsidRPr="00873C4C">
        <w:rPr>
          <w:color w:val="000000"/>
        </w:rPr>
        <w:fldChar w:fldCharType="end"/>
      </w:r>
      <w:r w:rsidRPr="00873C4C">
        <w:rPr>
          <w:color w:val="000000"/>
        </w:rPr>
        <w:t>.</w:t>
      </w:r>
    </w:p>
    <w:p w:rsidR="009F1EF9" w:rsidRPr="00873C4C" w:rsidRDefault="009F1EF9" w:rsidP="00057B42">
      <w:pPr>
        <w:spacing w:line="360" w:lineRule="auto"/>
        <w:jc w:val="both"/>
        <w:rPr>
          <w:color w:val="000000"/>
        </w:rPr>
      </w:pPr>
    </w:p>
    <w:p w:rsidR="00FC1CBC" w:rsidRPr="00873C4C" w:rsidRDefault="0092498C" w:rsidP="00645687">
      <w:pPr>
        <w:pStyle w:val="Heading4"/>
      </w:pPr>
      <w:bookmarkStart w:id="352" w:name="_Toc260495800"/>
      <w:bookmarkStart w:id="353" w:name="_Toc260496051"/>
      <w:bookmarkStart w:id="354" w:name="_Toc260500444"/>
      <w:bookmarkStart w:id="355" w:name="_Toc261098470"/>
      <w:bookmarkStart w:id="356" w:name="_Toc305759134"/>
      <w:r w:rsidRPr="00873C4C">
        <w:tab/>
      </w:r>
      <w:bookmarkStart w:id="357" w:name="_Toc306570562"/>
      <w:bookmarkStart w:id="358" w:name="_Toc307067627"/>
      <w:bookmarkStart w:id="359" w:name="_Toc312169186"/>
      <w:bookmarkStart w:id="360" w:name="_Toc312172113"/>
      <w:bookmarkStart w:id="361" w:name="_Toc312257662"/>
      <w:r w:rsidR="00FC1CBC" w:rsidRPr="00873C4C">
        <w:t>Privacy and Confidentiality</w:t>
      </w:r>
      <w:bookmarkEnd w:id="352"/>
      <w:bookmarkEnd w:id="353"/>
      <w:bookmarkEnd w:id="354"/>
      <w:bookmarkEnd w:id="355"/>
      <w:bookmarkEnd w:id="356"/>
      <w:bookmarkEnd w:id="357"/>
      <w:bookmarkEnd w:id="358"/>
      <w:bookmarkEnd w:id="359"/>
      <w:bookmarkEnd w:id="360"/>
      <w:bookmarkEnd w:id="361"/>
    </w:p>
    <w:p w:rsidR="009B73EA" w:rsidRPr="00873C4C" w:rsidRDefault="009B73EA" w:rsidP="00057B42">
      <w:pPr>
        <w:spacing w:before="240" w:line="360" w:lineRule="auto"/>
        <w:jc w:val="both"/>
        <w:rPr>
          <w:color w:val="000000"/>
        </w:rPr>
      </w:pPr>
      <w:r w:rsidRPr="00873C4C">
        <w:rPr>
          <w:color w:val="000000"/>
          <w:lang w:val="en-US"/>
        </w:rPr>
        <w:t xml:space="preserve">The informational privacy is the most fundamental in relation to biological banks. </w:t>
      </w:r>
      <w:r w:rsidRPr="00873C4C">
        <w:rPr>
          <w:color w:val="000000"/>
        </w:rPr>
        <w:t xml:space="preserve">In the EU, the patients Data and samples stores in biological bank can only be used for ethically and scientifically approved research.  Strong safeguards </w:t>
      </w:r>
      <w:r w:rsidR="00FA0918" w:rsidRPr="00873C4C">
        <w:rPr>
          <w:color w:val="000000"/>
        </w:rPr>
        <w:t>should be</w:t>
      </w:r>
      <w:r w:rsidRPr="00873C4C">
        <w:rPr>
          <w:color w:val="000000"/>
        </w:rPr>
        <w:t xml:space="preserve"> maintained to ensure that the conf</w:t>
      </w:r>
      <w:r w:rsidR="00FA0918" w:rsidRPr="00873C4C">
        <w:rPr>
          <w:color w:val="000000"/>
        </w:rPr>
        <w:t>identiality of the participant’s</w:t>
      </w:r>
      <w:r w:rsidRPr="00873C4C">
        <w:rPr>
          <w:color w:val="000000"/>
        </w:rPr>
        <w:t xml:space="preserve"> data and samples </w:t>
      </w:r>
      <w:r w:rsidR="00FA0918" w:rsidRPr="00873C4C">
        <w:rPr>
          <w:color w:val="000000"/>
        </w:rPr>
        <w:t>are</w:t>
      </w:r>
      <w:r w:rsidRPr="00873C4C">
        <w:rPr>
          <w:color w:val="000000"/>
        </w:rPr>
        <w:t xml:space="preserve"> respected.  Only anonyms data are available for research</w:t>
      </w:r>
      <w:r w:rsidR="00FA0918" w:rsidRPr="00873C4C">
        <w:rPr>
          <w:color w:val="000000"/>
        </w:rPr>
        <w:t xml:space="preserve"> only purposes </w:t>
      </w:r>
      <w:r w:rsidRPr="00873C4C">
        <w:rPr>
          <w:color w:val="000000"/>
        </w:rPr>
        <w:t xml:space="preserve"> </w:t>
      </w:r>
      <w:r w:rsidRPr="00873C4C">
        <w:rPr>
          <w:color w:val="000000"/>
        </w:rPr>
        <w:fldChar w:fldCharType="begin"/>
      </w:r>
      <w:r w:rsidR="006F41FE">
        <w:rPr>
          <w:color w:val="000000"/>
        </w:rPr>
        <w:instrText xml:space="preserve"> ADDIN EN.CITE &lt;EndNote&gt;&lt;Cite&gt;&lt;Author&gt;Gilbertson&lt;/Author&gt;&lt;Year&gt;2004&lt;/Year&gt;&lt;RecNum&gt;53&lt;/RecNum&gt;&lt;DisplayText&gt;(Gilbertson et al., 2004)&lt;/DisplayText&gt;&lt;record&gt;&lt;rec-number&gt;53&lt;/rec-number&gt;&lt;ref-type name="Journal Article"&gt;17&lt;/ref-type&gt;&lt;contributors&gt;&lt;authors&gt;&lt;author&gt;Gilbertson, J. R.&lt;/author&gt;&lt;author&gt;Gupta, R.&lt;/author&gt;&lt;author&gt;Nie, Y.&lt;/author&gt;&lt;author&gt;Patel, A. A.&lt;/author&gt;&lt;author&gt;Becich, M. J.&lt;/author&gt;&lt;/authors&gt;&lt;/contributors&gt;&lt;auth-address&gt;Center for Pathology Informatics, Department of Pathology, Benedum Oncology Informatics Center, University Cancer Institute, University of Pittsburgh Medical School, 5150 Centre Avenue, Pittsburgh, PA 15232, USA. GilbertsonJR@upmc.edu&lt;/auth-address&gt;&lt;titles&gt;&lt;title&gt;Automated clinical annotation of tissue bank specimens&lt;/title&gt;&lt;secondary-title&gt;Stud Health Technol Inform&lt;/secondary-title&gt;&lt;/titles&gt;&lt;periodical&gt;&lt;full-title&gt;Stud Health Technol Inform&lt;/full-title&gt;&lt;/periodical&gt;&lt;pages&gt;607-10&lt;/pages&gt;&lt;volume&gt;107&lt;/volume&gt;&lt;number&gt;Pt 1&lt;/number&gt;&lt;keywords&gt;&lt;keyword&gt;Clinical Laboratory Information Systems&lt;/keyword&gt;&lt;keyword&gt;Hospital Information Systems&lt;/keyword&gt;&lt;keyword&gt;Humans&lt;/keyword&gt;&lt;keyword&gt;*Medical Informatics Applications&lt;/keyword&gt;&lt;keyword&gt;Neoplasms/pathology&lt;/keyword&gt;&lt;keyword&gt;Pathology, Clinical/organization &amp;amp; administration&lt;/keyword&gt;&lt;keyword&gt;Registries&lt;/keyword&gt;&lt;keyword&gt;Systems Integration&lt;/keyword&gt;&lt;keyword&gt;*Tissue Banks&lt;/keyword&gt;&lt;/keywords&gt;&lt;dates&gt;&lt;year&gt;2004&lt;/year&gt;&lt;/dates&gt;&lt;accession-num&gt;15360884&lt;/accession-num&gt;&lt;urls&gt;&lt;related-urls&gt;&lt;url&gt;http://www.ncbi.nlm.nih.gov/entrez/query.fcgi?cmd=Retrieve&amp;amp;db=PubMed&amp;amp;dopt=Citation&amp;amp;list_uids=15360884 &lt;/url&gt;&lt;/related-urls&gt;&lt;/urls&gt;&lt;/record&gt;&lt;/Cite&gt;&lt;/EndNote&gt;</w:instrText>
      </w:r>
      <w:r w:rsidRPr="00873C4C">
        <w:rPr>
          <w:color w:val="000000"/>
        </w:rPr>
        <w:fldChar w:fldCharType="separate"/>
      </w:r>
      <w:r w:rsidR="006F41FE">
        <w:rPr>
          <w:noProof/>
          <w:color w:val="000000"/>
        </w:rPr>
        <w:t>(</w:t>
      </w:r>
      <w:hyperlink w:anchor="_ENREF_144" w:tooltip="Gilbertson, 2004 #53" w:history="1">
        <w:r w:rsidR="004A784D">
          <w:rPr>
            <w:noProof/>
            <w:color w:val="000000"/>
          </w:rPr>
          <w:t>Gilbertson et al., 2004</w:t>
        </w:r>
      </w:hyperlink>
      <w:r w:rsidR="006F41FE">
        <w:rPr>
          <w:noProof/>
          <w:color w:val="000000"/>
        </w:rPr>
        <w:t>)</w:t>
      </w:r>
      <w:r w:rsidRPr="00873C4C">
        <w:rPr>
          <w:color w:val="000000"/>
        </w:rPr>
        <w:fldChar w:fldCharType="end"/>
      </w:r>
      <w:r w:rsidRPr="00873C4C">
        <w:rPr>
          <w:color w:val="000000"/>
        </w:rPr>
        <w:t xml:space="preserve">. </w:t>
      </w:r>
    </w:p>
    <w:p w:rsidR="00CE7847" w:rsidRDefault="00CE7847" w:rsidP="00057B42">
      <w:pPr>
        <w:spacing w:line="360" w:lineRule="auto"/>
        <w:jc w:val="both"/>
        <w:rPr>
          <w:color w:val="000000"/>
        </w:rPr>
      </w:pPr>
    </w:p>
    <w:p w:rsidR="009B73EA" w:rsidRDefault="009B73EA" w:rsidP="00057B42">
      <w:pPr>
        <w:spacing w:line="360" w:lineRule="auto"/>
        <w:jc w:val="both"/>
        <w:rPr>
          <w:color w:val="000000"/>
        </w:rPr>
      </w:pPr>
      <w:r w:rsidRPr="00873C4C">
        <w:rPr>
          <w:color w:val="000000"/>
        </w:rPr>
        <w:t xml:space="preserve">Therefore biological bank should follow well-documented </w:t>
      </w:r>
      <w:r w:rsidR="00FA0918" w:rsidRPr="00873C4C">
        <w:rPr>
          <w:color w:val="000000"/>
        </w:rPr>
        <w:t>measures</w:t>
      </w:r>
      <w:r w:rsidRPr="00873C4C">
        <w:rPr>
          <w:color w:val="000000"/>
        </w:rPr>
        <w:t xml:space="preserve"> to protect the privacy and confidentiality of the subjects from whom the specimens and/or data are obtained. These may include completely</w:t>
      </w:r>
      <w:r w:rsidR="00FB25F3">
        <w:rPr>
          <w:color w:val="000000"/>
        </w:rPr>
        <w:t xml:space="preserve"> </w:t>
      </w:r>
      <w:r w:rsidR="00FB25F3" w:rsidRPr="00FB25F3">
        <w:rPr>
          <w:color w:val="000000"/>
        </w:rPr>
        <w:t>anonymising</w:t>
      </w:r>
      <w:r w:rsidRPr="00873C4C">
        <w:rPr>
          <w:color w:val="000000"/>
        </w:rPr>
        <w:t xml:space="preserve"> specimens and data, where appropriate or assigning a unique code and removing all identifying informat</w:t>
      </w:r>
      <w:r w:rsidR="00FA0918" w:rsidRPr="00873C4C">
        <w:rPr>
          <w:color w:val="000000"/>
        </w:rPr>
        <w:t>ion from the specimens and data.</w:t>
      </w:r>
      <w:r w:rsidRPr="00873C4C">
        <w:rPr>
          <w:color w:val="000000"/>
        </w:rPr>
        <w:t xml:space="preserve"> </w:t>
      </w:r>
      <w:r w:rsidR="00FA0918" w:rsidRPr="00873C4C">
        <w:rPr>
          <w:color w:val="000000"/>
        </w:rPr>
        <w:t xml:space="preserve">These </w:t>
      </w:r>
      <w:r w:rsidRPr="00873C4C">
        <w:rPr>
          <w:color w:val="000000"/>
        </w:rPr>
        <w:t xml:space="preserve">specimens </w:t>
      </w:r>
      <w:r w:rsidR="00FA0918" w:rsidRPr="00873C4C">
        <w:rPr>
          <w:color w:val="000000"/>
        </w:rPr>
        <w:t xml:space="preserve">should </w:t>
      </w:r>
      <w:r w:rsidR="00647448" w:rsidRPr="00873C4C">
        <w:rPr>
          <w:color w:val="000000"/>
        </w:rPr>
        <w:t>store</w:t>
      </w:r>
      <w:r w:rsidR="00FA0918" w:rsidRPr="00873C4C">
        <w:rPr>
          <w:color w:val="000000"/>
        </w:rPr>
        <w:t xml:space="preserve"> </w:t>
      </w:r>
      <w:r w:rsidRPr="00873C4C">
        <w:rPr>
          <w:color w:val="000000"/>
        </w:rPr>
        <w:t xml:space="preserve">securely, restricting </w:t>
      </w:r>
      <w:r w:rsidRPr="00873C4C">
        <w:rPr>
          <w:color w:val="000000"/>
        </w:rPr>
        <w:lastRenderedPageBreak/>
        <w:t xml:space="preserve">access to </w:t>
      </w:r>
      <w:r w:rsidR="00FA0918" w:rsidRPr="00873C4C">
        <w:rPr>
          <w:color w:val="000000"/>
        </w:rPr>
        <w:t xml:space="preserve">the </w:t>
      </w:r>
      <w:r w:rsidRPr="00873C4C">
        <w:rPr>
          <w:color w:val="000000"/>
        </w:rPr>
        <w:t xml:space="preserve">specimens and </w:t>
      </w:r>
      <w:r w:rsidR="00FA0918" w:rsidRPr="00873C4C">
        <w:rPr>
          <w:color w:val="000000"/>
        </w:rPr>
        <w:t xml:space="preserve">may also further securing by </w:t>
      </w:r>
      <w:r w:rsidRPr="00873C4C">
        <w:rPr>
          <w:color w:val="000000"/>
        </w:rPr>
        <w:t xml:space="preserve">providing password protracted data </w:t>
      </w:r>
      <w:r w:rsidRPr="00873C4C">
        <w:rPr>
          <w:color w:val="000000"/>
        </w:rPr>
        <w:fldChar w:fldCharType="begin"/>
      </w:r>
      <w:r w:rsidR="006F41FE">
        <w:rPr>
          <w:color w:val="000000"/>
        </w:rPr>
        <w:instrText xml:space="preserve"> ADDIN EN.CITE &lt;EndNote&gt;&lt;Cite&gt;&lt;Author&gt;De Paoli&lt;/Author&gt;&lt;Year&gt;2005&lt;/Year&gt;&lt;RecNum&gt;41&lt;/RecNum&gt;&lt;DisplayText&gt;(De Paoli, 2005)&lt;/DisplayText&gt;&lt;record&gt;&lt;rec-number&gt;41&lt;/rec-number&gt;&lt;ref-type name="Journal Article"&gt;17&lt;/ref-type&gt;&lt;contributors&gt;&lt;authors&gt;&lt;author&gt;De Paoli, P.&lt;/author&gt;&lt;/authors&gt;&lt;/contributors&gt;&lt;auth-address&gt;Division of Microbiology, Immunology and Virology, Centro di Riferimento Oncologico, IRCCS, via Pedemontana 12, 33170 Aviano, Italy. pdepaoli@cro.it&lt;/auth-address&gt;&lt;titles&gt;&lt;title&gt;Bio-banking in microbiology: from sample collection to epidemiology, diagnosis and research&lt;/title&gt;&lt;secondary-title&gt;FEMS Microbiol Rev&lt;/secondary-title&gt;&lt;/titles&gt;&lt;periodical&gt;&lt;full-title&gt;FEMS Microbiol Rev&lt;/full-title&gt;&lt;/periodical&gt;&lt;pages&gt;897-910&lt;/pages&gt;&lt;volume&gt;29&lt;/volume&gt;&lt;number&gt;5&lt;/number&gt;&lt;keywords&gt;&lt;keyword&gt;Animals&lt;/keyword&gt;&lt;keyword&gt;Bacteria/growth &amp;amp; development&lt;/keyword&gt;&lt;keyword&gt;*Biological Specimen Banks/organization &amp;amp; administration/standards&lt;/keyword&gt;&lt;keyword&gt;Cell Line&lt;/keyword&gt;&lt;keyword&gt;Cryopreservation&lt;/keyword&gt;&lt;keyword&gt;Freeze Drying&lt;/keyword&gt;&lt;keyword&gt;Fungi/growth &amp;amp; development&lt;/keyword&gt;&lt;keyword&gt;Humans&lt;/keyword&gt;&lt;keyword&gt;*Infection/diagnosis/epidemiology/etiology&lt;/keyword&gt;&lt;keyword&gt;Parasites/growth &amp;amp; development&lt;/keyword&gt;&lt;keyword&gt;Quality Control&lt;/keyword&gt;&lt;keyword&gt;Research&lt;/keyword&gt;&lt;keyword&gt;Specimen Handling/*methods&lt;/keyword&gt;&lt;keyword&gt;Viruses/growth &amp;amp; development&lt;/keyword&gt;&lt;/keywords&gt;&lt;dates&gt;&lt;year&gt;2005&lt;/year&gt;&lt;pub-dates&gt;&lt;date&gt;Nov&lt;/date&gt;&lt;/pub-dates&gt;&lt;/dates&gt;&lt;accession-num&gt;16219511&lt;/accession-num&gt;&lt;urls&gt;&lt;related-urls&gt;&lt;url&gt;http://www.ncbi.nlm.nih.gov/entrez/query.fcgi?cmd=Retrieve&amp;amp;db=PubMed&amp;amp;dopt=Citation&amp;amp;list_uids=16219511 &lt;/url&gt;&lt;/related-urls&gt;&lt;/urls&gt;&lt;/record&gt;&lt;/Cite&gt;&lt;/EndNote&gt;</w:instrText>
      </w:r>
      <w:r w:rsidRPr="00873C4C">
        <w:rPr>
          <w:color w:val="000000"/>
        </w:rPr>
        <w:fldChar w:fldCharType="separate"/>
      </w:r>
      <w:r w:rsidR="006F41FE">
        <w:rPr>
          <w:noProof/>
          <w:color w:val="000000"/>
        </w:rPr>
        <w:t>(</w:t>
      </w:r>
      <w:hyperlink w:anchor="_ENREF_93" w:tooltip="De Paoli, 2005 #41" w:history="1">
        <w:r w:rsidR="004A784D">
          <w:rPr>
            <w:noProof/>
            <w:color w:val="000000"/>
          </w:rPr>
          <w:t>De Paoli, 2005</w:t>
        </w:r>
      </w:hyperlink>
      <w:r w:rsidR="006F41FE">
        <w:rPr>
          <w:noProof/>
          <w:color w:val="000000"/>
        </w:rPr>
        <w:t>)</w:t>
      </w:r>
      <w:r w:rsidRPr="00873C4C">
        <w:rPr>
          <w:color w:val="000000"/>
        </w:rPr>
        <w:fldChar w:fldCharType="end"/>
      </w:r>
      <w:r w:rsidRPr="00873C4C">
        <w:rPr>
          <w:color w:val="000000"/>
        </w:rPr>
        <w:t xml:space="preserve">. </w:t>
      </w:r>
    </w:p>
    <w:p w:rsidR="00FB25F3" w:rsidRPr="00873C4C" w:rsidRDefault="00FB25F3" w:rsidP="00057B42">
      <w:pPr>
        <w:spacing w:line="360" w:lineRule="auto"/>
        <w:jc w:val="both"/>
        <w:rPr>
          <w:color w:val="000000"/>
        </w:rPr>
      </w:pPr>
    </w:p>
    <w:p w:rsidR="00FC1CBC" w:rsidRPr="00873C4C" w:rsidRDefault="00BA1CCC" w:rsidP="00645687">
      <w:pPr>
        <w:pStyle w:val="Heading4"/>
      </w:pPr>
      <w:bookmarkStart w:id="362" w:name="_Toc260495801"/>
      <w:bookmarkStart w:id="363" w:name="_Toc260496052"/>
      <w:bookmarkStart w:id="364" w:name="_Toc260500445"/>
      <w:bookmarkStart w:id="365" w:name="_Toc261098471"/>
      <w:r w:rsidRPr="00873C4C">
        <w:tab/>
      </w:r>
      <w:bookmarkStart w:id="366" w:name="_Toc305759135"/>
      <w:bookmarkStart w:id="367" w:name="_Toc306570563"/>
      <w:bookmarkStart w:id="368" w:name="_Toc307067628"/>
      <w:bookmarkStart w:id="369" w:name="_Toc312169187"/>
      <w:bookmarkStart w:id="370" w:name="_Toc312172114"/>
      <w:bookmarkStart w:id="371" w:name="_Toc312257663"/>
      <w:r w:rsidR="009B73EA" w:rsidRPr="00873C4C">
        <w:t>Sharing and Distribution of Specimens</w:t>
      </w:r>
      <w:bookmarkEnd w:id="362"/>
      <w:bookmarkEnd w:id="363"/>
      <w:bookmarkEnd w:id="364"/>
      <w:bookmarkEnd w:id="365"/>
      <w:bookmarkEnd w:id="366"/>
      <w:bookmarkEnd w:id="367"/>
      <w:bookmarkEnd w:id="368"/>
      <w:bookmarkEnd w:id="369"/>
      <w:bookmarkEnd w:id="370"/>
      <w:bookmarkEnd w:id="371"/>
    </w:p>
    <w:p w:rsidR="009B73EA" w:rsidRPr="00873C4C" w:rsidRDefault="009B73EA" w:rsidP="003C0D79">
      <w:pPr>
        <w:spacing w:before="240" w:line="360" w:lineRule="auto"/>
        <w:jc w:val="both"/>
        <w:rPr>
          <w:color w:val="000000"/>
        </w:rPr>
      </w:pPr>
      <w:r w:rsidRPr="00873C4C">
        <w:rPr>
          <w:color w:val="000000"/>
        </w:rPr>
        <w:t>Mechanisms should be in place to maintain the quality of specimens and data, protect subject privacy and confidentiality, and to make sure that specimens are shared in a manner that is consistent with any consent obtained for the specimens.</w:t>
      </w:r>
      <w:r w:rsidR="003C663E">
        <w:rPr>
          <w:color w:val="000000"/>
        </w:rPr>
        <w:t xml:space="preserve"> </w:t>
      </w:r>
      <w:r w:rsidRPr="00873C4C">
        <w:rPr>
          <w:color w:val="000000"/>
        </w:rPr>
        <w:t>Biological bank should have well-established policies for sharing and distributing specimens and clear and transparent procedures for determining what constitutes appropriate research uses of the specimens and/or data. Requests to use samples should undergo some level of scientific review. This maybe is based on considerations such as the scientific merit and potential impact of the proposed research. Wherever possible, specimens and/or data should be distributed with identifying information removed</w:t>
      </w:r>
      <w:r w:rsidR="00472EE1">
        <w:rPr>
          <w:color w:val="000000"/>
        </w:rPr>
        <w:t xml:space="preserve"> </w:t>
      </w:r>
      <w:r w:rsidR="00472EE1">
        <w:rPr>
          <w:color w:val="000000"/>
        </w:rPr>
        <w:fldChar w:fldCharType="begin">
          <w:fldData xml:space="preserve">PEVuZE5vdGU+PENpdGU+PEF1dGhvcj5QZWdnPC9BdXRob3I+PFllYXI+MjAwNjwvWWVhcj48UmVj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</w:fldData>
        </w:fldChar>
      </w:r>
      <w:r w:rsidR="00472EE1">
        <w:rPr>
          <w:color w:val="000000"/>
        </w:rPr>
        <w:instrText xml:space="preserve"> ADDIN EN.CITE </w:instrText>
      </w:r>
      <w:r w:rsidR="00472EE1">
        <w:rPr>
          <w:color w:val="000000"/>
        </w:rPr>
        <w:fldChar w:fldCharType="begin">
          <w:fldData xml:space="preserve">PEVuZE5vdGU+PENpdGU+PEF1dGhvcj5QZWdnPC9BdXRob3I+PFllYXI+MjAwNjwvWWVhcj48UmVj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</w:fldData>
        </w:fldChar>
      </w:r>
      <w:r w:rsidR="00472EE1">
        <w:rPr>
          <w:color w:val="000000"/>
        </w:rPr>
        <w:instrText xml:space="preserve"> ADDIN EN.CITE.DATA </w:instrText>
      </w:r>
      <w:r w:rsidR="00472EE1">
        <w:rPr>
          <w:color w:val="000000"/>
        </w:rPr>
      </w:r>
      <w:r w:rsidR="00472EE1">
        <w:rPr>
          <w:color w:val="000000"/>
        </w:rPr>
        <w:fldChar w:fldCharType="end"/>
      </w:r>
      <w:r w:rsidR="00472EE1">
        <w:rPr>
          <w:color w:val="000000"/>
        </w:rPr>
      </w:r>
      <w:r w:rsidR="00472EE1">
        <w:rPr>
          <w:color w:val="000000"/>
        </w:rPr>
        <w:fldChar w:fldCharType="separate"/>
      </w:r>
      <w:r w:rsidR="00472EE1">
        <w:rPr>
          <w:noProof/>
          <w:color w:val="000000"/>
        </w:rPr>
        <w:t>(</w:t>
      </w:r>
      <w:hyperlink w:anchor="_ENREF_319" w:tooltip="Pegg, 2006 #5047" w:history="1">
        <w:r w:rsidR="004A784D">
          <w:rPr>
            <w:noProof/>
            <w:color w:val="000000"/>
          </w:rPr>
          <w:t>Pegg, 2006</w:t>
        </w:r>
      </w:hyperlink>
      <w:r w:rsidR="00472EE1">
        <w:rPr>
          <w:noProof/>
          <w:color w:val="000000"/>
        </w:rPr>
        <w:t xml:space="preserve">, </w:t>
      </w:r>
      <w:hyperlink w:anchor="_ENREF_420" w:tooltip="Tjonneland, 2003 #5053" w:history="1">
        <w:r w:rsidR="004A784D">
          <w:rPr>
            <w:noProof/>
            <w:color w:val="000000"/>
          </w:rPr>
          <w:t>Tjonneland and Olsen, 2003</w:t>
        </w:r>
      </w:hyperlink>
      <w:r w:rsidR="00472EE1">
        <w:rPr>
          <w:noProof/>
          <w:color w:val="000000"/>
        </w:rPr>
        <w:t>)</w:t>
      </w:r>
      <w:r w:rsidR="00472EE1">
        <w:rPr>
          <w:color w:val="000000"/>
        </w:rPr>
        <w:fldChar w:fldCharType="end"/>
      </w:r>
      <w:r w:rsidRPr="00873C4C">
        <w:rPr>
          <w:color w:val="000000"/>
        </w:rPr>
        <w:t xml:space="preserve">. </w:t>
      </w:r>
    </w:p>
    <w:p w:rsidR="00D509EE" w:rsidRPr="00873C4C" w:rsidRDefault="00D509EE" w:rsidP="00645687">
      <w:pPr>
        <w:pStyle w:val="Heading2"/>
      </w:pPr>
      <w:r w:rsidRPr="00873C4C">
        <w:br w:type="page"/>
      </w:r>
      <w:bookmarkStart w:id="372" w:name="_Toc305759136"/>
      <w:bookmarkStart w:id="373" w:name="_Toc306570564"/>
      <w:bookmarkStart w:id="374" w:name="_Toc307067629"/>
      <w:r w:rsidR="002D63A8">
        <w:lastRenderedPageBreak/>
        <w:tab/>
      </w:r>
      <w:bookmarkStart w:id="375" w:name="_Toc312169188"/>
      <w:bookmarkStart w:id="376" w:name="_Toc312172115"/>
      <w:bookmarkStart w:id="377" w:name="_Toc312257664"/>
      <w:r w:rsidRPr="00873C4C">
        <w:t>Biomarkers in Body Fluids</w:t>
      </w:r>
      <w:bookmarkEnd w:id="372"/>
      <w:bookmarkEnd w:id="373"/>
      <w:bookmarkEnd w:id="374"/>
      <w:bookmarkEnd w:id="375"/>
      <w:bookmarkEnd w:id="376"/>
      <w:bookmarkEnd w:id="377"/>
    </w:p>
    <w:p w:rsidR="00D509EE" w:rsidRPr="00873C4C" w:rsidRDefault="00D509EE" w:rsidP="0063683C">
      <w:pPr>
        <w:spacing w:before="240" w:line="360" w:lineRule="auto"/>
        <w:jc w:val="both"/>
        <w:rPr>
          <w:color w:val="000000"/>
        </w:rPr>
      </w:pPr>
      <w:r w:rsidRPr="00873C4C">
        <w:rPr>
          <w:color w:val="000000"/>
        </w:rPr>
        <w:t xml:space="preserve">The first decision to be made in a search for a biomarker is whether to look in a body fluid or a tissue. Body fluids have the advantage of being more easily accessible and are more likely to be of clinical use because serum or urine can be obtained by </w:t>
      </w:r>
      <w:r w:rsidR="007E0B77" w:rsidRPr="00873C4C">
        <w:rPr>
          <w:color w:val="000000"/>
        </w:rPr>
        <w:t>non-invasive</w:t>
      </w:r>
      <w:r w:rsidRPr="00873C4C">
        <w:rPr>
          <w:color w:val="000000"/>
        </w:rPr>
        <w:t xml:space="preserve"> methods as a routine (Jain</w:t>
      </w:r>
      <w:r w:rsidR="00BA5C09">
        <w:rPr>
          <w:color w:val="000000"/>
        </w:rPr>
        <w:t xml:space="preserve"> et al.,</w:t>
      </w:r>
      <w:r w:rsidRPr="00873C4C">
        <w:rPr>
          <w:color w:val="000000"/>
        </w:rPr>
        <w:t xml:space="preserve"> 2007). However, plasma (together with serum) is the largest and deepest version of the human proteome and presents challenges for the investigators.</w:t>
      </w:r>
      <w:r w:rsidR="00BA5C09">
        <w:rPr>
          <w:color w:val="000000"/>
        </w:rPr>
        <w:t xml:space="preserve"> </w:t>
      </w:r>
      <w:r w:rsidR="00BA5C09" w:rsidRPr="00BA5C09">
        <w:rPr>
          <w:color w:val="000000"/>
        </w:rPr>
        <w:t>The emerging scientific field of proteomics encompasses the identification, characterization, and quantification of the protein content or proteome of whole cells, tissues, or body fluids</w:t>
      </w:r>
      <w:r w:rsidR="003623C2">
        <w:rPr>
          <w:color w:val="000000"/>
        </w:rPr>
        <w:t xml:space="preserve"> </w:t>
      </w:r>
      <w:r w:rsidR="003623C2">
        <w:rPr>
          <w:color w:val="000000"/>
        </w:rPr>
        <w:fldChar w:fldCharType="begin"/>
      </w:r>
      <w:r w:rsidR="003623C2">
        <w:rPr>
          <w:color w:val="000000"/>
        </w:rPr>
        <w:instrText xml:space="preserve"> ADDIN EN.CITE &lt;EndNote&gt;&lt;Cite&gt;&lt;Author&gt;Hudler&lt;/Author&gt;&lt;Year&gt;2010&lt;/Year&gt;&lt;RecNum&gt;5097&lt;/RecNum&gt;&lt;DisplayText&gt;(Hudler et al., 2010)&lt;/DisplayText&gt;&lt;record&gt;&lt;rec-number&gt;5097&lt;/rec-number&gt;&lt;foreign-keys&gt;&lt;key app="EN" db-id="zf0awxsaczrdd3eft5qvw9wrtxxawdfrvw2a"&gt;5097&lt;/key&gt;&lt;/foreign-keys&gt;&lt;ref-type name="Journal Article"&gt;17&lt;/ref-type&gt;&lt;contributors&gt;&lt;authors&gt;&lt;author&gt;Hudler, P.&lt;/author&gt;&lt;author&gt;Gorsic, M.&lt;/author&gt;&lt;author&gt;Komel, R.&lt;/author&gt;&lt;/authors&gt;&lt;/contributors&gt;&lt;auth-address&gt;Medical Centre for Molecular Biology, Faculty of Medicine, University of Ljubljana, 1000 Ljubljana, Slovenia.&lt;/auth-address&gt;&lt;titles&gt;&lt;title&gt;Proteomic strategies and challenges in tumor metastasis research&lt;/title&gt;&lt;secondary-title&gt;Clin Exp Metastasis&lt;/secondary-title&gt;&lt;/titles&gt;&lt;periodical&gt;&lt;full-title&gt;Clin Exp Metastasis&lt;/full-title&gt;&lt;/periodical&gt;&lt;pages&gt;441-51&lt;/pages&gt;&lt;volume&gt;27&lt;/volume&gt;&lt;number&gt;6&lt;/number&gt;&lt;edition&gt;2010/07/08&lt;/edition&gt;&lt;keywords&gt;&lt;keyword&gt;Computational Biology&lt;/keyword&gt;&lt;keyword&gt;Electrophoresis, Polyacrylamide Gel&lt;/keyword&gt;&lt;keyword&gt;Humans&lt;/keyword&gt;&lt;keyword&gt;Mass Spectrometry&lt;/keyword&gt;&lt;keyword&gt;Neoplasm Metastasis/*genetics&lt;/keyword&gt;&lt;keyword&gt;Protein Array Analysis&lt;/keyword&gt;&lt;keyword&gt;Proteomics/*methods&lt;/keyword&gt;&lt;keyword&gt;Tumor Markers, Biological/analysis&lt;/keyword&gt;&lt;/keywords&gt;&lt;dates&gt;&lt;year&gt;2010&lt;/year&gt;&lt;pub-dates&gt;&lt;date&gt;Aug&lt;/date&gt;&lt;/pub-dates&gt;&lt;/dates&gt;&lt;isbn&gt;1573-7276 (Electronic)&amp;#xD;0262-0898 (Linking)&lt;/isbn&gt;&lt;accession-num&gt;20607365&lt;/accession-num&gt;&lt;urls&gt;&lt;related-urls&gt;&lt;url&gt;http://www.ncbi.nlm.nih.gov/pubmed/20607365&lt;/url&gt;&lt;/related-urls&gt;&lt;/urls&gt;&lt;electronic-resource-num&gt;10.1007/s10585-010-9339-7&lt;/electronic-resource-num&gt;&lt;language&gt;eng&lt;/language&gt;&lt;/record&gt;&lt;/Cite&gt;&lt;/EndNote&gt;</w:instrText>
      </w:r>
      <w:r w:rsidR="003623C2">
        <w:rPr>
          <w:color w:val="000000"/>
        </w:rPr>
        <w:fldChar w:fldCharType="separate"/>
      </w:r>
      <w:r w:rsidR="003623C2">
        <w:rPr>
          <w:noProof/>
          <w:color w:val="000000"/>
        </w:rPr>
        <w:t>(</w:t>
      </w:r>
      <w:hyperlink w:anchor="_ENREF_186" w:tooltip="Hudler, 2010 #5097" w:history="1">
        <w:r w:rsidR="004A784D">
          <w:rPr>
            <w:noProof/>
            <w:color w:val="000000"/>
          </w:rPr>
          <w:t>Hudler et al., 2010</w:t>
        </w:r>
      </w:hyperlink>
      <w:r w:rsidR="003623C2">
        <w:rPr>
          <w:noProof/>
          <w:color w:val="000000"/>
        </w:rPr>
        <w:t>)</w:t>
      </w:r>
      <w:r w:rsidR="003623C2">
        <w:rPr>
          <w:color w:val="000000"/>
        </w:rPr>
        <w:fldChar w:fldCharType="end"/>
      </w:r>
      <w:r w:rsidR="00BA5C09" w:rsidRPr="00BA5C09">
        <w:rPr>
          <w:color w:val="000000"/>
        </w:rPr>
        <w:t>.The potential for proteomic technologies to identify and quantify novel proteins in the plasma that can function as biomarkers of the presence or severity of clinical disease states holds great promise for clinical use</w:t>
      </w:r>
      <w:r w:rsidR="00BA5C09">
        <w:rPr>
          <w:color w:val="000000"/>
        </w:rPr>
        <w:t xml:space="preserve"> </w:t>
      </w:r>
      <w:r w:rsidR="00BA5C09">
        <w:rPr>
          <w:color w:val="000000"/>
        </w:rPr>
        <w:fldChar w:fldCharType="begin">
          <w:fldData xml:space="preserve">PEVuZE5vdGU+PENpdGU+PEF1dGhvcj5HZXJzenRlbjwvQXV0aG9yPjxZZWFyPjIwMDg8L1llYXI+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==
</w:fldData>
        </w:fldChar>
      </w:r>
      <w:r w:rsidR="003623C2">
        <w:rPr>
          <w:color w:val="000000"/>
        </w:rPr>
        <w:instrText xml:space="preserve"> ADDIN EN.CITE </w:instrText>
      </w:r>
      <w:r w:rsidR="003623C2">
        <w:rPr>
          <w:color w:val="000000"/>
        </w:rPr>
        <w:fldChar w:fldCharType="begin">
          <w:fldData xml:space="preserve">PEVuZE5vdGU+PENpdGU+PEF1dGhvcj5HZXJzenRlbjwvQXV0aG9yPjxZZWFyPjIwMDg8L1llYXI+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==
</w:fldData>
        </w:fldChar>
      </w:r>
      <w:r w:rsidR="003623C2">
        <w:rPr>
          <w:color w:val="000000"/>
        </w:rPr>
        <w:instrText xml:space="preserve"> ADDIN EN.CITE.DATA </w:instrText>
      </w:r>
      <w:r w:rsidR="003623C2">
        <w:rPr>
          <w:color w:val="000000"/>
        </w:rPr>
      </w:r>
      <w:r w:rsidR="003623C2">
        <w:rPr>
          <w:color w:val="000000"/>
        </w:rPr>
        <w:fldChar w:fldCharType="end"/>
      </w:r>
      <w:r w:rsidR="00BA5C09">
        <w:rPr>
          <w:color w:val="000000"/>
        </w:rPr>
      </w:r>
      <w:r w:rsidR="00BA5C09">
        <w:rPr>
          <w:color w:val="000000"/>
        </w:rPr>
        <w:fldChar w:fldCharType="separate"/>
      </w:r>
      <w:r w:rsidR="003623C2">
        <w:rPr>
          <w:noProof/>
          <w:color w:val="000000"/>
        </w:rPr>
        <w:t>(</w:t>
      </w:r>
      <w:hyperlink w:anchor="_ENREF_141" w:tooltip="Gerszten, 2008 #5074" w:history="1">
        <w:r w:rsidR="004A784D">
          <w:rPr>
            <w:noProof/>
            <w:color w:val="000000"/>
          </w:rPr>
          <w:t>Gerszten et al., 2008</w:t>
        </w:r>
      </w:hyperlink>
      <w:r w:rsidR="003623C2">
        <w:rPr>
          <w:noProof/>
          <w:color w:val="000000"/>
        </w:rPr>
        <w:t xml:space="preserve">, </w:t>
      </w:r>
      <w:hyperlink w:anchor="_ENREF_450" w:tooltip="Xiao, 2010 #5104" w:history="1">
        <w:r w:rsidR="004A784D">
          <w:rPr>
            <w:noProof/>
            <w:color w:val="000000"/>
          </w:rPr>
          <w:t>Xiao and Wong, 2010</w:t>
        </w:r>
      </w:hyperlink>
      <w:r w:rsidR="003623C2">
        <w:rPr>
          <w:noProof/>
          <w:color w:val="000000"/>
        </w:rPr>
        <w:t>)</w:t>
      </w:r>
      <w:r w:rsidR="00BA5C09">
        <w:rPr>
          <w:color w:val="000000"/>
        </w:rPr>
        <w:fldChar w:fldCharType="end"/>
      </w:r>
      <w:r w:rsidR="00BA5C09" w:rsidRPr="00BA5C09">
        <w:rPr>
          <w:color w:val="000000"/>
        </w:rPr>
        <w:t>.</w:t>
      </w:r>
    </w:p>
    <w:p w:rsidR="00D509EE" w:rsidRPr="00873C4C" w:rsidRDefault="00D509EE" w:rsidP="00057B42">
      <w:pPr>
        <w:spacing w:line="360" w:lineRule="auto"/>
        <w:jc w:val="both"/>
        <w:rPr>
          <w:color w:val="000000"/>
        </w:rPr>
      </w:pPr>
    </w:p>
    <w:p w:rsidR="00D509EE" w:rsidRPr="00873C4C" w:rsidRDefault="00FB25F3" w:rsidP="00645687">
      <w:pPr>
        <w:pStyle w:val="Heading3"/>
      </w:pPr>
      <w:bookmarkStart w:id="378" w:name="_Toc305759137"/>
      <w:bookmarkStart w:id="379" w:name="_Toc306570565"/>
      <w:bookmarkStart w:id="380" w:name="_Toc307067630"/>
      <w:r>
        <w:tab/>
      </w:r>
      <w:bookmarkStart w:id="381" w:name="_Toc312169189"/>
      <w:bookmarkStart w:id="382" w:name="_Toc312172116"/>
      <w:bookmarkStart w:id="383" w:name="_Toc312257665"/>
      <w:r w:rsidR="00D509EE" w:rsidRPr="00873C4C">
        <w:t>Challenges and strategies for discovery of protein biomarkers in plasma</w:t>
      </w:r>
      <w:bookmarkEnd w:id="378"/>
      <w:bookmarkEnd w:id="379"/>
      <w:bookmarkEnd w:id="380"/>
      <w:bookmarkEnd w:id="381"/>
      <w:bookmarkEnd w:id="382"/>
      <w:bookmarkEnd w:id="383"/>
    </w:p>
    <w:p w:rsidR="00CE7847" w:rsidRDefault="00D509EE" w:rsidP="00057B42">
      <w:pPr>
        <w:spacing w:line="360" w:lineRule="auto"/>
        <w:jc w:val="both"/>
        <w:rPr>
          <w:color w:val="000000"/>
        </w:rPr>
      </w:pPr>
      <w:r w:rsidRPr="00873C4C">
        <w:rPr>
          <w:color w:val="000000"/>
        </w:rPr>
        <w:t xml:space="preserve">Plasma is one of the difficult </w:t>
      </w:r>
      <w:r w:rsidR="00125E8A" w:rsidRPr="00873C4C">
        <w:rPr>
          <w:color w:val="000000"/>
        </w:rPr>
        <w:t>samples</w:t>
      </w:r>
      <w:r w:rsidRPr="00873C4C">
        <w:rPr>
          <w:color w:val="000000"/>
        </w:rPr>
        <w:t xml:space="preserve"> to work with in proteomics, despite the relatively good solubility of its protein components. The daunting size of the plasma proteome is a reflection of the sheer number of different proteins to be tested</w:t>
      </w:r>
      <w:r w:rsidR="00271A14">
        <w:rPr>
          <w:color w:val="000000"/>
        </w:rPr>
        <w:t>.</w:t>
      </w:r>
      <w:r w:rsidRPr="00873C4C">
        <w:rPr>
          <w:color w:val="000000"/>
        </w:rPr>
        <w:t xml:space="preserve"> Approximately half of the total protein mass in plasma is accounted f</w:t>
      </w:r>
      <w:r w:rsidR="00AD5DCA">
        <w:rPr>
          <w:color w:val="000000"/>
        </w:rPr>
        <w:t xml:space="preserve">or by only one protein (the albumin present </w:t>
      </w:r>
      <w:r w:rsidR="00AD5DCA">
        <w:rPr>
          <w:rFonts w:ascii="Cambria Math" w:hAnsi="Cambria Math" w:cs="Cambria Math"/>
          <w:color w:val="000000"/>
        </w:rPr>
        <w:t xml:space="preserve">approximately </w:t>
      </w:r>
      <w:r w:rsidR="00E874C8">
        <w:rPr>
          <w:color w:val="000000"/>
        </w:rPr>
        <w:t>55,000,000,000 pg/ml</w:t>
      </w:r>
      <w:r w:rsidRPr="00873C4C">
        <w:rPr>
          <w:color w:val="000000"/>
        </w:rPr>
        <w:t>)</w:t>
      </w:r>
      <w:r w:rsidR="00B639B6">
        <w:rPr>
          <w:color w:val="000000"/>
        </w:rPr>
        <w:t xml:space="preserve"> </w:t>
      </w:r>
      <w:r w:rsidR="00B639B6">
        <w:rPr>
          <w:color w:val="000000"/>
        </w:rPr>
        <w:fldChar w:fldCharType="begin"/>
      </w:r>
      <w:r w:rsidR="00B639B6">
        <w:rPr>
          <w:color w:val="000000"/>
        </w:rPr>
        <w:instrText xml:space="preserve"> ADDIN EN.CITE &lt;EndNote&gt;&lt;Cite&gt;&lt;Author&gt;Jacobs&lt;/Author&gt;&lt;Year&gt;2005&lt;/Year&gt;&lt;RecNum&gt;5079&lt;/RecNum&gt;&lt;DisplayText&gt;(Jacobs et al., 2005)&lt;/DisplayText&gt;&lt;record&gt;&lt;rec-number&gt;5079&lt;/rec-number&gt;&lt;foreign-keys&gt;&lt;key app="EN" db-id="zf0awxsaczrdd3eft5qvw9wrtxxawdfrvw2a"&gt;5079&lt;/key&gt;&lt;/foreign-keys&gt;&lt;ref-type name="Journal Article"&gt;17&lt;/ref-type&gt;&lt;contributors&gt;&lt;authors&gt;&lt;author&gt;Jacobs, J. M.&lt;/author&gt;&lt;author&gt;Adkins, J. N.&lt;/author&gt;&lt;author&gt;Qian, W. J.&lt;/author&gt;&lt;author&gt;Liu, T.&lt;/author&gt;&lt;author&gt;Shen, Y.&lt;/author&gt;&lt;author&gt;Camp, D. G., 2nd&lt;/author&gt;&lt;author&gt;Smith, R. D.&lt;/author&gt;&lt;/authors&gt;&lt;/contributors&gt;&lt;auth-address&gt;Biological Sciences Division and Environmental Molecular Sciences Laboratory, Pacific Northwest National Laboratory, PO Box 999, Richland, WA 99352, USA.&lt;/auth-address&gt;&lt;titles&gt;&lt;title&gt;Utilizing human blood plasma for proteomic biomarker discovery&lt;/title&gt;&lt;secondary-title&gt;J Proteome Res&lt;/secondary-title&gt;&lt;/titles&gt;&lt;periodical&gt;&lt;full-title&gt;J Proteome Res&lt;/full-title&gt;&lt;/periodical&gt;&lt;pages&gt;1073-85&lt;/pages&gt;&lt;volume&gt;4&lt;/volume&gt;&lt;number&gt;4&lt;/number&gt;&lt;edition&gt;2005/08/09&lt;/edition&gt;&lt;keywords&gt;&lt;keyword&gt;Biological Markers/*blood&lt;/keyword&gt;&lt;keyword&gt;Humans&lt;/keyword&gt;&lt;keyword&gt;Mass Spectrometry/methods&lt;/keyword&gt;&lt;keyword&gt;Plasma/*chemistry&lt;/keyword&gt;&lt;keyword&gt;Proteome/analysis&lt;/keyword&gt;&lt;keyword&gt;Proteomics/*methods&lt;/keyword&gt;&lt;keyword&gt;Statistics as Topic&lt;/keyword&gt;&lt;/keywords&gt;&lt;dates&gt;&lt;year&gt;2005&lt;/year&gt;&lt;pub-dates&gt;&lt;date&gt;Jul-Aug&lt;/date&gt;&lt;/pub-dates&gt;&lt;/dates&gt;&lt;isbn&gt;1535-3893 (Print)&amp;#xD;1535-3893 (Linking)&lt;/isbn&gt;&lt;accession-num&gt;16083256&lt;/accession-num&gt;&lt;urls&gt;&lt;related-urls&gt;&lt;url&gt;http://www.ncbi.nlm.nih.gov/pubmed/16083256&lt;/url&gt;&lt;/related-urls&gt;&lt;/urls&gt;&lt;electronic-resource-num&gt;10.1021/pr0500657&lt;/electronic-resource-num&gt;&lt;language&gt;eng&lt;/language&gt;&lt;/record&gt;&lt;/Cite&gt;&lt;/EndNote&gt;</w:instrText>
      </w:r>
      <w:r w:rsidR="00B639B6">
        <w:rPr>
          <w:color w:val="000000"/>
        </w:rPr>
        <w:fldChar w:fldCharType="separate"/>
      </w:r>
      <w:r w:rsidR="00B639B6">
        <w:rPr>
          <w:noProof/>
          <w:color w:val="000000"/>
        </w:rPr>
        <w:t>(</w:t>
      </w:r>
      <w:hyperlink w:anchor="_ENREF_189" w:tooltip="Jacobs, 2005 #5079" w:history="1">
        <w:r w:rsidR="004A784D">
          <w:rPr>
            <w:noProof/>
            <w:color w:val="000000"/>
          </w:rPr>
          <w:t>Jacobs et al., 2005</w:t>
        </w:r>
      </w:hyperlink>
      <w:r w:rsidR="00B639B6">
        <w:rPr>
          <w:noProof/>
          <w:color w:val="000000"/>
        </w:rPr>
        <w:t>)</w:t>
      </w:r>
      <w:r w:rsidR="00B639B6">
        <w:rPr>
          <w:color w:val="000000"/>
        </w:rPr>
        <w:fldChar w:fldCharType="end"/>
      </w:r>
      <w:r w:rsidRPr="00873C4C">
        <w:rPr>
          <w:color w:val="000000"/>
        </w:rPr>
        <w:t>, while roughly 22 proteins, which also include transferrin, fibrinogen, and other, make up 99% of the total. The remaining 1% contains secreted proteins, some of which are promising biomarkers. At the other end of the concentration histogram are the cytokines, such as interleukin-6 (IL-6), which is</w:t>
      </w:r>
      <w:r w:rsidR="00E874C8">
        <w:rPr>
          <w:color w:val="000000"/>
        </w:rPr>
        <w:t xml:space="preserve"> normally present at 1–5 pg/ml</w:t>
      </w:r>
      <w:r w:rsidR="003623C2">
        <w:rPr>
          <w:color w:val="000000"/>
        </w:rPr>
        <w:t xml:space="preserve"> </w:t>
      </w:r>
      <w:r w:rsidR="003623C2">
        <w:rPr>
          <w:color w:val="000000"/>
        </w:rPr>
        <w:fldChar w:fldCharType="begin"/>
      </w:r>
      <w:r w:rsidR="003623C2">
        <w:rPr>
          <w:color w:val="000000"/>
        </w:rPr>
        <w:instrText xml:space="preserve"> ADDIN EN.CITE &lt;EndNote&gt;&lt;Cite&gt;&lt;Author&gt;Ditto&lt;/Author&gt;&lt;Year&gt;2009&lt;/Year&gt;&lt;RecNum&gt;5076&lt;/RecNum&gt;&lt;DisplayText&gt;(Ditto et al., 2009)&lt;/DisplayText&gt;&lt;record&gt;&lt;rec-number&gt;5076&lt;/rec-number&gt;&lt;foreign-keys&gt;&lt;key app="EN" db-id="zf0awxsaczrdd3eft5qvw9wrtxxawdfrvw2a"&gt;5076&lt;/key&gt;&lt;/foreign-keys&gt;&lt;ref-type name="Journal Article"&gt;17&lt;/ref-type&gt;&lt;contributors&gt;&lt;authors&gt;&lt;author&gt;Ditto, N. T.&lt;/author&gt;&lt;author&gt;Kline, T. R.&lt;/author&gt;&lt;author&gt;Alfinito, P. D.&lt;/author&gt;&lt;author&gt;Slemmon, J. R.&lt;/author&gt;&lt;/authors&gt;&lt;/contributors&gt;&lt;auth-address&gt;Bristol-Myers Squibb Company, Discovery Medicine and Clinical Pharmacology, Clinical Biomarkers, Pennington, NJ 08534, United States. noah.ditto@bms.com&lt;/auth-address&gt;&lt;titles&gt;&lt;title&gt;Enrichment and analysis of Alzheimer&amp;apos;s Abeta1-42 peptide in human plasma and whole blood&lt;/title&gt;&lt;secondary-title&gt;J Neurosci Methods&lt;/secondary-title&gt;&lt;/titles&gt;&lt;periodical&gt;&lt;full-title&gt;J Neurosci Methods&lt;/full-title&gt;&lt;/periodical&gt;&lt;pages&gt;260-5&lt;/pages&gt;&lt;volume&gt;182&lt;/volume&gt;&lt;number&gt;2&lt;/number&gt;&lt;edition&gt;2009/06/13&lt;/edition&gt;&lt;keywords&gt;&lt;keyword&gt;Alzheimer Disease/*blood&lt;/keyword&gt;&lt;keyword&gt;Amyloid beta-Peptides/*blood&lt;/keyword&gt;&lt;keyword&gt;Chromatography, High Pressure Liquid&lt;/keyword&gt;&lt;keyword&gt;Enzyme-Linked Immunosorbent Assay&lt;/keyword&gt;&lt;keyword&gt;Humans&lt;/keyword&gt;&lt;keyword&gt;Male&lt;/keyword&gt;&lt;keyword&gt;Middle Aged&lt;/keyword&gt;&lt;keyword&gt;Molecular Chaperones/metabolism&lt;/keyword&gt;&lt;keyword&gt;Peptide Fragments/*blood&lt;/keyword&gt;&lt;keyword&gt;Plasma/chemistry&lt;/keyword&gt;&lt;keyword&gt;Protein Binding&lt;/keyword&gt;&lt;keyword&gt;Solid Phase Extraction&lt;/keyword&gt;&lt;/keywords&gt;&lt;dates&gt;&lt;year&gt;2009&lt;/year&gt;&lt;pub-dates&gt;&lt;date&gt;Sep 15&lt;/date&gt;&lt;/pub-dates&gt;&lt;/dates&gt;&lt;isbn&gt;1872-678X (Electronic)&amp;#xD;0165-0270 (Linking)&lt;/isbn&gt;&lt;accession-num&gt;19520113&lt;/accession-num&gt;&lt;urls&gt;&lt;related-urls&gt;&lt;url&gt;http://www.ncbi.nlm.nih.gov/pubmed/19520113&lt;/url&gt;&lt;/related-urls&gt;&lt;/urls&gt;&lt;electronic-resource-num&gt;S0165-0270(09)00304-5 [pii]&amp;#xD;10.1016/j.jneumeth.2009.05.025&lt;/electronic-resource-num&gt;&lt;language&gt;eng&lt;/language&gt;&lt;/record&gt;&lt;/Cite&gt;&lt;/EndNote&gt;</w:instrText>
      </w:r>
      <w:r w:rsidR="003623C2">
        <w:rPr>
          <w:color w:val="000000"/>
        </w:rPr>
        <w:fldChar w:fldCharType="separate"/>
      </w:r>
      <w:r w:rsidR="003623C2">
        <w:rPr>
          <w:noProof/>
          <w:color w:val="000000"/>
        </w:rPr>
        <w:t>(</w:t>
      </w:r>
      <w:hyperlink w:anchor="_ENREF_105" w:tooltip="Ditto, 2009 #5076" w:history="1">
        <w:r w:rsidR="004A784D">
          <w:rPr>
            <w:noProof/>
            <w:color w:val="000000"/>
          </w:rPr>
          <w:t>Ditto et al., 2009</w:t>
        </w:r>
      </w:hyperlink>
      <w:r w:rsidR="003623C2">
        <w:rPr>
          <w:noProof/>
          <w:color w:val="000000"/>
        </w:rPr>
        <w:t>)</w:t>
      </w:r>
      <w:r w:rsidR="003623C2">
        <w:rPr>
          <w:color w:val="000000"/>
        </w:rPr>
        <w:fldChar w:fldCharType="end"/>
      </w:r>
      <w:r w:rsidRPr="00873C4C">
        <w:rPr>
          <w:color w:val="000000"/>
        </w:rPr>
        <w:t xml:space="preserve">. The difference in concentration between albumin and IL-6 is thus </w:t>
      </w:r>
      <w:r w:rsidRPr="00873C4C">
        <w:rPr>
          <w:rFonts w:ascii="Cambria Math" w:hAnsi="Cambria Math" w:cs="Cambria Math"/>
          <w:color w:val="000000"/>
        </w:rPr>
        <w:t>∼</w:t>
      </w:r>
      <w:r w:rsidRPr="00873C4C">
        <w:rPr>
          <w:color w:val="000000"/>
        </w:rPr>
        <w:t>10</w:t>
      </w:r>
      <w:r w:rsidRPr="00271A14">
        <w:rPr>
          <w:color w:val="000000"/>
          <w:vertAlign w:val="superscript"/>
        </w:rPr>
        <w:t>10</w:t>
      </w:r>
      <w:r w:rsidRPr="00873C4C">
        <w:rPr>
          <w:color w:val="000000"/>
        </w:rPr>
        <w:t>. This range covers the proteins that are known and considered to be useful as biomarkers but ignores those to be discovered in the future at even lower concentrations. Characterization of the plasma proteome, therefore, poses many challenges. The aim is to create a reliable human blood plasma reference base as a basis for future biomarker discoveries.</w:t>
      </w:r>
      <w:r w:rsidR="00CE7847">
        <w:rPr>
          <w:color w:val="000000"/>
        </w:rPr>
        <w:t xml:space="preserve"> </w:t>
      </w:r>
      <w:r w:rsidRPr="00873C4C">
        <w:rPr>
          <w:color w:val="000000"/>
        </w:rPr>
        <w:t xml:space="preserve">Focus of research during the past decade has been on complete analysis of plasma samples to see all differences rather than </w:t>
      </w:r>
      <w:r w:rsidRPr="00873C4C">
        <w:rPr>
          <w:color w:val="000000"/>
        </w:rPr>
        <w:lastRenderedPageBreak/>
        <w:t>targeted analysis to measure one or more hypothesis-generated candidates. Complete analysis has the advantage that it enables the direct selection of optimal biomarker proteins at the outset</w:t>
      </w:r>
      <w:r w:rsidR="0063683C">
        <w:rPr>
          <w:color w:val="000000"/>
        </w:rPr>
        <w:t>.</w:t>
      </w:r>
      <w:r w:rsidR="003623C2">
        <w:rPr>
          <w:color w:val="000000"/>
        </w:rPr>
        <w:t xml:space="preserve"> </w:t>
      </w:r>
      <w:r w:rsidR="0063683C" w:rsidRPr="00873C4C">
        <w:rPr>
          <w:color w:val="000000"/>
        </w:rPr>
        <w:t>The number of proteins detectable in plasma has risen to over 1000</w:t>
      </w:r>
      <w:r w:rsidR="0063683C">
        <w:rPr>
          <w:color w:val="000000"/>
        </w:rPr>
        <w:t>, as</w:t>
      </w:r>
      <w:r w:rsidR="0063683C" w:rsidRPr="00873C4C">
        <w:rPr>
          <w:color w:val="000000"/>
        </w:rPr>
        <w:t xml:space="preserve"> rep</w:t>
      </w:r>
      <w:r w:rsidR="0063683C">
        <w:rPr>
          <w:color w:val="000000"/>
        </w:rPr>
        <w:t>orted in various recent studies</w:t>
      </w:r>
      <w:r w:rsidR="0063683C" w:rsidRPr="00873C4C">
        <w:rPr>
          <w:color w:val="000000"/>
        </w:rPr>
        <w:t xml:space="preserve"> </w:t>
      </w:r>
      <w:r w:rsidR="003623C2">
        <w:rPr>
          <w:color w:val="000000"/>
        </w:rPr>
        <w:fldChar w:fldCharType="begin">
          <w:fldData xml:space="preserve">PEVuZE5vdGU+PENpdGU+PEF1dGhvcj5HZXJzenRlbjwvQXV0aG9yPjxZZWFyPjIwMDg8L1llYXI+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==
</w:fldData>
        </w:fldChar>
      </w:r>
      <w:r w:rsidR="003623C2">
        <w:rPr>
          <w:color w:val="000000"/>
        </w:rPr>
        <w:instrText xml:space="preserve"> ADDIN EN.CITE </w:instrText>
      </w:r>
      <w:r w:rsidR="003623C2">
        <w:rPr>
          <w:color w:val="000000"/>
        </w:rPr>
        <w:fldChar w:fldCharType="begin">
          <w:fldData xml:space="preserve">PEVuZE5vdGU+PENpdGU+PEF1dGhvcj5HZXJzenRlbjwvQXV0aG9yPjxZZWFyPjIwMDg8L1llYXI+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==
</w:fldData>
        </w:fldChar>
      </w:r>
      <w:r w:rsidR="003623C2">
        <w:rPr>
          <w:color w:val="000000"/>
        </w:rPr>
        <w:instrText xml:space="preserve"> ADDIN EN.CITE.DATA </w:instrText>
      </w:r>
      <w:r w:rsidR="003623C2">
        <w:rPr>
          <w:color w:val="000000"/>
        </w:rPr>
      </w:r>
      <w:r w:rsidR="003623C2">
        <w:rPr>
          <w:color w:val="000000"/>
        </w:rPr>
        <w:fldChar w:fldCharType="end"/>
      </w:r>
      <w:r w:rsidR="003623C2">
        <w:rPr>
          <w:color w:val="000000"/>
        </w:rPr>
      </w:r>
      <w:r w:rsidR="003623C2">
        <w:rPr>
          <w:color w:val="000000"/>
        </w:rPr>
        <w:fldChar w:fldCharType="separate"/>
      </w:r>
      <w:r w:rsidR="003623C2">
        <w:rPr>
          <w:noProof/>
          <w:color w:val="000000"/>
        </w:rPr>
        <w:t>(</w:t>
      </w:r>
      <w:hyperlink w:anchor="_ENREF_141" w:tooltip="Gerszten, 2008 #5074" w:history="1">
        <w:r w:rsidR="004A784D">
          <w:rPr>
            <w:noProof/>
            <w:color w:val="000000"/>
          </w:rPr>
          <w:t>Gerszten et al., 2008</w:t>
        </w:r>
      </w:hyperlink>
      <w:r w:rsidR="003623C2">
        <w:rPr>
          <w:noProof/>
          <w:color w:val="000000"/>
        </w:rPr>
        <w:t xml:space="preserve">, </w:t>
      </w:r>
      <w:hyperlink w:anchor="_ENREF_450" w:tooltip="Xiao, 2010 #5104" w:history="1">
        <w:r w:rsidR="004A784D">
          <w:rPr>
            <w:noProof/>
            <w:color w:val="000000"/>
          </w:rPr>
          <w:t>Xiao and Wong, 2010</w:t>
        </w:r>
      </w:hyperlink>
      <w:r w:rsidR="003623C2">
        <w:rPr>
          <w:noProof/>
          <w:color w:val="000000"/>
        </w:rPr>
        <w:t>)</w:t>
      </w:r>
      <w:r w:rsidR="003623C2">
        <w:rPr>
          <w:color w:val="000000"/>
        </w:rPr>
        <w:fldChar w:fldCharType="end"/>
      </w:r>
      <w:r w:rsidRPr="00873C4C">
        <w:rPr>
          <w:color w:val="000000"/>
        </w:rPr>
        <w:t>. Targeted analysis, however, is more meaningful for disease–biomarker association and hybrid approaches have been proposed that combine the multi</w:t>
      </w:r>
      <w:r w:rsidR="007E0B77">
        <w:rPr>
          <w:color w:val="000000"/>
        </w:rPr>
        <w:t xml:space="preserve"> </w:t>
      </w:r>
      <w:r w:rsidRPr="00873C4C">
        <w:rPr>
          <w:color w:val="000000"/>
        </w:rPr>
        <w:t>protein view of proteomics and the advantages of targeted-specific assays and are termed targeted proteomics. Identification of rare proteins in blood is often hindered by highly abundant proteins, such as albumin and immunoglobulin, which obscure less plentiful molecules</w:t>
      </w:r>
      <w:r w:rsidR="00B639B6">
        <w:rPr>
          <w:color w:val="000000"/>
        </w:rPr>
        <w:t xml:space="preserve"> </w:t>
      </w:r>
      <w:r w:rsidR="00B639B6">
        <w:rPr>
          <w:color w:val="000000"/>
        </w:rPr>
        <w:fldChar w:fldCharType="begin"/>
      </w:r>
      <w:r w:rsidR="003623C2">
        <w:rPr>
          <w:color w:val="000000"/>
        </w:rPr>
        <w:instrText xml:space="preserve"> ADDIN EN.CITE &lt;EndNote&gt;&lt;Cite&gt;&lt;Author&gt;Jimenez&lt;/Author&gt;&lt;Year&gt;2007&lt;/Year&gt;&lt;RecNum&gt;5078&lt;/RecNum&gt;&lt;DisplayText&gt;(Jimenez et al., 2007)&lt;/DisplayText&gt;&lt;record&gt;&lt;rec-number&gt;5078&lt;/rec-number&gt;&lt;foreign-keys&gt;&lt;key app="EN" db-id="zf0awxsaczrdd3eft5qvw9wrtxxawdfrvw2a"&gt;5078&lt;/key&gt;&lt;/foreign-keys&gt;&lt;ref-type name="Journal Article"&gt;17&lt;/ref-type&gt;&lt;contributors&gt;&lt;authors&gt;&lt;author&gt;Jimenez, C. R.&lt;/author&gt;&lt;author&gt;Piersma, S.&lt;/author&gt;&lt;author&gt;Pham, T. V.&lt;/author&gt;&lt;/authors&gt;&lt;/contributors&gt;&lt;auth-address&gt;OncoProteomics Laboratory, Department of Medical Oncology, VUmc Cancer Center Amsterdam, VU University Medical Center, Amsterdam, The Netherlands. c.jimenez@vumc.nl&lt;/auth-address&gt;&lt;titles&gt;&lt;title&gt;High-throughput and targeted in-depth mass spectrometry-based approaches for biofluid profiling and biomarker discovery&lt;/title&gt;&lt;secondary-title&gt;Biomark Med&lt;/secondary-title&gt;&lt;/titles&gt;&lt;periodical&gt;&lt;full-title&gt;Biomark Med&lt;/full-title&gt;&lt;/periodical&gt;&lt;pages&gt;541-65&lt;/pages&gt;&lt;volume&gt;1&lt;/volume&gt;&lt;number&gt;4&lt;/number&gt;&lt;edition&gt;2007/12/01&lt;/edition&gt;&lt;dates&gt;&lt;year&gt;2007&lt;/year&gt;&lt;pub-dates&gt;&lt;date&gt;Dec&lt;/date&gt;&lt;/pub-dates&gt;&lt;/dates&gt;&lt;isbn&gt;1752-0371 (Electronic)&amp;#xD;1752-0363 (Linking)&lt;/isbn&gt;&lt;accession-num&gt;20477373&lt;/accession-num&gt;&lt;urls&gt;&lt;related-urls&gt;&lt;url&gt;http://www.ncbi.nlm.nih.gov/pubmed/20477373&lt;/url&gt;&lt;/related-urls&gt;&lt;/urls&gt;&lt;electronic-resource-num&gt;10.2217/17520363.1.4.541&lt;/electronic-resource-num&gt;&lt;language&gt;eng&lt;/language&gt;&lt;/record&gt;&lt;/Cite&gt;&lt;/EndNote&gt;</w:instrText>
      </w:r>
      <w:r w:rsidR="00B639B6">
        <w:rPr>
          <w:color w:val="000000"/>
        </w:rPr>
        <w:fldChar w:fldCharType="separate"/>
      </w:r>
      <w:r w:rsidR="003623C2">
        <w:rPr>
          <w:noProof/>
          <w:color w:val="000000"/>
        </w:rPr>
        <w:t>(</w:t>
      </w:r>
      <w:hyperlink w:anchor="_ENREF_192" w:tooltip="Jimenez, 2007 #5078" w:history="1">
        <w:r w:rsidR="004A784D">
          <w:rPr>
            <w:noProof/>
            <w:color w:val="000000"/>
          </w:rPr>
          <w:t>Jimenez et al., 2007</w:t>
        </w:r>
      </w:hyperlink>
      <w:r w:rsidR="003623C2">
        <w:rPr>
          <w:noProof/>
          <w:color w:val="000000"/>
        </w:rPr>
        <w:t>)</w:t>
      </w:r>
      <w:r w:rsidR="00B639B6">
        <w:rPr>
          <w:color w:val="000000"/>
        </w:rPr>
        <w:fldChar w:fldCharType="end"/>
      </w:r>
      <w:r w:rsidRPr="00873C4C">
        <w:rPr>
          <w:color w:val="000000"/>
        </w:rPr>
        <w:t xml:space="preserve">. </w:t>
      </w:r>
    </w:p>
    <w:p w:rsidR="00CE7847" w:rsidRDefault="00CE7847" w:rsidP="00057B42">
      <w:pPr>
        <w:spacing w:line="360" w:lineRule="auto"/>
        <w:jc w:val="both"/>
        <w:rPr>
          <w:color w:val="000000"/>
        </w:rPr>
      </w:pPr>
    </w:p>
    <w:p w:rsidR="00D509EE" w:rsidRPr="00873C4C" w:rsidRDefault="00D509EE" w:rsidP="00057B42">
      <w:pPr>
        <w:spacing w:line="360" w:lineRule="auto"/>
        <w:jc w:val="both"/>
        <w:rPr>
          <w:color w:val="000000"/>
        </w:rPr>
      </w:pPr>
      <w:r w:rsidRPr="00873C4C">
        <w:rPr>
          <w:color w:val="000000"/>
        </w:rPr>
        <w:t>A solution to this problem is an immunoaffinity column, Multiple Affinity Removal System (Agilent Technologies), which comprises antibodies to the six most abundant proteins found in human blood. By merely running a sample over the matrix, one can specifically remove all six proteins at once, unveiling lower-abundance species that may represent new biomarkers for disease diagnosis and therapy</w:t>
      </w:r>
      <w:r w:rsidR="003623C2">
        <w:rPr>
          <w:color w:val="000000"/>
        </w:rPr>
        <w:t xml:space="preserve"> </w:t>
      </w:r>
      <w:r w:rsidR="003623C2">
        <w:rPr>
          <w:color w:val="000000"/>
        </w:rPr>
        <w:fldChar w:fldCharType="begin"/>
      </w:r>
      <w:r w:rsidR="003623C2">
        <w:rPr>
          <w:color w:val="000000"/>
        </w:rPr>
        <w:instrText xml:space="preserve"> ADDIN EN.CITE &lt;EndNote&gt;&lt;Cite&gt;&lt;Author&gt;Ge&lt;/Author&gt;&lt;Year&gt;2011&lt;/Year&gt;&lt;RecNum&gt;5089&lt;/RecNum&gt;&lt;DisplayText&gt;(Ge et al., 2011)&lt;/DisplayText&gt;&lt;record&gt;&lt;rec-number&gt;5089&lt;/rec-number&gt;&lt;foreign-keys&gt;&lt;key app="EN" db-id="zf0awxsaczrdd3eft5qvw9wrtxxawdfrvw2a"&gt;5089&lt;/key&gt;&lt;/foreign-keys&gt;&lt;ref-type name="Journal Article"&gt;17&lt;/ref-type&gt;&lt;contributors&gt;&lt;authors&gt;&lt;author&gt;Ge, F.&lt;/author&gt;&lt;author&gt;Bi, L. J.&lt;/author&gt;&lt;author&gt;Tao, S. C.&lt;/author&gt;&lt;author&gt;Xu, X. D.&lt;/author&gt;&lt;author&gt;Zhang, Z. P.&lt;/author&gt;&lt;author&gt;Kitazato, K.&lt;/author&gt;&lt;author&gt;Zhang, X. E.&lt;/author&gt;&lt;/authors&gt;&lt;/contributors&gt;&lt;auth-address&gt;Institute of Hydrobiology, Chinese Academy of Sciences, Wuhan, Hubei, PR China. gefeng@ihb.ac.cn&lt;/auth-address&gt;&lt;titles&gt;&lt;title&gt;Proteomic analysis of multiple myeloma: current status and future perspectives&lt;/title&gt;&lt;secondary-title&gt;Proteomics Clin Appl&lt;/secondary-title&gt;&lt;/titles&gt;&lt;periodical&gt;&lt;full-title&gt;Proteomics Clin Appl&lt;/full-title&gt;&lt;/periodical&gt;&lt;pages&gt;30-7&lt;/pages&gt;&lt;volume&gt;5&lt;/volume&gt;&lt;number&gt;1-2&lt;/number&gt;&lt;edition&gt;2011/02/01&lt;/edition&gt;&lt;keywords&gt;&lt;keyword&gt;Drug Resistance, Neoplasm&lt;/keyword&gt;&lt;keyword&gt;Humans&lt;/keyword&gt;&lt;keyword&gt;Multiple Myeloma/*chemistry&lt;/keyword&gt;&lt;keyword&gt;Neoplasm Proteins/analysis&lt;/keyword&gt;&lt;keyword&gt;Phosphoproteins/analysis&lt;/keyword&gt;&lt;keyword&gt;Proteomics/methods&lt;/keyword&gt;&lt;keyword&gt;Spectrometry, Mass, Matrix-Assisted Laser Desorption-Ionization&lt;/keyword&gt;&lt;keyword&gt;Tumor Markers, Biological/analysis&lt;/keyword&gt;&lt;/keywords&gt;&lt;dates&gt;&lt;year&gt;2011&lt;/year&gt;&lt;pub-dates&gt;&lt;date&gt;Feb&lt;/date&gt;&lt;/pub-dates&gt;&lt;/dates&gt;&lt;isbn&gt;1862-8354 (Electronic)&amp;#xD;1862-8346 (Linking)&lt;/isbn&gt;&lt;accession-num&gt;21280235&lt;/accession-num&gt;&lt;urls&gt;&lt;related-urls&gt;&lt;url&gt;http://www.ncbi.nlm.nih.gov/pubmed/21280235&lt;/url&gt;&lt;/related-urls&gt;&lt;/urls&gt;&lt;electronic-resource-num&gt;10.1002/prca.201000044&lt;/electronic-resource-num&gt;&lt;language&gt;eng&lt;/language&gt;&lt;/record&gt;&lt;/Cite&gt;&lt;/EndNote&gt;</w:instrText>
      </w:r>
      <w:r w:rsidR="003623C2">
        <w:rPr>
          <w:color w:val="000000"/>
        </w:rPr>
        <w:fldChar w:fldCharType="separate"/>
      </w:r>
      <w:r w:rsidR="003623C2">
        <w:rPr>
          <w:noProof/>
          <w:color w:val="000000"/>
        </w:rPr>
        <w:t>(</w:t>
      </w:r>
      <w:hyperlink w:anchor="_ENREF_140" w:tooltip="Ge, 2011 #5089" w:history="1">
        <w:r w:rsidR="004A784D">
          <w:rPr>
            <w:noProof/>
            <w:color w:val="000000"/>
          </w:rPr>
          <w:t>Ge et al., 2011</w:t>
        </w:r>
      </w:hyperlink>
      <w:r w:rsidR="003623C2">
        <w:rPr>
          <w:noProof/>
          <w:color w:val="000000"/>
        </w:rPr>
        <w:t>)</w:t>
      </w:r>
      <w:r w:rsidR="003623C2">
        <w:rPr>
          <w:color w:val="000000"/>
        </w:rPr>
        <w:fldChar w:fldCharType="end"/>
      </w:r>
      <w:r w:rsidRPr="00873C4C">
        <w:rPr>
          <w:color w:val="000000"/>
        </w:rPr>
        <w:t xml:space="preserve">. The process removes about 85% of the total protein mass. The multiple affinity removal system works with blood, cerebrospinal fluid, and urine, all of which contain the same major proteins. Blood serum is the favoured source for investigators interested in large-scale proteomics because it has the most proteins. However, so far only about 500 of the 30,000 proteins in serum have been identified. By removing albumin and the other five major proteins, the scientists will be able to dig further into the </w:t>
      </w:r>
      <w:r w:rsidR="00647448" w:rsidRPr="00873C4C">
        <w:rPr>
          <w:color w:val="000000"/>
        </w:rPr>
        <w:t>proteome</w:t>
      </w:r>
      <w:r w:rsidR="00647448">
        <w:rPr>
          <w:color w:val="000000"/>
        </w:rPr>
        <w:t>.</w:t>
      </w:r>
    </w:p>
    <w:p w:rsidR="00D509EE" w:rsidRPr="00873C4C" w:rsidRDefault="00D509EE" w:rsidP="00057B42">
      <w:pPr>
        <w:spacing w:line="360" w:lineRule="auto"/>
        <w:jc w:val="both"/>
        <w:rPr>
          <w:color w:val="000000"/>
        </w:rPr>
      </w:pPr>
    </w:p>
    <w:p w:rsidR="00CE7847" w:rsidRPr="00B933E7" w:rsidRDefault="00B933E7" w:rsidP="00057B42">
      <w:pPr>
        <w:spacing w:line="360" w:lineRule="auto"/>
        <w:jc w:val="center"/>
      </w:pPr>
      <w:r w:rsidRPr="00B933E7">
        <w:rPr>
          <w:noProof/>
          <w:lang w:eastAsia="en-IE"/>
        </w:rPr>
        <w:lastRenderedPageBreak/>
        <w:drawing>
          <wp:inline distT="0" distB="0" distL="0" distR="0" wp14:anchorId="55912C05" wp14:editId="3D529295">
            <wp:extent cx="3809524" cy="2761905"/>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09524" cy="2761905"/>
                    </a:xfrm>
                    <a:prstGeom prst="rect">
                      <a:avLst/>
                    </a:prstGeom>
                  </pic:spPr>
                </pic:pic>
              </a:graphicData>
            </a:graphic>
          </wp:inline>
        </w:drawing>
      </w:r>
    </w:p>
    <w:p w:rsidR="00CE7847" w:rsidRDefault="00CE7847" w:rsidP="00057B42">
      <w:pPr>
        <w:pStyle w:val="Caption"/>
      </w:pPr>
    </w:p>
    <w:p w:rsidR="00CE7847" w:rsidRDefault="00CE7847" w:rsidP="00057B42">
      <w:pPr>
        <w:pStyle w:val="Caption"/>
        <w:jc w:val="both"/>
      </w:pPr>
      <w:r>
        <w:t xml:space="preserve">Figure </w:t>
      </w:r>
      <w:fldSimple w:instr=" STYLEREF 1 \s ">
        <w:r w:rsidR="0081644B">
          <w:rPr>
            <w:noProof/>
          </w:rPr>
          <w:t>1</w:t>
        </w:r>
      </w:fldSimple>
      <w:r w:rsidR="008A68DC">
        <w:noBreakHyphen/>
      </w:r>
      <w:fldSimple w:instr=" SEQ Figure \* ARABIC \s 1 ">
        <w:r w:rsidR="0081644B">
          <w:rPr>
            <w:noProof/>
          </w:rPr>
          <w:t>9</w:t>
        </w:r>
      </w:fldSimple>
      <w:r>
        <w:t xml:space="preserve"> </w:t>
      </w:r>
      <w:r w:rsidRPr="00CE7847">
        <w:t xml:space="preserve">Low abundance Biomarkers are at very low levels in tissue and </w:t>
      </w:r>
      <w:r w:rsidR="00647448" w:rsidRPr="00CE7847">
        <w:t>bio fluids</w:t>
      </w:r>
      <w:r w:rsidRPr="00CE7847">
        <w:t>. Albumin is approximately a billion times more concentrated than interleukin-6 in blood. Tumour specific biomarkers likely to be many times lower in concentration levels than interleukin-6.</w:t>
      </w:r>
      <w:r>
        <w:t xml:space="preserve"> </w:t>
      </w:r>
      <w:r w:rsidR="00C241AC">
        <w:t>Adopted from Agilent technologies website</w:t>
      </w:r>
      <w:r w:rsidR="00B5499B">
        <w:t xml:space="preserve"> </w:t>
      </w:r>
      <w:hyperlink r:id="rId20" w:history="1">
        <w:r w:rsidR="00B5499B" w:rsidRPr="00D74982">
          <w:rPr>
            <w:rStyle w:val="Hyperlink"/>
          </w:rPr>
          <w:t>http://www.chem.agilent.com</w:t>
        </w:r>
      </w:hyperlink>
      <w:r w:rsidR="00B5499B" w:rsidRPr="00D74982">
        <w:t>)</w:t>
      </w:r>
      <w:r w:rsidR="00C241AC">
        <w:t xml:space="preserve">. </w:t>
      </w:r>
    </w:p>
    <w:p w:rsidR="00CE7847" w:rsidRDefault="00CE7847" w:rsidP="00057B42">
      <w:pPr>
        <w:pBdr>
          <w:bottom w:val="single" w:sz="12" w:space="1" w:color="auto"/>
        </w:pBdr>
        <w:spacing w:line="360" w:lineRule="auto"/>
      </w:pPr>
    </w:p>
    <w:p w:rsidR="00CE7847" w:rsidRPr="00CE7847" w:rsidRDefault="00CE7847" w:rsidP="00057B42">
      <w:pPr>
        <w:spacing w:line="360" w:lineRule="auto"/>
      </w:pPr>
    </w:p>
    <w:p w:rsidR="00CE7847" w:rsidRPr="00B933E7" w:rsidRDefault="00CE7847" w:rsidP="00057B42">
      <w:pPr>
        <w:spacing w:line="360" w:lineRule="auto"/>
      </w:pPr>
    </w:p>
    <w:p w:rsidR="009B73EA" w:rsidRDefault="009B73EA" w:rsidP="00645687">
      <w:pPr>
        <w:pStyle w:val="Heading2"/>
        <w:rPr>
          <w:lang w:val="en-GB"/>
        </w:rPr>
      </w:pPr>
      <w:r w:rsidRPr="00873C4C">
        <w:br w:type="page"/>
      </w:r>
      <w:bookmarkStart w:id="384" w:name="_Toc260495802"/>
      <w:bookmarkStart w:id="385" w:name="_Toc260496053"/>
      <w:bookmarkStart w:id="386" w:name="_Toc260500446"/>
      <w:bookmarkStart w:id="387" w:name="_Toc261098472"/>
      <w:bookmarkStart w:id="388" w:name="_Toc305759138"/>
      <w:bookmarkStart w:id="389" w:name="_Toc306570566"/>
      <w:bookmarkStart w:id="390" w:name="_Toc307067631"/>
      <w:r w:rsidR="00C241AC">
        <w:lastRenderedPageBreak/>
        <w:tab/>
      </w:r>
      <w:bookmarkStart w:id="391" w:name="_Toc312169190"/>
      <w:bookmarkStart w:id="392" w:name="_Toc312172117"/>
      <w:bookmarkStart w:id="393" w:name="_Toc312257666"/>
      <w:r w:rsidRPr="00873C4C">
        <w:rPr>
          <w:lang w:val="en-GB"/>
        </w:rPr>
        <w:t>Proteomic</w:t>
      </w:r>
      <w:r w:rsidR="0063683C">
        <w:rPr>
          <w:lang w:val="en-GB"/>
        </w:rPr>
        <w:t>s</w:t>
      </w:r>
      <w:r w:rsidRPr="00873C4C">
        <w:rPr>
          <w:lang w:val="en-GB"/>
        </w:rPr>
        <w:t xml:space="preserve"> in </w:t>
      </w:r>
      <w:r w:rsidR="00AF4D6E" w:rsidRPr="00873C4C">
        <w:rPr>
          <w:lang w:val="en-GB"/>
        </w:rPr>
        <w:t xml:space="preserve">other </w:t>
      </w:r>
      <w:r w:rsidRPr="00873C4C">
        <w:rPr>
          <w:lang w:val="en-GB"/>
        </w:rPr>
        <w:t>Haematological Malignancies</w:t>
      </w:r>
      <w:bookmarkEnd w:id="384"/>
      <w:bookmarkEnd w:id="385"/>
      <w:bookmarkEnd w:id="386"/>
      <w:bookmarkEnd w:id="387"/>
      <w:bookmarkEnd w:id="388"/>
      <w:bookmarkEnd w:id="389"/>
      <w:bookmarkEnd w:id="390"/>
      <w:bookmarkEnd w:id="391"/>
      <w:bookmarkEnd w:id="392"/>
      <w:bookmarkEnd w:id="393"/>
    </w:p>
    <w:p w:rsidR="004B395A" w:rsidRPr="004B395A" w:rsidRDefault="004B395A" w:rsidP="004B395A">
      <w:pPr>
        <w:rPr>
          <w:lang w:val="en-GB" w:eastAsia="en-US"/>
        </w:rPr>
      </w:pPr>
    </w:p>
    <w:p w:rsidR="009B73EA" w:rsidRPr="00873C4C" w:rsidRDefault="00BA1CCC" w:rsidP="00645687">
      <w:pPr>
        <w:pStyle w:val="Heading3"/>
      </w:pPr>
      <w:bookmarkStart w:id="394" w:name="_Toc260495803"/>
      <w:bookmarkStart w:id="395" w:name="_Toc260496054"/>
      <w:bookmarkStart w:id="396" w:name="_Toc260500447"/>
      <w:bookmarkStart w:id="397" w:name="_Toc261098473"/>
      <w:bookmarkStart w:id="398" w:name="_Toc305759139"/>
      <w:r w:rsidRPr="00873C4C">
        <w:tab/>
      </w:r>
      <w:bookmarkStart w:id="399" w:name="_Toc306570567"/>
      <w:bookmarkStart w:id="400" w:name="_Toc307067632"/>
      <w:bookmarkStart w:id="401" w:name="_Toc312169191"/>
      <w:bookmarkStart w:id="402" w:name="_Toc312172118"/>
      <w:bookmarkStart w:id="403" w:name="_Toc312257667"/>
      <w:r w:rsidR="009B73EA" w:rsidRPr="00873C4C">
        <w:t>Background</w:t>
      </w:r>
      <w:bookmarkEnd w:id="394"/>
      <w:bookmarkEnd w:id="395"/>
      <w:bookmarkEnd w:id="396"/>
      <w:bookmarkEnd w:id="397"/>
      <w:bookmarkEnd w:id="398"/>
      <w:bookmarkEnd w:id="399"/>
      <w:bookmarkEnd w:id="400"/>
      <w:bookmarkEnd w:id="401"/>
      <w:bookmarkEnd w:id="402"/>
      <w:bookmarkEnd w:id="403"/>
    </w:p>
    <w:p w:rsidR="00C241AC" w:rsidRDefault="00F334EE" w:rsidP="0063683C">
      <w:pPr>
        <w:spacing w:before="240" w:line="360" w:lineRule="auto"/>
        <w:jc w:val="both"/>
        <w:rPr>
          <w:color w:val="000000"/>
        </w:rPr>
      </w:pPr>
      <w:r w:rsidRPr="00873C4C">
        <w:rPr>
          <w:color w:val="000000"/>
        </w:rPr>
        <w:t>The understanding of haematological malignancies at the protein level is important for the prediction of therapy response, the possibility for disease diagnostics,</w:t>
      </w:r>
      <w:r w:rsidRPr="00873C4C">
        <w:rPr>
          <w:color w:val="000000"/>
        </w:rPr>
        <w:fldChar w:fldCharType="begin"/>
      </w:r>
      <w:r w:rsidR="006F41FE">
        <w:rPr>
          <w:color w:val="000000"/>
        </w:rPr>
        <w:instrText xml:space="preserve"> ADDIN EN.CITE &lt;EndNote&gt;&lt;Cite&gt;&lt;Author&gt;Zelena&lt;/Author&gt;&lt;Year&gt;2007&lt;/Year&gt;&lt;RecNum&gt;4027&lt;/RecNum&gt;&lt;DisplayText&gt;(Zelena and Hajek, 2007)&lt;/DisplayText&gt;&lt;record&gt;&lt;rec-number&gt;4027&lt;/rec-number&gt;&lt;foreign-keys&gt;&lt;key app="EN" db-id="zf0awxsaczrdd3eft5qvw9wrtxxawdfrvw2a"&gt;4027&lt;/key&gt;&lt;/foreign-keys&gt;&lt;ref-type name="Journal Article"&gt;17&lt;/ref-type&gt;&lt;contributors&gt;&lt;authors&gt;&lt;author&gt;Zelena, J.&lt;/author&gt;&lt;author&gt;Hajek, R.&lt;/author&gt;&lt;/authors&gt;&lt;/contributors&gt;&lt;auth-address&gt;Laborator experimentalni hematologie a bunecne imunoterapie, Oddeleni klinicke hematologie FN, Brno-Bohunice. jzelena@fnbrno.cz&lt;/auth-address&gt;&lt;titles&gt;&lt;title&gt;[Proteomics techniques and their application in haemato-oncologic malignancies]&lt;/title&gt;&lt;secondary-title&gt;Cas Lek Cesk&lt;/secondary-title&gt;&lt;/titles&gt;&lt;periodical&gt;&lt;full-title&gt;Cas Lek Cesk&lt;/full-title&gt;&lt;/periodical&gt;&lt;pages&gt;586-92&lt;/pages&gt;&lt;volume&gt;146&lt;/volume&gt;&lt;number&gt;7&lt;/number&gt;&lt;edition&gt;2007/08/29&lt;/edition&gt;&lt;keywords&gt;&lt;keyword&gt;Hematologic Neoplasms/diagnosis/*genetics/therapy&lt;/keyword&gt;&lt;keyword&gt;Humans&lt;/keyword&gt;&lt;keyword&gt;Proteomics/*methods&lt;/keyword&gt;&lt;/keywords&gt;&lt;dates&gt;&lt;year&gt;2007&lt;/year&gt;&lt;/dates&gt;&lt;orig-pub&gt;Proteomicke techniky a jejich aplikace u hematoonkologickych onemocneni.&lt;/orig-pub&gt;&lt;isbn&gt;0008-7335 (Print)&amp;#xD;0008-7335 (Linking)&lt;/isbn&gt;&lt;accession-num&gt;17722845&lt;/accession-num&gt;&lt;urls&gt;&lt;related-urls&gt;&lt;url&gt;http://www.ncbi.nlm.nih.gov/pubmed/17722845&lt;/url&gt;&lt;/related-urls&gt;&lt;/urls&gt;&lt;language&gt;cze&lt;/language&gt;&lt;/record&gt;&lt;/Cite&gt;&lt;/EndNote&gt;</w:instrText>
      </w:r>
      <w:r w:rsidRPr="00873C4C">
        <w:rPr>
          <w:color w:val="000000"/>
        </w:rPr>
        <w:fldChar w:fldCharType="separate"/>
      </w:r>
      <w:r w:rsidR="006F41FE">
        <w:rPr>
          <w:noProof/>
          <w:color w:val="000000"/>
        </w:rPr>
        <w:t>(</w:t>
      </w:r>
      <w:hyperlink w:anchor="_ENREF_464" w:tooltip="Zelena, 2007 #4027" w:history="1">
        <w:r w:rsidR="004A784D">
          <w:rPr>
            <w:noProof/>
            <w:color w:val="000000"/>
          </w:rPr>
          <w:t>Zelena and Hajek, 2007</w:t>
        </w:r>
      </w:hyperlink>
      <w:r w:rsidR="006F41FE">
        <w:rPr>
          <w:noProof/>
          <w:color w:val="000000"/>
        </w:rPr>
        <w:t>)</w:t>
      </w:r>
      <w:r w:rsidRPr="00873C4C">
        <w:rPr>
          <w:color w:val="000000"/>
        </w:rPr>
        <w:fldChar w:fldCharType="end"/>
      </w:r>
      <w:r w:rsidRPr="00873C4C">
        <w:rPr>
          <w:color w:val="000000"/>
        </w:rPr>
        <w:t xml:space="preserve"> and the development of targeted treatment. ‘Proteomics’ describes the analysis of the entire proteome of a cell or tissue </w:t>
      </w:r>
      <w:r w:rsidRPr="00873C4C">
        <w:rPr>
          <w:color w:val="000000"/>
        </w:rPr>
        <w:fldChar w:fldCharType="begin"/>
      </w:r>
      <w:r w:rsidR="006F41FE">
        <w:rPr>
          <w:color w:val="000000"/>
        </w:rPr>
        <w:instrText xml:space="preserve"> ADDIN EN.CITE &lt;EndNote&gt;&lt;Cite&gt;&lt;Author&gt;Thadikkaran&lt;/Author&gt;&lt;Year&gt;2005&lt;/Year&gt;&lt;RecNum&gt;120&lt;/RecNum&gt;&lt;DisplayText&gt;(Thadikkaran et al., 2005)&lt;/DisplayText&gt;&lt;record&gt;&lt;rec-number&gt;120&lt;/rec-number&gt;&lt;foreign-keys&gt;&lt;key app="EN" db-id="x022vrsa7zd0aqezpxpxxfvu55z5v520ev9z"&gt;120&lt;/key&gt;&lt;/foreign-keys&gt;&lt;ref-type name="Journal Article"&gt;17&lt;/ref-type&gt;&lt;contributors&gt;&lt;authors&gt;&lt;author&gt;Thadikkaran, L.&lt;/author&gt;&lt;author&gt;Siegenthaler, M. A.&lt;/author&gt;&lt;author&gt;Crettaz, D.&lt;/author&gt;&lt;author&gt;Queloz, P. A.&lt;/author&gt;&lt;author&gt;Schneider, P.&lt;/author&gt;&lt;author&gt;Tissot, J. D.&lt;/author&gt;&lt;/authors&gt;&lt;/contributors&gt;&lt;auth-address&gt;Service regional vaudois de transfusion sanguine, Rue du Bugnon 27, CH-1005 Lausanne, Switzerland.&lt;/auth-address&gt;&lt;titles&gt;&lt;title&gt;Recent advances in blood-related proteomics&lt;/title&gt;&lt;secondary-title&gt;Proteomics&lt;/secondary-title&gt;&lt;/titles&gt;&lt;pages&gt;3019-34&lt;/pages&gt;&lt;volume&gt;5&lt;/volume&gt;&lt;number&gt;12&lt;/number&gt;&lt;keywords&gt;&lt;keyword&gt;Amyloid/chemistry&lt;/keyword&gt;&lt;keyword&gt;Biological Markers&lt;/keyword&gt;&lt;keyword&gt;Blood/*metabolism&lt;/keyword&gt;&lt;keyword&gt;Blood Platelets/metabolism&lt;/keyword&gt;&lt;keyword&gt;Cryoglobulins/chemistry&lt;/keyword&gt;&lt;keyword&gt;Electrophoresis, Gel, Two-Dimensional&lt;/keyword&gt;&lt;keyword&gt;Erythrocytes/cytology&lt;/keyword&gt;&lt;keyword&gt;Hematology/methods&lt;/keyword&gt;&lt;keyword&gt;Humans&lt;/keyword&gt;&lt;keyword&gt;Leukemia/metabolism&lt;/keyword&gt;&lt;keyword&gt;Leukocytes/cytology&lt;/keyword&gt;&lt;keyword&gt;Protein Array Analysis&lt;/keyword&gt;&lt;keyword&gt;Proteome&lt;/keyword&gt;&lt;keyword&gt;Proteomics/*methods/trends&lt;/keyword&gt;&lt;/keywords&gt;&lt;dates&gt;&lt;year&gt;2005&lt;/year&gt;&lt;pub-dates&gt;&lt;date&gt;Aug&lt;/date&gt;&lt;/pub-dates&gt;&lt;/dates&gt;&lt;accession-num&gt;16041673&lt;/accession-num&gt;&lt;urls&gt;&lt;related-urls&gt;&lt;url&gt;http://www.ncbi.nlm.nih.gov/entrez/query.fcgi?cmd=Retrieve&amp;amp;db=PubMed&amp;amp;dopt=Citation&amp;amp;list_uids=16041673 &lt;/url&gt;&lt;/related-urls&gt;&lt;/urls&gt;&lt;/record&gt;&lt;/Cite&gt;&lt;/EndNote&gt;</w:instrText>
      </w:r>
      <w:r w:rsidRPr="00873C4C">
        <w:rPr>
          <w:color w:val="000000"/>
        </w:rPr>
        <w:fldChar w:fldCharType="separate"/>
      </w:r>
      <w:r w:rsidR="006F41FE">
        <w:rPr>
          <w:noProof/>
          <w:color w:val="000000"/>
        </w:rPr>
        <w:t>(</w:t>
      </w:r>
      <w:hyperlink w:anchor="_ENREF_415" w:tooltip="Thadikkaran, 2005 #120" w:history="1">
        <w:r w:rsidR="004A784D">
          <w:rPr>
            <w:noProof/>
            <w:color w:val="000000"/>
          </w:rPr>
          <w:t>Thadikkaran et al., 2005</w:t>
        </w:r>
      </w:hyperlink>
      <w:r w:rsidR="006F41FE">
        <w:rPr>
          <w:noProof/>
          <w:color w:val="000000"/>
        </w:rPr>
        <w:t>)</w:t>
      </w:r>
      <w:r w:rsidRPr="00873C4C">
        <w:rPr>
          <w:color w:val="000000"/>
        </w:rPr>
        <w:fldChar w:fldCharType="end"/>
      </w:r>
      <w:r w:rsidRPr="00873C4C">
        <w:rPr>
          <w:color w:val="000000"/>
        </w:rPr>
        <w:t xml:space="preserve"> and incorporates multiple technologies including 2-DE, 2D-DIGE,</w:t>
      </w:r>
      <w:r w:rsidRPr="00873C4C">
        <w:rPr>
          <w:color w:val="000000"/>
        </w:rPr>
        <w:fldChar w:fldCharType="begin"/>
      </w:r>
      <w:r w:rsidR="006F41FE">
        <w:rPr>
          <w:color w:val="000000"/>
        </w:rPr>
        <w:instrText xml:space="preserve"> ADDIN EN.CITE &lt;EndNote&gt;&lt;Cite&gt;&lt;Author&gt;Seshi&lt;/Author&gt;&lt;Year&gt;2007&lt;/Year&gt;&lt;RecNum&gt;4030&lt;/RecNum&gt;&lt;DisplayText&gt;(Seshi, 2007)&lt;/DisplayText&gt;&lt;record&gt;&lt;rec-number&gt;4030&lt;/rec-number&gt;&lt;foreign-keys&gt;&lt;key app="EN" db-id="zf0awxsaczrdd3eft5qvw9wrtxxawdfrvw2a"&gt;4030&lt;/key&gt;&lt;/foreign-keys&gt;&lt;ref-type name="Journal Article"&gt;17&lt;/ref-type&gt;&lt;contributors&gt;&lt;authors&gt;&lt;author&gt;Seshi, B.&lt;/author&gt;&lt;/authors&gt;&lt;/contributors&gt;&lt;auth-address&gt;Department of Pathology, Los Angeles Biomedical Research Institute, Harbor-UCLA Medical Center, David Geffen School of Medicine, UCLA, Torrance, CA 90502-2064, USA. BSeshi@LABioMed.Org&lt;/auth-address&gt;&lt;titles&gt;&lt;title&gt;Proteomics strategy based on liquid-phase IEF and 2-D DIGE: application to bone marrow mesenchymal progenitor cells&lt;/title&gt;&lt;secondary-title&gt;Proteomics&lt;/secondary-title&gt;&lt;/titles&gt;&lt;periodical&gt;&lt;full-title&gt;Proteomics&lt;/full-title&gt;&lt;/periodical&gt;&lt;pages&gt;1984-99&lt;/pages&gt;&lt;volume&gt;7&lt;/volume&gt;&lt;number&gt;12&lt;/number&gt;&lt;edition&gt;2007/05/23&lt;/edition&gt;&lt;keywords&gt;&lt;keyword&gt;Adult&lt;/keyword&gt;&lt;keyword&gt;Bone Marrow Cells/*metabolism&lt;/keyword&gt;&lt;keyword&gt;Electrophoresis, Gel, Two-Dimensional/methods&lt;/keyword&gt;&lt;keyword&gt;Female&lt;/keyword&gt;&lt;keyword&gt;Humans&lt;/keyword&gt;&lt;keyword&gt;Isoelectric Focusing/methods&lt;/keyword&gt;&lt;keyword&gt;Leukemia, Myeloid, Acute/*metabolism&lt;/keyword&gt;&lt;keyword&gt;Male&lt;/keyword&gt;&lt;keyword&gt;Mesenchymal Stem Cells/*metabolism&lt;/keyword&gt;&lt;keyword&gt;Middle Aged&lt;/keyword&gt;&lt;keyword&gt;Multiple Myeloma/*metabolism&lt;/keyword&gt;&lt;keyword&gt;Precursor Cell Lymphoblastic Leukemia-Lymphoma/*metabolism&lt;/keyword&gt;&lt;keyword&gt;Proteome/*metabolism&lt;/keyword&gt;&lt;keyword&gt;Spectrometry, Mass, Matrix-Assisted Laser Desorption-Ionization/methods&lt;/keyword&gt;&lt;keyword&gt;Tandem Mass Spectrometry/methods&lt;/keyword&gt;&lt;/keywords&gt;&lt;dates&gt;&lt;year&gt;2007&lt;/year&gt;&lt;pub-dates&gt;&lt;date&gt;Jun&lt;/date&gt;&lt;/pub-dates&gt;&lt;/dates&gt;&lt;isbn&gt;1615-9853 (Print)&amp;#xD;1615-9853 (Linking)&lt;/isbn&gt;&lt;accession-num&gt;17516591&lt;/accession-num&gt;&lt;urls&gt;&lt;related-urls&gt;&lt;url&gt;http://www.ncbi.nlm.nih.gov/pubmed/17516591&lt;/url&gt;&lt;/related-urls&gt;&lt;/urls&gt;&lt;electronic-resource-num&gt;10.1002/pmic.200600868&lt;/electronic-resource-num&gt;&lt;language&gt;eng&lt;/language&gt;&lt;/record&gt;&lt;/Cite&gt;&lt;/EndNote&gt;</w:instrText>
      </w:r>
      <w:r w:rsidRPr="00873C4C">
        <w:rPr>
          <w:color w:val="000000"/>
        </w:rPr>
        <w:fldChar w:fldCharType="separate"/>
      </w:r>
      <w:r w:rsidR="006F41FE">
        <w:rPr>
          <w:noProof/>
          <w:color w:val="000000"/>
        </w:rPr>
        <w:t>(</w:t>
      </w:r>
      <w:hyperlink w:anchor="_ENREF_379" w:tooltip="Seshi, 2007 #4030" w:history="1">
        <w:r w:rsidR="004A784D">
          <w:rPr>
            <w:noProof/>
            <w:color w:val="000000"/>
          </w:rPr>
          <w:t>Seshi, 2007</w:t>
        </w:r>
      </w:hyperlink>
      <w:r w:rsidR="006F41FE">
        <w:rPr>
          <w:noProof/>
          <w:color w:val="000000"/>
        </w:rPr>
        <w:t>)</w:t>
      </w:r>
      <w:r w:rsidRPr="00873C4C">
        <w:rPr>
          <w:color w:val="000000"/>
        </w:rPr>
        <w:fldChar w:fldCharType="end"/>
      </w:r>
      <w:r w:rsidRPr="00873C4C">
        <w:rPr>
          <w:color w:val="000000"/>
        </w:rPr>
        <w:t xml:space="preserve"> ICAT, protein arrays, MudPIT and high-resolution mass spectrometers capable of faster sequencing including  (MALDI-TOF MS) </w:t>
      </w:r>
      <w:r w:rsidRPr="00873C4C">
        <w:rPr>
          <w:color w:val="000000"/>
        </w:rPr>
        <w:fldChar w:fldCharType="begin">
          <w:fldData xml:space="preserve">PEVuZE5vdGU+PENpdGU+PEF1dGhvcj5aaGFuZzwvQXV0aG9yPjxZZWFyPjIwMDc8L1llYXI+PFJl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</w:fldData>
        </w:fldChar>
      </w:r>
      <w:r w:rsidR="006F41FE">
        <w:rPr>
          <w:color w:val="000000"/>
        </w:rPr>
        <w:instrText xml:space="preserve"> ADDIN EN.CITE </w:instrText>
      </w:r>
      <w:r w:rsidR="006F41FE">
        <w:rPr>
          <w:color w:val="000000"/>
        </w:rPr>
        <w:fldChar w:fldCharType="begin">
          <w:fldData xml:space="preserve">PEVuZE5vdGU+PENpdGU+PEF1dGhvcj5aaGFuZzwvQXV0aG9yPjxZZWFyPjIwMDc8L1llYXI+PFJl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466" w:tooltip="Zhang, 2007 #12" w:history="1">
        <w:r w:rsidR="004A784D">
          <w:rPr>
            <w:noProof/>
            <w:color w:val="000000"/>
          </w:rPr>
          <w:t>Zhang et al., 2007a</w:t>
        </w:r>
      </w:hyperlink>
      <w:r w:rsidR="006F41FE">
        <w:rPr>
          <w:noProof/>
          <w:color w:val="000000"/>
        </w:rPr>
        <w:t xml:space="preserve">, </w:t>
      </w:r>
      <w:hyperlink w:anchor="_ENREF_47" w:tooltip="Birkner, 2006 #39" w:history="1">
        <w:r w:rsidR="004A784D">
          <w:rPr>
            <w:noProof/>
            <w:color w:val="000000"/>
          </w:rPr>
          <w:t>Birkner et al., 2006</w:t>
        </w:r>
      </w:hyperlink>
      <w:r w:rsidR="006F41FE">
        <w:rPr>
          <w:noProof/>
          <w:color w:val="000000"/>
        </w:rPr>
        <w:t>)</w:t>
      </w:r>
      <w:r w:rsidRPr="00873C4C">
        <w:rPr>
          <w:color w:val="000000"/>
        </w:rPr>
        <w:fldChar w:fldCharType="end"/>
      </w:r>
      <w:r w:rsidRPr="00873C4C">
        <w:rPr>
          <w:color w:val="000000"/>
        </w:rPr>
        <w:t xml:space="preserve">. Although there is a limited number of studies to date in haematological malignancies, those already performed highlight the potential impact of these technologies in the discovery of potential novel proteins </w:t>
      </w:r>
      <w:r w:rsidR="00720963">
        <w:rPr>
          <w:color w:val="000000"/>
        </w:rPr>
        <w:t>biomarkers</w:t>
      </w:r>
      <w:r w:rsidRPr="00873C4C">
        <w:rPr>
          <w:color w:val="000000"/>
        </w:rPr>
        <w:t xml:space="preserve"> </w:t>
      </w:r>
      <w:r w:rsidRPr="00873C4C">
        <w:rPr>
          <w:color w:val="000000"/>
        </w:rPr>
        <w:fldChar w:fldCharType="begin"/>
      </w:r>
      <w:r w:rsidR="006F41FE">
        <w:rPr>
          <w:color w:val="000000"/>
        </w:rPr>
        <w:instrText xml:space="preserve"> ADDIN EN.CITE &lt;EndNote&gt;&lt;Cite&gt;&lt;Author&gt;Unwin&lt;/Author&gt;&lt;Year&gt;2007&lt;/Year&gt;&lt;RecNum&gt;48&lt;/RecNum&gt;&lt;DisplayText&gt;(Unwin and Whetton, 2007)&lt;/DisplayText&gt;&lt;record&gt;&lt;rec-number&gt;48&lt;/rec-number&gt;&lt;foreign-keys&gt;&lt;key app="EN" db-id="x022vrsa7zd0aqezpxpxxfvu55z5v520ev9z"&gt;48&lt;/key&gt;&lt;/foreign-keys&gt;&lt;ref-type name="Journal Article"&gt;17&lt;/ref-type&gt;&lt;contributors&gt;&lt;authors&gt;&lt;author&gt;Unwin, R. D.&lt;/author&gt;&lt;author&gt;Whetton, A. D.&lt;/author&gt;&lt;/authors&gt;&lt;/contributors&gt;&lt;auth-address&gt;Stem Cell and Leukaemia Proteomics Laboratory, Faculty of Medical and Human Sciences, University of Manchester, Christie Hospital, Kinnaird House, Kinnaird Road, Withington, Manchester, UK M20 4QL. runwin@manchester.ac.uk&lt;/auth-address&gt;&lt;titles&gt;&lt;title&gt;How will haematologists use proteomics?&lt;/title&gt;&lt;secondary-title&gt;Blood Rev&lt;/secondary-title&gt;&lt;/titles&gt;&lt;pages&gt;315-26&lt;/pages&gt;&lt;volume&gt;21&lt;/volume&gt;&lt;number&gt;6&lt;/number&gt;&lt;keywords&gt;&lt;keyword&gt;Biological Markers&lt;/keyword&gt;&lt;keyword&gt;Hematology/*trends&lt;/keyword&gt;&lt;keyword&gt;Humans&lt;/keyword&gt;&lt;keyword&gt;Leukemia/diagnosis/*metabolism/physiopathology&lt;/keyword&gt;&lt;keyword&gt;Proteomics/*trends&lt;/keyword&gt;&lt;/keywords&gt;&lt;dates&gt;&lt;year&gt;2007&lt;/year&gt;&lt;pub-dates&gt;&lt;date&gt;Nov&lt;/date&gt;&lt;/pub-dates&gt;&lt;/dates&gt;&lt;accession-num&gt;17889973&lt;/accession-num&gt;&lt;urls&gt;&lt;related-urls&gt;&lt;url&gt;http://www.ncbi.nlm.nih.gov/entrez/query.fcgi?cmd=Retrieve&amp;amp;db=PubMed&amp;amp;dopt=Citation&amp;amp;list_uids=17889973 &lt;/url&gt;&lt;/related-urls&gt;&lt;/urls&gt;&lt;/record&gt;&lt;/Cite&gt;&lt;/EndNote&gt;</w:instrText>
      </w:r>
      <w:r w:rsidRPr="00873C4C">
        <w:rPr>
          <w:color w:val="000000"/>
        </w:rPr>
        <w:fldChar w:fldCharType="separate"/>
      </w:r>
      <w:r w:rsidR="006F41FE">
        <w:rPr>
          <w:noProof/>
          <w:color w:val="000000"/>
        </w:rPr>
        <w:t>(</w:t>
      </w:r>
      <w:hyperlink w:anchor="_ENREF_424" w:tooltip="Unwin, 2007 #48" w:history="1">
        <w:r w:rsidR="004A784D">
          <w:rPr>
            <w:noProof/>
            <w:color w:val="000000"/>
          </w:rPr>
          <w:t>Unwin and Whetton, 2007</w:t>
        </w:r>
      </w:hyperlink>
      <w:r w:rsidR="006F41FE">
        <w:rPr>
          <w:noProof/>
          <w:color w:val="000000"/>
        </w:rPr>
        <w:t>)</w:t>
      </w:r>
      <w:r w:rsidRPr="00873C4C">
        <w:rPr>
          <w:color w:val="000000"/>
        </w:rPr>
        <w:fldChar w:fldCharType="end"/>
      </w:r>
      <w:r w:rsidRPr="00873C4C">
        <w:rPr>
          <w:color w:val="000000"/>
        </w:rPr>
        <w:t xml:space="preserve">, associated with  drug resistance. </w:t>
      </w:r>
    </w:p>
    <w:p w:rsidR="00C241AC" w:rsidRDefault="00C241AC" w:rsidP="00057B42">
      <w:pPr>
        <w:spacing w:line="360" w:lineRule="auto"/>
        <w:jc w:val="both"/>
        <w:rPr>
          <w:color w:val="000000"/>
        </w:rPr>
      </w:pPr>
    </w:p>
    <w:p w:rsidR="00F334EE" w:rsidRPr="00873C4C" w:rsidRDefault="00F334EE" w:rsidP="00057B42">
      <w:pPr>
        <w:spacing w:line="360" w:lineRule="auto"/>
        <w:jc w:val="both"/>
        <w:rPr>
          <w:color w:val="000000"/>
        </w:rPr>
      </w:pPr>
      <w:r w:rsidRPr="00873C4C">
        <w:rPr>
          <w:color w:val="000000"/>
        </w:rPr>
        <w:t>The identification of these proteins may help in the development of new diagnostic and prognostic tests that might be easily applicable in the clinical setting. As such, proteomics can help translate</w:t>
      </w:r>
      <w:r w:rsidRPr="00873C4C">
        <w:rPr>
          <w:color w:val="000000"/>
          <w:vertAlign w:val="superscript"/>
        </w:rPr>
        <w:t xml:space="preserve"> </w:t>
      </w:r>
      <w:r w:rsidRPr="00873C4C">
        <w:rPr>
          <w:color w:val="000000"/>
        </w:rPr>
        <w:t>basic science discoveries into the clinical practice of personalized</w:t>
      </w:r>
      <w:r w:rsidRPr="00873C4C">
        <w:rPr>
          <w:color w:val="000000"/>
          <w:vertAlign w:val="superscript"/>
        </w:rPr>
        <w:t xml:space="preserve"> </w:t>
      </w:r>
      <w:r w:rsidRPr="00873C4C">
        <w:rPr>
          <w:color w:val="000000"/>
        </w:rPr>
        <w:t>medicine</w:t>
      </w:r>
      <w:r w:rsidR="0063683C">
        <w:rPr>
          <w:color w:val="000000"/>
        </w:rPr>
        <w:t xml:space="preserve"> </w:t>
      </w:r>
      <w:r w:rsidR="00930156">
        <w:rPr>
          <w:color w:val="000000"/>
        </w:rPr>
        <w:fldChar w:fldCharType="begin"/>
      </w:r>
      <w:r w:rsidR="00930156">
        <w:rPr>
          <w:color w:val="000000"/>
        </w:rPr>
        <w:instrText xml:space="preserve"> ADDIN EN.CITE &lt;EndNote&gt;&lt;Cite&gt;&lt;Author&gt;Ge&lt;/Author&gt;&lt;Year&gt;2011&lt;/Year&gt;&lt;RecNum&gt;5089&lt;/RecNum&gt;&lt;DisplayText&gt;(Ge et al., 2011)&lt;/DisplayText&gt;&lt;record&gt;&lt;rec-number&gt;5089&lt;/rec-number&gt;&lt;foreign-keys&gt;&lt;key app="EN" db-id="zf0awxsaczrdd3eft5qvw9wrtxxawdfrvw2a"&gt;5089&lt;/key&gt;&lt;/foreign-keys&gt;&lt;ref-type name="Journal Article"&gt;17&lt;/ref-type&gt;&lt;contributors&gt;&lt;authors&gt;&lt;author&gt;Ge, F.&lt;/author&gt;&lt;author&gt;Bi, L. J.&lt;/author&gt;&lt;author&gt;Tao, S. C.&lt;/author&gt;&lt;author&gt;Xu, X. D.&lt;/author&gt;&lt;author&gt;Zhang, Z. P.&lt;/author&gt;&lt;author&gt;Kitazato, K.&lt;/author&gt;&lt;author&gt;Zhang, X. E.&lt;/author&gt;&lt;/authors&gt;&lt;/contributors&gt;&lt;auth-address&gt;Institute of Hydrobiology, Chinese Academy of Sciences, Wuhan, Hubei, PR China. gefeng@ihb.ac.cn&lt;/auth-address&gt;&lt;titles&gt;&lt;title&gt;Proteomic analysis of multiple myeloma: current status and future perspectives&lt;/title&gt;&lt;secondary-title&gt;Proteomics Clin Appl&lt;/secondary-title&gt;&lt;/titles&gt;&lt;periodical&gt;&lt;full-title&gt;Proteomics Clin Appl&lt;/full-title&gt;&lt;/periodical&gt;&lt;pages&gt;30-7&lt;/pages&gt;&lt;volume&gt;5&lt;/volume&gt;&lt;number&gt;1-2&lt;/number&gt;&lt;edition&gt;2011/02/01&lt;/edition&gt;&lt;keywords&gt;&lt;keyword&gt;Drug Resistance, Neoplasm&lt;/keyword&gt;&lt;keyword&gt;Humans&lt;/keyword&gt;&lt;keyword&gt;Multiple Myeloma/*chemistry&lt;/keyword&gt;&lt;keyword&gt;Neoplasm Proteins/analysis&lt;/keyword&gt;&lt;keyword&gt;Phosphoproteins/analysis&lt;/keyword&gt;&lt;keyword&gt;Proteomics/methods&lt;/keyword&gt;&lt;keyword&gt;Spectrometry, Mass, Matrix-Assisted Laser Desorption-Ionization&lt;/keyword&gt;&lt;keyword&gt;Tumor Markers, Biological/analysis&lt;/keyword&gt;&lt;/keywords&gt;&lt;dates&gt;&lt;year&gt;2011&lt;/year&gt;&lt;pub-dates&gt;&lt;date&gt;Feb&lt;/date&gt;&lt;/pub-dates&gt;&lt;/dates&gt;&lt;isbn&gt;1862-8354 (Electronic)&amp;#xD;1862-8346 (Linking)&lt;/isbn&gt;&lt;accession-num&gt;21280235&lt;/accession-num&gt;&lt;urls&gt;&lt;related-urls&gt;&lt;url&gt;http://www.ncbi.nlm.nih.gov/pubmed/21280235&lt;/url&gt;&lt;/related-urls&gt;&lt;/urls&gt;&lt;electronic-resource-num&gt;10.1002/prca.201000044&lt;/electronic-resource-num&gt;&lt;language&gt;eng&lt;/language&gt;&lt;/record&gt;&lt;/Cite&gt;&lt;/EndNote&gt;</w:instrText>
      </w:r>
      <w:r w:rsidR="00930156">
        <w:rPr>
          <w:color w:val="000000"/>
        </w:rPr>
        <w:fldChar w:fldCharType="separate"/>
      </w:r>
      <w:r w:rsidR="00930156">
        <w:rPr>
          <w:noProof/>
          <w:color w:val="000000"/>
        </w:rPr>
        <w:t>(</w:t>
      </w:r>
      <w:hyperlink w:anchor="_ENREF_140" w:tooltip="Ge, 2011 #5089" w:history="1">
        <w:r w:rsidR="004A784D">
          <w:rPr>
            <w:noProof/>
            <w:color w:val="000000"/>
          </w:rPr>
          <w:t>Ge et al., 2011</w:t>
        </w:r>
      </w:hyperlink>
      <w:r w:rsidR="00930156">
        <w:rPr>
          <w:noProof/>
          <w:color w:val="000000"/>
        </w:rPr>
        <w:t>)</w:t>
      </w:r>
      <w:r w:rsidR="00930156">
        <w:rPr>
          <w:color w:val="000000"/>
        </w:rPr>
        <w:fldChar w:fldCharType="end"/>
      </w:r>
      <w:r w:rsidRPr="00873C4C">
        <w:rPr>
          <w:color w:val="000000"/>
        </w:rPr>
        <w:t xml:space="preserve">. This approach aims to </w:t>
      </w:r>
      <w:r w:rsidRPr="00873C4C">
        <w:rPr>
          <w:color w:val="000000"/>
          <w:lang w:val="en"/>
        </w:rPr>
        <w:t xml:space="preserve">minimize that one-size-fits-all approach by matching each patient to a specific treatment based on the proteomic characteristics </w:t>
      </w:r>
      <w:r w:rsidRPr="00873C4C">
        <w:rPr>
          <w:color w:val="000000"/>
          <w:lang w:val="en"/>
        </w:rPr>
        <w:fldChar w:fldCharType="begin">
          <w:fldData xml:space="preserve">PEVuZE5vdGU+PENpdGU+PEF1dGhvcj5IYW5hc2g8L0F1dGhvcj48WWVhcj4yMDAyPC9ZZWFyPjxS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</w:fldData>
        </w:fldChar>
      </w:r>
      <w:r w:rsidR="0045713B">
        <w:rPr>
          <w:color w:val="000000"/>
          <w:lang w:val="en"/>
        </w:rPr>
        <w:instrText xml:space="preserve"> ADDIN EN.CITE </w:instrText>
      </w:r>
      <w:r w:rsidR="0045713B">
        <w:rPr>
          <w:color w:val="000000"/>
          <w:lang w:val="en"/>
        </w:rPr>
        <w:fldChar w:fldCharType="begin">
          <w:fldData xml:space="preserve">PEVuZE5vdGU+PENpdGU+PEF1dGhvcj5IYW5hc2g8L0F1dGhvcj48WWVhcj4yMDAyPC9ZZWFyPjxS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</w:fldData>
        </w:fldChar>
      </w:r>
      <w:r w:rsidR="0045713B">
        <w:rPr>
          <w:color w:val="000000"/>
          <w:lang w:val="en"/>
        </w:rPr>
        <w:instrText xml:space="preserve"> ADDIN EN.CITE.DATA </w:instrText>
      </w:r>
      <w:r w:rsidR="0045713B">
        <w:rPr>
          <w:color w:val="000000"/>
          <w:lang w:val="en"/>
        </w:rPr>
      </w:r>
      <w:r w:rsidR="0045713B">
        <w:rPr>
          <w:color w:val="000000"/>
          <w:lang w:val="en"/>
        </w:rPr>
        <w:fldChar w:fldCharType="end"/>
      </w:r>
      <w:r w:rsidRPr="00873C4C">
        <w:rPr>
          <w:color w:val="000000"/>
          <w:lang w:val="en"/>
        </w:rPr>
      </w:r>
      <w:r w:rsidRPr="00873C4C">
        <w:rPr>
          <w:color w:val="000000"/>
          <w:lang w:val="en"/>
        </w:rPr>
        <w:fldChar w:fldCharType="separate"/>
      </w:r>
      <w:r w:rsidR="00930156">
        <w:rPr>
          <w:noProof/>
          <w:color w:val="000000"/>
          <w:lang w:val="en"/>
        </w:rPr>
        <w:t>(</w:t>
      </w:r>
      <w:hyperlink w:anchor="_ENREF_161" w:tooltip="Hanash, 2002 #174" w:history="1">
        <w:r w:rsidR="004A784D">
          <w:rPr>
            <w:noProof/>
            <w:color w:val="000000"/>
            <w:lang w:val="en"/>
          </w:rPr>
          <w:t>Hanash et al., 2002</w:t>
        </w:r>
      </w:hyperlink>
      <w:r w:rsidR="00930156">
        <w:rPr>
          <w:noProof/>
          <w:color w:val="000000"/>
          <w:lang w:val="en"/>
        </w:rPr>
        <w:t xml:space="preserve">, </w:t>
      </w:r>
      <w:hyperlink w:anchor="_ENREF_129" w:tooltip="Fujii, 2006 #5729" w:history="1">
        <w:r w:rsidR="004A784D">
          <w:rPr>
            <w:noProof/>
            <w:color w:val="000000"/>
            <w:lang w:val="en"/>
          </w:rPr>
          <w:t>Fujii et al., 2006</w:t>
        </w:r>
      </w:hyperlink>
      <w:r w:rsidR="00930156">
        <w:rPr>
          <w:noProof/>
          <w:color w:val="000000"/>
          <w:lang w:val="en"/>
        </w:rPr>
        <w:t>)</w:t>
      </w:r>
      <w:r w:rsidRPr="00873C4C">
        <w:rPr>
          <w:color w:val="000000"/>
          <w:lang w:val="en"/>
        </w:rPr>
        <w:fldChar w:fldCharType="end"/>
      </w:r>
      <w:r w:rsidRPr="00873C4C">
        <w:rPr>
          <w:color w:val="000000"/>
        </w:rPr>
        <w:t xml:space="preserve"> </w:t>
      </w:r>
      <w:r w:rsidR="003623C2">
        <w:rPr>
          <w:color w:val="000000"/>
          <w:lang w:val="en"/>
        </w:rPr>
        <w:t xml:space="preserve">of that person's </w:t>
      </w:r>
      <w:r w:rsidRPr="00873C4C">
        <w:rPr>
          <w:color w:val="000000"/>
          <w:lang w:val="en"/>
        </w:rPr>
        <w:t xml:space="preserve">malignancy. </w:t>
      </w:r>
      <w:r w:rsidRPr="00873C4C">
        <w:rPr>
          <w:color w:val="000000"/>
        </w:rPr>
        <w:t xml:space="preserve">In this review we evaluate how best to apply proteomic biomarkers </w:t>
      </w:r>
      <w:r w:rsidRPr="00873C4C">
        <w:rPr>
          <w:color w:val="000000"/>
        </w:rPr>
        <w:fldChar w:fldCharType="begin">
          <w:fldData xml:space="preserve">PEVuZE5vdGU+PENpdGU+PEF1dGhvcj5Zb2N1bTwvQXV0aG9yPjxZZWFyPjIwMDY8L1llYXI+PFJl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</w:fldData>
        </w:fldChar>
      </w:r>
      <w:r w:rsidR="006F41FE">
        <w:rPr>
          <w:color w:val="000000"/>
        </w:rPr>
        <w:instrText xml:space="preserve"> ADDIN EN.CITE </w:instrText>
      </w:r>
      <w:r w:rsidR="006F41FE">
        <w:rPr>
          <w:color w:val="000000"/>
        </w:rPr>
        <w:fldChar w:fldCharType="begin">
          <w:fldData xml:space="preserve">PEVuZE5vdGU+PENpdGU+PEF1dGhvcj5Zb2N1bTwvQXV0aG9yPjxZZWFyPjIwMDY8L1llYXI+PFJl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458" w:tooltip="Yocum, 2006 #77" w:history="1">
        <w:r w:rsidR="004A784D">
          <w:rPr>
            <w:noProof/>
            <w:color w:val="000000"/>
          </w:rPr>
          <w:t>Yocum et al., 2006</w:t>
        </w:r>
      </w:hyperlink>
      <w:r w:rsidR="006F41FE">
        <w:rPr>
          <w:noProof/>
          <w:color w:val="000000"/>
        </w:rPr>
        <w:t>)</w:t>
      </w:r>
      <w:r w:rsidRPr="00873C4C">
        <w:rPr>
          <w:color w:val="000000"/>
        </w:rPr>
        <w:fldChar w:fldCharType="end"/>
      </w:r>
      <w:r w:rsidRPr="00873C4C">
        <w:rPr>
          <w:color w:val="000000"/>
        </w:rPr>
        <w:t xml:space="preserve"> in the context of haematological malignancies. </w:t>
      </w:r>
    </w:p>
    <w:p w:rsidR="00F334EE" w:rsidRPr="00873C4C" w:rsidRDefault="00F334EE" w:rsidP="00057B42">
      <w:pPr>
        <w:spacing w:line="360" w:lineRule="auto"/>
        <w:jc w:val="both"/>
        <w:rPr>
          <w:color w:val="000000"/>
        </w:rPr>
      </w:pPr>
    </w:p>
    <w:p w:rsidR="00183FFD" w:rsidRPr="00873C4C" w:rsidRDefault="00183FFD" w:rsidP="00645687">
      <w:pPr>
        <w:pStyle w:val="Heading4"/>
        <w:rPr>
          <w:lang w:val="en-GB"/>
        </w:rPr>
      </w:pPr>
      <w:bookmarkStart w:id="404" w:name="_Toc260495806"/>
      <w:bookmarkStart w:id="405" w:name="_Toc260496057"/>
      <w:bookmarkStart w:id="406" w:name="_Toc260500450"/>
      <w:bookmarkStart w:id="407" w:name="_Toc261098479"/>
      <w:bookmarkStart w:id="408" w:name="_Toc260495804"/>
      <w:bookmarkStart w:id="409" w:name="_Toc260496055"/>
      <w:bookmarkStart w:id="410" w:name="_Toc260500448"/>
      <w:bookmarkStart w:id="411" w:name="_Toc261098474"/>
      <w:r>
        <w:rPr>
          <w:lang w:val="en-GB"/>
        </w:rPr>
        <w:tab/>
      </w:r>
      <w:bookmarkStart w:id="412" w:name="_Toc312169192"/>
      <w:bookmarkStart w:id="413" w:name="_Toc312172119"/>
      <w:bookmarkStart w:id="414" w:name="_Toc312257668"/>
      <w:r w:rsidRPr="00873C4C">
        <w:rPr>
          <w:lang w:val="en-GB"/>
        </w:rPr>
        <w:t>Malignant Lymphoma</w:t>
      </w:r>
      <w:bookmarkEnd w:id="404"/>
      <w:bookmarkEnd w:id="405"/>
      <w:bookmarkEnd w:id="406"/>
      <w:bookmarkEnd w:id="407"/>
      <w:bookmarkEnd w:id="412"/>
      <w:bookmarkEnd w:id="413"/>
      <w:bookmarkEnd w:id="414"/>
    </w:p>
    <w:p w:rsidR="00183FFD" w:rsidRPr="00873C4C" w:rsidRDefault="00183FFD" w:rsidP="00183FFD">
      <w:pPr>
        <w:spacing w:before="240" w:line="360" w:lineRule="auto"/>
        <w:jc w:val="both"/>
        <w:rPr>
          <w:color w:val="000000"/>
        </w:rPr>
      </w:pPr>
      <w:r w:rsidRPr="00873C4C">
        <w:rPr>
          <w:color w:val="000000"/>
          <w:lang w:val="en"/>
        </w:rPr>
        <w:t xml:space="preserve">The group of cancers under the general term Malignant Lymphoma is quite broad. </w:t>
      </w:r>
      <w:r w:rsidRPr="00873C4C">
        <w:rPr>
          <w:color w:val="000000"/>
          <w:lang w:val="en-GB"/>
        </w:rPr>
        <w:t>They are clonal proliferations of lymphocytes that arise from B- or T-cells and are heterogeneous with respect to their clinical presentation, pathogenesis, and bi</w:t>
      </w:r>
      <w:r>
        <w:rPr>
          <w:color w:val="000000"/>
          <w:lang w:val="en-GB"/>
        </w:rPr>
        <w:t xml:space="preserve">ologic behaviour </w:t>
      </w:r>
      <w:r w:rsidRPr="00873C4C">
        <w:rPr>
          <w:color w:val="000000"/>
          <w:lang w:val="en"/>
        </w:rPr>
        <w:fldChar w:fldCharType="begin">
          <w:fldData xml:space="preserve">PEVuZE5vdGU+PENpdGU+PEF1dGhvcj5WZXJyaWxsczwvQXV0aG9yPjxZZWFyPjIwMDM8L1llYXI+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</w:fldData>
        </w:fldChar>
      </w:r>
      <w:r>
        <w:rPr>
          <w:color w:val="000000"/>
          <w:lang w:val="en"/>
        </w:rPr>
        <w:instrText xml:space="preserve"> ADDIN EN.CITE </w:instrText>
      </w:r>
      <w:r>
        <w:rPr>
          <w:color w:val="000000"/>
          <w:lang w:val="en"/>
        </w:rPr>
        <w:fldChar w:fldCharType="begin">
          <w:fldData xml:space="preserve">PEVuZE5vdGU+PENpdGU+PEF1dGhvcj5WZXJyaWxsczwvQXV0aG9yPjxZZWFyPjIwMDM8L1llYXI+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</w:fldData>
        </w:fldChar>
      </w:r>
      <w:r>
        <w:rPr>
          <w:color w:val="000000"/>
          <w:lang w:val="en"/>
        </w:rPr>
        <w:instrText xml:space="preserve"> ADDIN EN.CITE.DATA </w:instrText>
      </w:r>
      <w:r>
        <w:rPr>
          <w:color w:val="000000"/>
          <w:lang w:val="en"/>
        </w:rPr>
      </w:r>
      <w:r>
        <w:rPr>
          <w:color w:val="000000"/>
          <w:lang w:val="en"/>
        </w:rPr>
        <w:fldChar w:fldCharType="end"/>
      </w:r>
      <w:r w:rsidRPr="00873C4C">
        <w:rPr>
          <w:color w:val="000000"/>
          <w:lang w:val="en"/>
        </w:rPr>
      </w:r>
      <w:r w:rsidRPr="00873C4C">
        <w:rPr>
          <w:color w:val="000000"/>
          <w:lang w:val="en"/>
        </w:rPr>
        <w:fldChar w:fldCharType="separate"/>
      </w:r>
      <w:r>
        <w:rPr>
          <w:noProof/>
          <w:color w:val="000000"/>
          <w:lang w:val="en"/>
        </w:rPr>
        <w:t>(</w:t>
      </w:r>
      <w:hyperlink w:anchor="_ENREF_434" w:tooltip="Verrills, 2003 #73" w:history="1">
        <w:r w:rsidR="004A784D">
          <w:rPr>
            <w:noProof/>
            <w:color w:val="000000"/>
            <w:lang w:val="en"/>
          </w:rPr>
          <w:t>Verrills et al., 2003</w:t>
        </w:r>
      </w:hyperlink>
      <w:r>
        <w:rPr>
          <w:noProof/>
          <w:color w:val="000000"/>
          <w:lang w:val="en"/>
        </w:rPr>
        <w:t>)</w:t>
      </w:r>
      <w:r w:rsidRPr="00873C4C">
        <w:rPr>
          <w:color w:val="000000"/>
        </w:rPr>
        <w:fldChar w:fldCharType="end"/>
      </w:r>
      <w:r w:rsidRPr="00873C4C">
        <w:rPr>
          <w:color w:val="000000"/>
          <w:lang w:val="en-GB"/>
        </w:rPr>
        <w:t xml:space="preserve">. Hodgkin lymphoma and non- Hodgkin lymphoma (NHL) are the two major categories of malignant lymphomas recognized. Important advances in the understanding of the molecular biology and immunology of the lymphocytes and related cells have culminated in the World Health Organization </w:t>
      </w:r>
      <w:r w:rsidRPr="00873C4C">
        <w:rPr>
          <w:color w:val="000000"/>
          <w:lang w:val="en-GB"/>
        </w:rPr>
        <w:lastRenderedPageBreak/>
        <w:t>classification scheme that incorporates the clinical, histopathology, immunophenotypic, and molecular genetic characteristics of the lymphomas and defines d</w:t>
      </w:r>
      <w:r>
        <w:rPr>
          <w:color w:val="000000"/>
          <w:lang w:val="en-GB"/>
        </w:rPr>
        <w:t xml:space="preserve">istinct pathobiologic entities </w:t>
      </w:r>
      <w:r w:rsidRPr="00873C4C">
        <w:rPr>
          <w:color w:val="000000"/>
          <w:lang w:val="en-GB"/>
        </w:rPr>
        <w:fldChar w:fldCharType="begin"/>
      </w:r>
      <w:r>
        <w:rPr>
          <w:color w:val="000000"/>
          <w:lang w:val="en-GB"/>
        </w:rPr>
        <w:instrText xml:space="preserve"> ADDIN EN.CITE &lt;EndNote&gt;&lt;Cite&gt;&lt;Author&gt;Poirier&lt;/Author&gt;&lt;Year&gt;2001&lt;/Year&gt;&lt;RecNum&gt;80&lt;/RecNum&gt;&lt;DisplayText&gt;(Poirier et al., 2001)&lt;/DisplayText&gt;&lt;record&gt;&lt;rec-number&gt;80&lt;/rec-number&gt;&lt;foreign-keys&gt;&lt;key app="EN" db-id="wdesafvt1evvdheweaxpspe1vw5r92xevwzt"&gt;80&lt;/key&gt;&lt;/foreign-keys&gt;&lt;ref-type name="Journal Article"&gt;17&lt;/ref-type&gt;&lt;contributors&gt;&lt;authors&gt;&lt;author&gt;Poirier, F.&lt;/author&gt;&lt;author&gt;Pontet, M.&lt;/author&gt;&lt;author&gt;Labas, V.&lt;/author&gt;&lt;author&gt;le Caer, J. P.&lt;/author&gt;&lt;author&gt;Sghiouar-Imam, N.&lt;/author&gt;&lt;author&gt;Raphael, M.&lt;/author&gt;&lt;author&gt;Caron, M.&lt;/author&gt;&lt;author&gt;Joubert-Caron, R.&lt;/author&gt;&lt;/authors&gt;&lt;/contributors&gt;&lt;auth-address&gt;Biochimie des Proteines et Proteomique, Universite Paris 13, UFR SMBH Leonard de Vinci, Bobigny, France.&lt;/auth-address&gt;&lt;titles&gt;&lt;title&gt;Two-dimensional database of a Burkitt lymphoma cell line (DG 75) proteins: protein pattern changes following treatment with 5&amp;apos;-azycytidine&lt;/title&gt;&lt;secondary-title&gt;Electrophoresis&lt;/secondary-title&gt;&lt;/titles&gt;&lt;pages&gt;1867-77&lt;/pages&gt;&lt;volume&gt;22&lt;/volume&gt;&lt;number&gt;9&lt;/number&gt;&lt;keywords&gt;&lt;keyword&gt;Antimetabolites, Antineoplastic/pharmacology/therapeutic use&lt;/keyword&gt;&lt;keyword&gt;Azacitidine/pharmacology/therapeutic use&lt;/keyword&gt;&lt;keyword&gt;Burkitt Lymphoma/drug therapy/*metabolism&lt;/keyword&gt;&lt;keyword&gt;Databases, Factual&lt;/keyword&gt;&lt;keyword&gt;Electrophoresis, Gel, Two-Dimensional&lt;/keyword&gt;&lt;keyword&gt;Humans&lt;/keyword&gt;&lt;keyword&gt;Neoplasm Proteins/*analysis/metabolism&lt;/keyword&gt;&lt;keyword&gt;Tumor Cells, Cultured&lt;/keyword&gt;&lt;/keywords&gt;&lt;dates&gt;&lt;year&gt;2001&lt;/year&gt;&lt;pub-dates&gt;&lt;date&gt;May&lt;/date&gt;&lt;/pub-dates&gt;&lt;/dates&gt;&lt;accession-num&gt;11425244&lt;/accession-num&gt;&lt;urls&gt;&lt;related-urls&gt;&lt;url&gt;http://www.ncbi.nlm.nih.gov/entrez/query.fcgi?cmd=Retrieve&amp;amp;db=PubMed&amp;amp;dopt=Citation&amp;amp;list_uids=11425244 &lt;/url&gt;&lt;/related-urls&gt;&lt;/urls&gt;&lt;/record&gt;&lt;/Cite&gt;&lt;/EndNote&gt;</w:instrText>
      </w:r>
      <w:r w:rsidRPr="00873C4C">
        <w:rPr>
          <w:color w:val="000000"/>
          <w:lang w:val="en-GB"/>
        </w:rPr>
        <w:fldChar w:fldCharType="separate"/>
      </w:r>
      <w:r>
        <w:rPr>
          <w:noProof/>
          <w:color w:val="000000"/>
          <w:lang w:val="en-GB"/>
        </w:rPr>
        <w:t>(</w:t>
      </w:r>
      <w:hyperlink w:anchor="_ENREF_324" w:tooltip="Poirier, 2001 #80" w:history="1">
        <w:r w:rsidR="004A784D">
          <w:rPr>
            <w:noProof/>
            <w:color w:val="000000"/>
            <w:lang w:val="en-GB"/>
          </w:rPr>
          <w:t>Poirier et al., 2001</w:t>
        </w:r>
      </w:hyperlink>
      <w:r>
        <w:rPr>
          <w:noProof/>
          <w:color w:val="000000"/>
          <w:lang w:val="en-GB"/>
        </w:rPr>
        <w:t>)</w:t>
      </w:r>
      <w:r w:rsidRPr="00873C4C">
        <w:rPr>
          <w:color w:val="000000"/>
        </w:rPr>
        <w:fldChar w:fldCharType="end"/>
      </w:r>
      <w:r>
        <w:rPr>
          <w:color w:val="000000"/>
        </w:rPr>
        <w:t>.</w:t>
      </w:r>
      <w:r w:rsidRPr="00873C4C">
        <w:rPr>
          <w:color w:val="000000"/>
          <w:lang w:val="en-GB"/>
        </w:rPr>
        <w:t xml:space="preserve"> </w:t>
      </w:r>
      <w:r w:rsidRPr="00873C4C">
        <w:rPr>
          <w:color w:val="000000"/>
          <w:lang w:val="en"/>
        </w:rPr>
        <w:t>The distinctions between types of lymphoma are based on the different characteristics of the cancerous cells</w:t>
      </w:r>
      <w:r w:rsidRPr="00873C4C">
        <w:rPr>
          <w:b/>
          <w:color w:val="000000"/>
          <w:lang w:val="en"/>
        </w:rPr>
        <w:t xml:space="preserve">. </w:t>
      </w:r>
      <w:r w:rsidRPr="00873C4C">
        <w:rPr>
          <w:color w:val="000000"/>
          <w:lang w:val="en"/>
        </w:rPr>
        <w:t>The diagnosis and treatment of B cell lymphoma is based on morphologic, immunophenotypic / immuno</w:t>
      </w:r>
      <w:r>
        <w:rPr>
          <w:color w:val="000000"/>
          <w:lang w:val="en"/>
        </w:rPr>
        <w:t>-</w:t>
      </w:r>
      <w:r w:rsidRPr="00873C4C">
        <w:rPr>
          <w:color w:val="000000"/>
          <w:lang w:val="en"/>
        </w:rPr>
        <w:t>staining and cytogenetic f</w:t>
      </w:r>
      <w:r>
        <w:rPr>
          <w:color w:val="000000"/>
          <w:lang w:val="en"/>
        </w:rPr>
        <w:t>inding</w:t>
      </w:r>
      <w:r w:rsidRPr="00873C4C">
        <w:rPr>
          <w:color w:val="000000"/>
          <w:lang w:val="en"/>
        </w:rPr>
        <w:t xml:space="preserve"> </w:t>
      </w:r>
      <w:r w:rsidRPr="00873C4C">
        <w:rPr>
          <w:color w:val="000000"/>
          <w:lang w:val="en"/>
        </w:rPr>
        <w:fldChar w:fldCharType="begin"/>
      </w:r>
      <w:r>
        <w:rPr>
          <w:color w:val="000000"/>
          <w:lang w:val="en"/>
        </w:rPr>
        <w:instrText xml:space="preserve"> ADDIN EN.CITE &lt;EndNote&gt;&lt;Cite&gt;&lt;Author&gt;Higgins&lt;/Author&gt;&lt;Year&gt;2008&lt;/Year&gt;&lt;RecNum&gt;185&lt;/RecNum&gt;&lt;DisplayText&gt;(Higgins et al., 2008)&lt;/DisplayText&gt;&lt;record&gt;&lt;rec-number&gt;185&lt;/rec-number&gt;&lt;foreign-keys&gt;&lt;key app="EN" db-id="x022vrsa7zd0aqezpxpxxfvu55z5v520ev9z"&gt;185&lt;/key&gt;&lt;/foreign-keys&gt;&lt;ref-type name="Journal Article"&gt;17&lt;/ref-type&gt;&lt;contributors&gt;&lt;authors&gt;&lt;author&gt;Higgins, R. A.&lt;/author&gt;&lt;author&gt;Blankenship, J. E.&lt;/author&gt;&lt;author&gt;Kinney, M. C.&lt;/author&gt;&lt;/authors&gt;&lt;/contributors&gt;&lt;auth-address&gt;Department of Pathology, University of Texas Health Science Center at San Antonio, Mail Code 7750, 7703 Floyd Curl Dr, San Antonio, TX 78229-3900, USA.&lt;/auth-address&gt;&lt;titles&gt;&lt;title&gt;Application of immunohistochemistry in the diagnosis of non-Hodgkin and Hodgkin lymphoma&lt;/title&gt;&lt;secondary-title&gt;Arch Pathol Lab Med&lt;/secondary-title&gt;&lt;/titles&gt;&lt;pages&gt;441-61&lt;/pages&gt;&lt;volume&gt;132&lt;/volume&gt;&lt;number&gt;3&lt;/number&gt;&lt;keywords&gt;&lt;keyword&gt;Hodgkin Disease/classification/*diagnosis&lt;/keyword&gt;&lt;keyword&gt;Humans&lt;/keyword&gt;&lt;keyword&gt;Immunohistochemistry&lt;/keyword&gt;&lt;keyword&gt;Lymphoma, Non-Hodgkin/classification/*diagnosis&lt;/keyword&gt;&lt;keyword&gt;Tumor Markers, Biological/*analysis&lt;/keyword&gt;&lt;/keywords&gt;&lt;dates&gt;&lt;year&gt;2008&lt;/year&gt;&lt;pub-dates&gt;&lt;date&gt;Mar&lt;/date&gt;&lt;/pub-dates&gt;&lt;/dates&gt;&lt;accession-num&gt;18318586&lt;/accession-num&gt;&lt;urls&gt;&lt;related-urls&gt;&lt;url&gt;http://www.ncbi.nlm.nih.gov/entrez/query.fcgi?cmd=Retrieve&amp;amp;db=PubMed&amp;amp;dopt=Citation&amp;amp;list_uids=18318586 &lt;/url&gt;&lt;/related-urls&gt;&lt;/urls&gt;&lt;/record&gt;&lt;/Cite&gt;&lt;/EndNote&gt;</w:instrText>
      </w:r>
      <w:r w:rsidRPr="00873C4C">
        <w:rPr>
          <w:color w:val="000000"/>
          <w:lang w:val="en"/>
        </w:rPr>
        <w:fldChar w:fldCharType="separate"/>
      </w:r>
      <w:r>
        <w:rPr>
          <w:noProof/>
          <w:color w:val="000000"/>
          <w:lang w:val="en"/>
        </w:rPr>
        <w:t>(</w:t>
      </w:r>
      <w:hyperlink w:anchor="_ENREF_175" w:tooltip="Higgins, 2008 #185" w:history="1">
        <w:r w:rsidR="004A784D">
          <w:rPr>
            <w:noProof/>
            <w:color w:val="000000"/>
            <w:lang w:val="en"/>
          </w:rPr>
          <w:t>Higgins et al., 2008</w:t>
        </w:r>
      </w:hyperlink>
      <w:r>
        <w:rPr>
          <w:noProof/>
          <w:color w:val="000000"/>
          <w:lang w:val="en"/>
        </w:rPr>
        <w:t>)</w:t>
      </w:r>
      <w:r w:rsidRPr="00873C4C">
        <w:rPr>
          <w:color w:val="000000"/>
        </w:rPr>
        <w:fldChar w:fldCharType="end"/>
      </w:r>
      <w:r>
        <w:rPr>
          <w:color w:val="000000"/>
        </w:rPr>
        <w:t>.</w:t>
      </w:r>
      <w:r w:rsidRPr="00873C4C">
        <w:rPr>
          <w:color w:val="000000"/>
          <w:lang w:val="en"/>
        </w:rPr>
        <w:t xml:space="preserve"> </w:t>
      </w:r>
    </w:p>
    <w:p w:rsidR="00183FFD" w:rsidRPr="00873C4C" w:rsidRDefault="00183FFD" w:rsidP="00183FFD">
      <w:pPr>
        <w:spacing w:line="360" w:lineRule="auto"/>
        <w:jc w:val="both"/>
        <w:rPr>
          <w:color w:val="000000"/>
        </w:rPr>
      </w:pPr>
    </w:p>
    <w:p w:rsidR="00183FFD" w:rsidRPr="00873C4C" w:rsidRDefault="00183FFD" w:rsidP="00645687">
      <w:pPr>
        <w:pStyle w:val="Heading4"/>
        <w:rPr>
          <w:lang w:val="en"/>
        </w:rPr>
      </w:pPr>
      <w:bookmarkStart w:id="415" w:name="_Toc260495807"/>
      <w:bookmarkStart w:id="416" w:name="_Toc260496058"/>
      <w:bookmarkStart w:id="417" w:name="_Toc260500451"/>
      <w:bookmarkStart w:id="418" w:name="_Toc261098480"/>
      <w:r>
        <w:rPr>
          <w:lang w:val="en"/>
        </w:rPr>
        <w:tab/>
      </w:r>
      <w:bookmarkStart w:id="419" w:name="_Toc312169193"/>
      <w:bookmarkStart w:id="420" w:name="_Toc312172120"/>
      <w:bookmarkStart w:id="421" w:name="_Toc312257669"/>
      <w:r w:rsidRPr="00873C4C">
        <w:rPr>
          <w:lang w:val="en"/>
        </w:rPr>
        <w:t>Anaplastic large cell lymphoma (ALCL)</w:t>
      </w:r>
      <w:bookmarkEnd w:id="415"/>
      <w:bookmarkEnd w:id="416"/>
      <w:bookmarkEnd w:id="417"/>
      <w:bookmarkEnd w:id="418"/>
      <w:bookmarkEnd w:id="419"/>
      <w:bookmarkEnd w:id="420"/>
      <w:bookmarkEnd w:id="421"/>
      <w:r w:rsidRPr="00873C4C">
        <w:rPr>
          <w:lang w:val="en"/>
        </w:rPr>
        <w:t xml:space="preserve"> </w:t>
      </w:r>
    </w:p>
    <w:p w:rsidR="00183FFD" w:rsidRPr="00873C4C" w:rsidRDefault="00183FFD" w:rsidP="00183FFD">
      <w:pPr>
        <w:spacing w:before="240" w:line="360" w:lineRule="auto"/>
        <w:jc w:val="both"/>
        <w:rPr>
          <w:color w:val="000000"/>
          <w:lang w:val="en-GB"/>
        </w:rPr>
      </w:pPr>
      <w:r w:rsidRPr="00873C4C">
        <w:rPr>
          <w:color w:val="000000"/>
          <w:lang w:val="en"/>
        </w:rPr>
        <w:t xml:space="preserve">ALCL is a T-cell lymphoma consisting of large lymphoid cells with abundant cytoplasm and harboring chromosomal translocation involving the ALK tyrosine kinase.  </w:t>
      </w:r>
      <w:r w:rsidRPr="0045713B">
        <w:rPr>
          <w:color w:val="000000"/>
        </w:rPr>
        <w:t>The most common translocation in ALCL is the t (2; 5</w:t>
      </w:r>
      <w:r w:rsidR="00FD0B6C" w:rsidRPr="0045713B">
        <w:rPr>
          <w:color w:val="000000"/>
        </w:rPr>
        <w:t>) (</w:t>
      </w:r>
      <w:r w:rsidRPr="0045713B">
        <w:rPr>
          <w:color w:val="000000"/>
        </w:rPr>
        <w:t>p23;q35). This results in the formation of a chimeric fusion kinase, nucleophosmin/ALK</w:t>
      </w:r>
      <w:r>
        <w:rPr>
          <w:color w:val="000000"/>
        </w:rPr>
        <w:t>,</w:t>
      </w:r>
      <w:r w:rsidRPr="00873C4C">
        <w:rPr>
          <w:color w:val="000000"/>
          <w:lang w:val="en-GB"/>
        </w:rPr>
        <w:t xml:space="preserve"> which plays a key role in ALCL lymphomagenesis</w:t>
      </w:r>
      <w:r>
        <w:rPr>
          <w:color w:val="000000"/>
          <w:lang w:val="en-GB"/>
        </w:rPr>
        <w:t xml:space="preserve"> </w:t>
      </w:r>
      <w:r>
        <w:rPr>
          <w:color w:val="000000"/>
          <w:lang w:val="en-GB"/>
        </w:rPr>
        <w:fldChar w:fldCharType="begin"/>
      </w:r>
      <w:r>
        <w:rPr>
          <w:color w:val="000000"/>
          <w:lang w:val="en-GB"/>
        </w:rPr>
        <w:instrText xml:space="preserve"> ADDIN EN.CITE &lt;EndNote&gt;&lt;Cite&gt;&lt;Author&gt;Lim&lt;/Author&gt;&lt;Year&gt;2006&lt;/Year&gt;&lt;RecNum&gt;5730&lt;/RecNum&gt;&lt;DisplayText&gt;(Lim and Elenitoba-Johnson, 2006)&lt;/DisplayText&gt;&lt;record&gt;&lt;rec-number&gt;5730&lt;/rec-number&gt;&lt;foreign-keys&gt;&lt;key app="EN" db-id="zf0awxsaczrdd3eft5qvw9wrtxxawdfrvw2a"&gt;5730&lt;/key&gt;&lt;/foreign-keys&gt;&lt;ref-type name="Journal Article"&gt;17&lt;/ref-type&gt;&lt;contributors&gt;&lt;authors&gt;&lt;author&gt;Lim, M. S.&lt;/author&gt;&lt;author&gt;Elenitoba-Johnson, K. S.&lt;/author&gt;&lt;/authors&gt;&lt;/contributors&gt;&lt;auth-address&gt;Department of Pathology and Associated Regional and University Pathologists Institute for Clinical and Experimental Pathology, University of Utah Health Sciences Center, Salt Lake City, 84132, USA. megan.lim@path.utah.edu&lt;/auth-address&gt;&lt;titles&gt;&lt;title&gt;Mass spectrometry-based proteomic studies of human anaplastic large cell lymphoma&lt;/title&gt;&lt;secondary-title&gt;Mol Cell Proteomics&lt;/secondary-title&gt;&lt;/titles&gt;&lt;periodical&gt;&lt;full-title&gt;Mol Cell Proteomics&lt;/full-title&gt;&lt;/periodical&gt;&lt;pages&gt;1787-98&lt;/pages&gt;&lt;volume&gt;5&lt;/volume&gt;&lt;number&gt;10&lt;/number&gt;&lt;edition&gt;2006/06/21&lt;/edition&gt;&lt;keywords&gt;&lt;keyword&gt;Humans&lt;/keyword&gt;&lt;keyword&gt;Lymphoma, Large B-Cell, Diffuse/*metabolism&lt;/keyword&gt;&lt;keyword&gt;Mass Spectrometry/*methods&lt;/keyword&gt;&lt;keyword&gt;Nuclear Proteins/chemistry/metabolism&lt;/keyword&gt;&lt;keyword&gt;Protein-Tyrosine Kinases/chemistry/genetics/metabolism&lt;/keyword&gt;&lt;keyword&gt;Proteome/chemistry/metabolism&lt;/keyword&gt;&lt;keyword&gt;Proteomics/*methods&lt;/keyword&gt;&lt;/keywords&gt;&lt;dates&gt;&lt;year&gt;2006&lt;/year&gt;&lt;pub-dates&gt;&lt;date&gt;Oct&lt;/date&gt;&lt;/pub-dates&gt;&lt;/dates&gt;&lt;isbn&gt;1535-9476 (Print)&amp;#xD;1535-9476 (Linking)&lt;/isbn&gt;&lt;accession-num&gt;16785248&lt;/accession-num&gt;&lt;urls&gt;&lt;related-urls&gt;&lt;url&gt;http://www.ncbi.nlm.nih.gov/pubmed/16785248&lt;/url&gt;&lt;/related-urls&gt;&lt;/urls&gt;&lt;electronic-resource-num&gt;R600005-MCP200 [pii]&amp;#xD;10.1074/mcp.R600005-MCP200&lt;/electronic-resource-num&gt;&lt;language&gt;eng&lt;/language&gt;&lt;/record&gt;&lt;/Cite&gt;&lt;/EndNote&gt;</w:instrText>
      </w:r>
      <w:r>
        <w:rPr>
          <w:color w:val="000000"/>
          <w:lang w:val="en-GB"/>
        </w:rPr>
        <w:fldChar w:fldCharType="separate"/>
      </w:r>
      <w:r>
        <w:rPr>
          <w:noProof/>
          <w:color w:val="000000"/>
          <w:lang w:val="en-GB"/>
        </w:rPr>
        <w:t>(</w:t>
      </w:r>
      <w:hyperlink w:anchor="_ENREF_247" w:tooltip="Lim, 2006 #5730" w:history="1">
        <w:r w:rsidR="004A784D">
          <w:rPr>
            <w:noProof/>
            <w:color w:val="000000"/>
            <w:lang w:val="en-GB"/>
          </w:rPr>
          <w:t>Lim and Elenitoba-Johnson, 2006</w:t>
        </w:r>
      </w:hyperlink>
      <w:r>
        <w:rPr>
          <w:noProof/>
          <w:color w:val="000000"/>
          <w:lang w:val="en-GB"/>
        </w:rPr>
        <w:t>)</w:t>
      </w:r>
      <w:r>
        <w:rPr>
          <w:color w:val="000000"/>
          <w:lang w:val="en-GB"/>
        </w:rPr>
        <w:fldChar w:fldCharType="end"/>
      </w:r>
      <w:r>
        <w:rPr>
          <w:color w:val="000000"/>
          <w:lang w:val="en-GB"/>
        </w:rPr>
        <w:t xml:space="preserve"> </w:t>
      </w:r>
      <w:r w:rsidRPr="00873C4C">
        <w:rPr>
          <w:color w:val="000000"/>
          <w:lang w:val="en-GB"/>
        </w:rPr>
        <w:t xml:space="preserve">. </w:t>
      </w:r>
    </w:p>
    <w:p w:rsidR="00183FFD" w:rsidRPr="00873C4C"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r w:rsidRPr="00873C4C">
        <w:rPr>
          <w:color w:val="000000"/>
          <w:lang w:val="en-GB"/>
        </w:rPr>
        <w:t>However, the global molecular and cellular global and molecular consequence of NPM-ALK over expression is largely unknown. Functional quantitative proteomic approach was used to determine the global effect of NPM-ALK expression on cell function. To determine the inventory of proteins from NPM/ALK-positive ALCL SUDHL-1 cells, the membrane, cytoplasm, and nuclear sub cellular fractions were resolved by one-dimensional sodium dodecyl sulphate polyacrylamide gel electrophoresis (SDS-PAGE) and analysed using liquid chromatography-tandem mass spectrometry (LC-MS/MS)</w:t>
      </w:r>
      <w:r>
        <w:rPr>
          <w:color w:val="000000"/>
          <w:lang w:val="en-GB"/>
        </w:rPr>
        <w:t xml:space="preserve"> </w:t>
      </w:r>
      <w:r>
        <w:rPr>
          <w:color w:val="000000"/>
          <w:lang w:val="en-GB"/>
        </w:rPr>
        <w:fldChar w:fldCharType="begin"/>
      </w:r>
      <w:r>
        <w:rPr>
          <w:color w:val="000000"/>
          <w:lang w:val="en-GB"/>
        </w:rPr>
        <w:instrText xml:space="preserve"> ADDIN EN.CITE &lt;EndNote&gt;&lt;Cite&gt;&lt;Author&gt;Fujii&lt;/Author&gt;&lt;Year&gt;2006&lt;/Year&gt;&lt;RecNum&gt;5729&lt;/RecNum&gt;&lt;DisplayText&gt;(Fujii et al., 2006)&lt;/DisplayText&gt;&lt;record&gt;&lt;rec-number&gt;5729&lt;/rec-number&gt;&lt;foreign-keys&gt;&lt;key app="EN" db-id="zf0awxsaczrdd3eft5qvw9wrtxxawdfrvw2a"&gt;5729&lt;/key&gt;&lt;/foreign-keys&gt;&lt;ref-type name="Journal Article"&gt;17&lt;/ref-type&gt;&lt;contributors&gt;&lt;authors&gt;&lt;author&gt;Fujii, K.&lt;/author&gt;&lt;author&gt;Kondo, T.&lt;/author&gt;&lt;author&gt;Yamada, M.&lt;/author&gt;&lt;author&gt;Iwatsuki, K.&lt;/author&gt;&lt;author&gt;Hirohashi, S.&lt;/author&gt;&lt;/authors&gt;&lt;/contributors&gt;&lt;auth-address&gt;Proteome Bioinformatics Project, National Cancer Center Research Institute, Tokyo, Japan.&lt;/auth-address&gt;&lt;titles&gt;&lt;title&gt;Toward a comprehensive quantitative proteome database: protein expression map of lymphoid neoplasms by 2-D DIGE and MS&lt;/title&gt;&lt;secondary-title&gt;Proteomics&lt;/secondary-title&gt;&lt;/titles&gt;&lt;periodical&gt;&lt;full-title&gt;Proteomics&lt;/full-title&gt;&lt;/periodical&gt;&lt;pages&gt;4856-76&lt;/pages&gt;&lt;volume&gt;6&lt;/volume&gt;&lt;number&gt;17&lt;/number&gt;&lt;edition&gt;2006/08/05&lt;/edition&gt;&lt;keywords&gt;&lt;keyword&gt;Algorithms&lt;/keyword&gt;&lt;keyword&gt;Amino Acid Sequence&lt;/keyword&gt;&lt;keyword&gt;Cell Line, Tumor&lt;/keyword&gt;&lt;keyword&gt;Computational Biology&lt;/keyword&gt;&lt;keyword&gt;*Databases, Protein&lt;/keyword&gt;&lt;keyword&gt;Electrophoresis, Gel, Two-Dimensional&lt;/keyword&gt;&lt;keyword&gt;Humans&lt;/keyword&gt;&lt;keyword&gt;Lymphoma/chemistry/*metabolism&lt;/keyword&gt;&lt;keyword&gt;Mass Spectrometry&lt;/keyword&gt;&lt;keyword&gt;Molecular Sequence Data&lt;/keyword&gt;&lt;keyword&gt;Proliferating Cell Nuclear Antigen/chemistry&lt;/keyword&gt;&lt;keyword&gt;Proteome/*analysis/chemistry/metabolism&lt;/keyword&gt;&lt;/keywords&gt;&lt;dates&gt;&lt;year&gt;2006&lt;/year&gt;&lt;pub-dates&gt;&lt;date&gt;Sep&lt;/date&gt;&lt;/pub-dates&gt;&lt;/dates&gt;&lt;isbn&gt;1615-9853 (Print)&amp;#xD;1615-9853 (Linking)&lt;/isbn&gt;&lt;accession-num&gt;16888764&lt;/accession-num&gt;&lt;urls&gt;&lt;related-urls&gt;&lt;url&gt;http://www.ncbi.nlm.nih.gov/pubmed/16888764&lt;/url&gt;&lt;/related-urls&gt;&lt;/urls&gt;&lt;electronic-resource-num&gt;10.1002/pmic.200600097&lt;/electronic-resource-num&gt;&lt;language&gt;eng&lt;/language&gt;&lt;/record&gt;&lt;/Cite&gt;&lt;/EndNote&gt;</w:instrText>
      </w:r>
      <w:r>
        <w:rPr>
          <w:color w:val="000000"/>
          <w:lang w:val="en-GB"/>
        </w:rPr>
        <w:fldChar w:fldCharType="separate"/>
      </w:r>
      <w:r>
        <w:rPr>
          <w:noProof/>
          <w:color w:val="000000"/>
          <w:lang w:val="en-GB"/>
        </w:rPr>
        <w:t>(</w:t>
      </w:r>
      <w:hyperlink w:anchor="_ENREF_129" w:tooltip="Fujii, 2006 #5729" w:history="1">
        <w:r w:rsidR="004A784D">
          <w:rPr>
            <w:noProof/>
            <w:color w:val="000000"/>
            <w:lang w:val="en-GB"/>
          </w:rPr>
          <w:t>Fujii et al., 2006</w:t>
        </w:r>
      </w:hyperlink>
      <w:r>
        <w:rPr>
          <w:noProof/>
          <w:color w:val="000000"/>
          <w:lang w:val="en-GB"/>
        </w:rPr>
        <w:t>)</w:t>
      </w:r>
      <w:r>
        <w:rPr>
          <w:color w:val="000000"/>
          <w:lang w:val="en-GB"/>
        </w:rPr>
        <w:fldChar w:fldCharType="end"/>
      </w:r>
      <w:r w:rsidRPr="00873C4C">
        <w:rPr>
          <w:color w:val="000000"/>
          <w:lang w:val="en-GB"/>
        </w:rPr>
        <w:t xml:space="preserve">. </w:t>
      </w:r>
    </w:p>
    <w:p w:rsidR="00183FFD" w:rsidRPr="00873C4C" w:rsidRDefault="00183FFD" w:rsidP="00183FFD">
      <w:pPr>
        <w:spacing w:line="360" w:lineRule="auto"/>
        <w:jc w:val="both"/>
        <w:rPr>
          <w:color w:val="000000"/>
          <w:lang w:val="en-GB"/>
        </w:rPr>
      </w:pPr>
    </w:p>
    <w:p w:rsidR="00183FFD" w:rsidRDefault="00183FFD" w:rsidP="00183FFD">
      <w:pPr>
        <w:spacing w:line="360" w:lineRule="auto"/>
        <w:jc w:val="both"/>
        <w:rPr>
          <w:color w:val="000000"/>
          <w:lang w:val="en-GB"/>
        </w:rPr>
      </w:pPr>
      <w:r w:rsidRPr="00873C4C">
        <w:rPr>
          <w:color w:val="000000"/>
          <w:lang w:val="en-GB"/>
        </w:rPr>
        <w:t>A total of 623 prote</w:t>
      </w:r>
      <w:r>
        <w:rPr>
          <w:color w:val="000000"/>
          <w:lang w:val="en-GB"/>
        </w:rPr>
        <w:t>ins consisting of 210 membrane</w:t>
      </w:r>
      <w:r w:rsidRPr="00873C4C">
        <w:rPr>
          <w:color w:val="000000"/>
          <w:lang w:val="en-GB"/>
        </w:rPr>
        <w:t>, 229 cytoplasm, and 184 nuclear proteins were identified, 209 representative proteins indicated that 19.9% were reported to be expressed in T cells and 44.7% were reported to have important function in cancers, while only 4.3% were reported to be involved in ALCL pathogenesis</w:t>
      </w:r>
      <w:r>
        <w:rPr>
          <w:color w:val="000000"/>
          <w:lang w:val="en-GB"/>
        </w:rPr>
        <w:t xml:space="preserve"> </w:t>
      </w:r>
      <w:r>
        <w:rPr>
          <w:color w:val="000000"/>
          <w:lang w:val="en-GB"/>
        </w:rPr>
        <w:fldChar w:fldCharType="begin">
          <w:fldData xml:space="preserve">PEVuZE5vdGU+PENpdGU+PEF1dGhvcj5MaW08L0F1dGhvcj48WWVhcj4yMDA2PC9ZZWFyPjxSZWNO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==
</w:fldData>
        </w:fldChar>
      </w:r>
      <w:r>
        <w:rPr>
          <w:color w:val="000000"/>
          <w:lang w:val="en-GB"/>
        </w:rPr>
        <w:instrText xml:space="preserve"> ADDIN EN.CITE </w:instrText>
      </w:r>
      <w:r>
        <w:rPr>
          <w:color w:val="000000"/>
          <w:lang w:val="en-GB"/>
        </w:rPr>
        <w:fldChar w:fldCharType="begin">
          <w:fldData xml:space="preserve">PEVuZE5vdGU+PENpdGU+PEF1dGhvcj5MaW08L0F1dGhvcj48WWVhcj4yMDA2PC9ZZWFyPjxSZWNO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==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Pr>
          <w:color w:val="000000"/>
          <w:lang w:val="en-GB"/>
        </w:rPr>
      </w:r>
      <w:r>
        <w:rPr>
          <w:color w:val="000000"/>
          <w:lang w:val="en-GB"/>
        </w:rPr>
        <w:fldChar w:fldCharType="separate"/>
      </w:r>
      <w:r>
        <w:rPr>
          <w:noProof/>
          <w:color w:val="000000"/>
          <w:lang w:val="en-GB"/>
        </w:rPr>
        <w:t>(</w:t>
      </w:r>
      <w:hyperlink w:anchor="_ENREF_247" w:tooltip="Lim, 2006 #5730" w:history="1">
        <w:r w:rsidR="004A784D">
          <w:rPr>
            <w:noProof/>
            <w:color w:val="000000"/>
            <w:lang w:val="en-GB"/>
          </w:rPr>
          <w:t>Lim and Elenitoba-Johnson, 2006</w:t>
        </w:r>
      </w:hyperlink>
      <w:r>
        <w:rPr>
          <w:noProof/>
          <w:color w:val="000000"/>
          <w:lang w:val="en-GB"/>
        </w:rPr>
        <w:t xml:space="preserve">, </w:t>
      </w:r>
      <w:hyperlink w:anchor="_ENREF_130" w:tooltip="Fujii, 2005 #5733" w:history="1">
        <w:r w:rsidR="004A784D">
          <w:rPr>
            <w:noProof/>
            <w:color w:val="000000"/>
            <w:lang w:val="en-GB"/>
          </w:rPr>
          <w:t>Fujii et al., 2005</w:t>
        </w:r>
      </w:hyperlink>
      <w:r>
        <w:rPr>
          <w:noProof/>
          <w:color w:val="000000"/>
          <w:lang w:val="en-GB"/>
        </w:rPr>
        <w:t>)</w:t>
      </w:r>
      <w:r>
        <w:rPr>
          <w:color w:val="000000"/>
          <w:lang w:val="en-GB"/>
        </w:rPr>
        <w:fldChar w:fldCharType="end"/>
      </w:r>
      <w:r w:rsidRPr="00873C4C">
        <w:rPr>
          <w:color w:val="000000"/>
          <w:lang w:val="en-GB"/>
        </w:rPr>
        <w:t xml:space="preserve">. </w:t>
      </w:r>
    </w:p>
    <w:p w:rsidR="00183FFD" w:rsidRDefault="00183FFD" w:rsidP="00183FFD">
      <w:pPr>
        <w:spacing w:line="360" w:lineRule="auto"/>
        <w:jc w:val="both"/>
        <w:rPr>
          <w:color w:val="000000"/>
          <w:lang w:val="en-GB"/>
        </w:rPr>
      </w:pPr>
    </w:p>
    <w:p w:rsidR="00183FFD" w:rsidRDefault="00183FFD" w:rsidP="00183FFD">
      <w:pPr>
        <w:spacing w:line="360" w:lineRule="auto"/>
        <w:jc w:val="both"/>
        <w:rPr>
          <w:color w:val="000000"/>
          <w:lang w:val="en-GB"/>
        </w:rPr>
      </w:pPr>
    </w:p>
    <w:p w:rsidR="00183FFD"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p>
    <w:p w:rsidR="00183FFD" w:rsidRPr="00165B5B" w:rsidRDefault="00183FFD" w:rsidP="00645687">
      <w:pPr>
        <w:pStyle w:val="Heading4"/>
        <w:rPr>
          <w:lang w:val="en"/>
        </w:rPr>
      </w:pPr>
      <w:bookmarkStart w:id="422" w:name="_Toc260495808"/>
      <w:bookmarkStart w:id="423" w:name="_Toc260496059"/>
      <w:bookmarkStart w:id="424" w:name="_Toc260500452"/>
      <w:bookmarkStart w:id="425" w:name="_Toc261098481"/>
      <w:r>
        <w:rPr>
          <w:lang w:val="en"/>
        </w:rPr>
        <w:lastRenderedPageBreak/>
        <w:tab/>
      </w:r>
      <w:bookmarkStart w:id="426" w:name="_Toc312169194"/>
      <w:bookmarkStart w:id="427" w:name="_Toc312172121"/>
      <w:bookmarkStart w:id="428" w:name="_Toc312257670"/>
      <w:r w:rsidRPr="00165B5B">
        <w:rPr>
          <w:lang w:val="en"/>
        </w:rPr>
        <w:t>Chronic lymphocytic leukemia (CLL) / Small lymphocytic</w:t>
      </w:r>
      <w:bookmarkEnd w:id="426"/>
      <w:bookmarkEnd w:id="427"/>
      <w:bookmarkEnd w:id="428"/>
    </w:p>
    <w:p w:rsidR="00183FFD" w:rsidRDefault="00183FFD" w:rsidP="004B395A">
      <w:pPr>
        <w:pStyle w:val="Heading5"/>
        <w:numPr>
          <w:ilvl w:val="0"/>
          <w:numId w:val="0"/>
        </w:numPr>
        <w:spacing w:line="276" w:lineRule="auto"/>
        <w:rPr>
          <w:lang w:val="en"/>
        </w:rPr>
      </w:pPr>
      <w:r w:rsidRPr="00165B5B">
        <w:rPr>
          <w:lang w:val="en"/>
        </w:rPr>
        <w:t>lymphoma (SLL)</w:t>
      </w:r>
      <w:bookmarkEnd w:id="422"/>
      <w:bookmarkEnd w:id="423"/>
      <w:bookmarkEnd w:id="424"/>
      <w:bookmarkEnd w:id="425"/>
    </w:p>
    <w:p w:rsidR="00183FFD" w:rsidRPr="00873C4C" w:rsidRDefault="00183FFD" w:rsidP="004B395A">
      <w:pPr>
        <w:spacing w:before="240" w:line="360" w:lineRule="auto"/>
        <w:jc w:val="both"/>
        <w:rPr>
          <w:color w:val="000000"/>
          <w:lang w:val="en"/>
        </w:rPr>
      </w:pPr>
      <w:r w:rsidRPr="00873C4C">
        <w:rPr>
          <w:color w:val="000000"/>
          <w:lang w:val="en"/>
        </w:rPr>
        <w:t>CLL is a common hematopoietic malignant disease. CLL cells share particu</w:t>
      </w:r>
      <w:r>
        <w:rPr>
          <w:color w:val="000000"/>
          <w:lang w:val="en"/>
        </w:rPr>
        <w:t>lar immunophenotypic features (</w:t>
      </w:r>
      <w:r w:rsidRPr="00873C4C">
        <w:rPr>
          <w:color w:val="000000"/>
          <w:lang w:val="en"/>
        </w:rPr>
        <w:t>expression of mature B-cell markers, CD23, CD5, and weak expression of surface immunoglobulin).</w:t>
      </w:r>
      <w:r>
        <w:rPr>
          <w:color w:val="000000"/>
          <w:lang w:val="en"/>
        </w:rPr>
        <w:t xml:space="preserve"> </w:t>
      </w:r>
      <w:r w:rsidRPr="00873C4C">
        <w:rPr>
          <w:color w:val="000000"/>
          <w:lang w:val="en"/>
        </w:rPr>
        <w:t>However, in different cases of the disease, there may be considerable</w:t>
      </w:r>
      <w:r>
        <w:rPr>
          <w:color w:val="000000"/>
          <w:lang w:val="en"/>
        </w:rPr>
        <w:t xml:space="preserve"> variation in clinical course, i</w:t>
      </w:r>
      <w:r w:rsidRPr="00873C4C">
        <w:rPr>
          <w:color w:val="000000"/>
          <w:lang w:val="en"/>
        </w:rPr>
        <w:t xml:space="preserve">n aggressive disease, the CLL cells usually express an unmutated immunoglobulin heavy chain variable region (IgVH) and higher level of CD38 expression </w:t>
      </w:r>
      <w:r w:rsidRPr="00873C4C">
        <w:rPr>
          <w:color w:val="000000"/>
          <w:lang w:val="en"/>
        </w:rPr>
        <w:fldChar w:fldCharType="begin">
          <w:fldData xml:space="preserve">PEVuZE5vdGU+PENpdGU+PEF1dGhvcj5IYWJpYjwvQXV0aG9yPjxZZWFyPjIwMDY8L1llYXI+PFJl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</w:fldData>
        </w:fldChar>
      </w:r>
      <w:r>
        <w:rPr>
          <w:color w:val="000000"/>
          <w:lang w:val="en"/>
        </w:rPr>
        <w:instrText xml:space="preserve"> ADDIN EN.CITE </w:instrText>
      </w:r>
      <w:r>
        <w:rPr>
          <w:color w:val="000000"/>
          <w:lang w:val="en"/>
        </w:rPr>
        <w:fldChar w:fldCharType="begin">
          <w:fldData xml:space="preserve">PEVuZE5vdGU+PENpdGU+PEF1dGhvcj5IYWJpYjwvQXV0aG9yPjxZZWFyPjIwMDY8L1llYXI+PFJl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</w:fldData>
        </w:fldChar>
      </w:r>
      <w:r>
        <w:rPr>
          <w:color w:val="000000"/>
          <w:lang w:val="en"/>
        </w:rPr>
        <w:instrText xml:space="preserve"> ADDIN EN.CITE.DATA </w:instrText>
      </w:r>
      <w:r>
        <w:rPr>
          <w:color w:val="000000"/>
          <w:lang w:val="en"/>
        </w:rPr>
      </w:r>
      <w:r>
        <w:rPr>
          <w:color w:val="000000"/>
          <w:lang w:val="en"/>
        </w:rPr>
        <w:fldChar w:fldCharType="end"/>
      </w:r>
      <w:r w:rsidRPr="00873C4C">
        <w:rPr>
          <w:color w:val="000000"/>
          <w:lang w:val="en"/>
        </w:rPr>
      </w:r>
      <w:r w:rsidRPr="00873C4C">
        <w:rPr>
          <w:color w:val="000000"/>
          <w:lang w:val="en"/>
        </w:rPr>
        <w:fldChar w:fldCharType="separate"/>
      </w:r>
      <w:r>
        <w:rPr>
          <w:noProof/>
          <w:color w:val="000000"/>
          <w:lang w:val="en"/>
        </w:rPr>
        <w:t>(</w:t>
      </w:r>
      <w:hyperlink w:anchor="_ENREF_156" w:tooltip="Habib, 2006 #5761" w:history="1">
        <w:r w:rsidR="004A784D">
          <w:rPr>
            <w:noProof/>
            <w:color w:val="000000"/>
            <w:lang w:val="en"/>
          </w:rPr>
          <w:t>Habib and Finn, 2006</w:t>
        </w:r>
      </w:hyperlink>
      <w:r>
        <w:rPr>
          <w:noProof/>
          <w:color w:val="000000"/>
          <w:lang w:val="en"/>
        </w:rPr>
        <w:t xml:space="preserve">, </w:t>
      </w:r>
      <w:hyperlink w:anchor="_ENREF_50" w:tooltip="Bouley, 2006 #5760" w:history="1">
        <w:r w:rsidR="004A784D">
          <w:rPr>
            <w:noProof/>
            <w:color w:val="000000"/>
            <w:lang w:val="en"/>
          </w:rPr>
          <w:t>Bouley et al., 2006</w:t>
        </w:r>
      </w:hyperlink>
      <w:r>
        <w:rPr>
          <w:noProof/>
          <w:color w:val="000000"/>
          <w:lang w:val="en"/>
        </w:rPr>
        <w:t>)</w:t>
      </w:r>
      <w:r w:rsidRPr="00873C4C">
        <w:rPr>
          <w:color w:val="000000"/>
        </w:rPr>
        <w:fldChar w:fldCharType="end"/>
      </w:r>
      <w:r w:rsidRPr="00873C4C">
        <w:rPr>
          <w:color w:val="000000"/>
          <w:lang w:val="en"/>
        </w:rPr>
        <w:t xml:space="preserve">. </w:t>
      </w:r>
    </w:p>
    <w:p w:rsidR="00183FFD" w:rsidRDefault="00183FFD" w:rsidP="00183FFD">
      <w:pPr>
        <w:spacing w:line="360" w:lineRule="auto"/>
        <w:ind w:left="57"/>
        <w:jc w:val="both"/>
        <w:rPr>
          <w:color w:val="000000"/>
          <w:lang w:val="en"/>
        </w:rPr>
      </w:pPr>
    </w:p>
    <w:p w:rsidR="00183FFD" w:rsidRPr="00873C4C" w:rsidRDefault="00183FFD" w:rsidP="00183FFD">
      <w:pPr>
        <w:spacing w:line="360" w:lineRule="auto"/>
        <w:ind w:left="57"/>
        <w:jc w:val="both"/>
        <w:rPr>
          <w:color w:val="000000"/>
          <w:lang w:val="en"/>
        </w:rPr>
      </w:pPr>
      <w:r>
        <w:rPr>
          <w:color w:val="000000"/>
          <w:lang w:val="en"/>
        </w:rPr>
        <w:t>Using proteomics</w:t>
      </w:r>
      <w:r w:rsidRPr="00873C4C">
        <w:rPr>
          <w:color w:val="000000"/>
          <w:lang w:val="en"/>
        </w:rPr>
        <w:t xml:space="preserve"> to identify and distinct various CLL cells,</w:t>
      </w:r>
      <w:r w:rsidRPr="00873C4C">
        <w:rPr>
          <w:color w:val="000000"/>
          <w:lang w:val="en"/>
        </w:rPr>
        <w:fldChar w:fldCharType="begin"/>
      </w:r>
      <w:r>
        <w:rPr>
          <w:color w:val="000000"/>
          <w:lang w:val="en"/>
        </w:rPr>
        <w:instrText xml:space="preserve"> ADDIN EN.CITE &lt;EndNote&gt;&lt;Cite&gt;&lt;Author&gt;Bouley&lt;/Author&gt;&lt;Year&gt;2006&lt;/Year&gt;&lt;RecNum&gt;5760&lt;/RecNum&gt;&lt;DisplayText&gt;(Bouley et al., 2006)&lt;/DisplayText&gt;&lt;record&gt;&lt;rec-number&gt;5760&lt;/rec-number&gt;&lt;foreign-keys&gt;&lt;key app="EN" db-id="zf0awxsaczrdd3eft5qvw9wrtxxawdfrvw2a"&gt;5760&lt;/key&gt;&lt;/foreign-keys&gt;&lt;ref-type name="Journal Article"&gt;17&lt;/ref-type&gt;&lt;contributors&gt;&lt;authors&gt;&lt;author&gt;Bouley, J.&lt;/author&gt;&lt;author&gt;Deriano, L.&lt;/author&gt;&lt;author&gt;Delic, J.&lt;/author&gt;&lt;author&gt;Merle-Beral, H.&lt;/author&gt;&lt;/authors&gt;&lt;/contributors&gt;&lt;auth-address&gt;Laboratoire de Radiobiologie et Oncologie, CEA, DSV-DRR, Fontenay aux Roses, France.&lt;/auth-address&gt;&lt;titles&gt;&lt;title&gt;New molecular markers in resistant B-CLL&lt;/title&gt;&lt;secondary-title&gt;Leuk Lymphoma&lt;/secondary-title&gt;&lt;/titles&gt;&lt;periodical&gt;&lt;full-title&gt;Leuk Lymphoma&lt;/full-title&gt;&lt;/periodical&gt;&lt;pages&gt;791-801&lt;/pages&gt;&lt;volume&gt;47&lt;/volume&gt;&lt;number&gt;5&lt;/number&gt;&lt;edition&gt;2006/06/07&lt;/edition&gt;&lt;keywords&gt;&lt;keyword&gt;Biological Markers/analysis&lt;/keyword&gt;&lt;keyword&gt;Drug Resistance, Neoplasm/*genetics&lt;/keyword&gt;&lt;keyword&gt;Epigenesis, Genetic&lt;/keyword&gt;&lt;keyword&gt;Genomic Instability/genetics&lt;/keyword&gt;&lt;keyword&gt;Humans&lt;/keyword&gt;&lt;keyword&gt;Leukemia, Lymphocytic, Chronic, B-Cell/*diagnosis/genetics&lt;/keyword&gt;&lt;keyword&gt;Somatic Hypermutation, Immunoglobulin/genetics&lt;/keyword&gt;&lt;/keywords&gt;&lt;dates&gt;&lt;year&gt;2006&lt;/year&gt;&lt;pub-dates&gt;&lt;date&gt;May&lt;/date&gt;&lt;/pub-dates&gt;&lt;/dates&gt;&lt;isbn&gt;1042-8194 (Print)&amp;#xD;1026-8022 (Linking)&lt;/isbn&gt;&lt;accession-num&gt;16753863&lt;/accession-num&gt;&lt;urls&gt;&lt;related-urls&gt;&lt;url&gt;http://www.ncbi.nlm.nih.gov/pubmed/16753863&lt;/url&gt;&lt;/related-urls&gt;&lt;/urls&gt;&lt;electronic-resource-num&gt;L8H23P786X74LH24 [pii]&amp;#xD;10.1080/10428190500513835&lt;/electronic-resource-num&gt;&lt;language&gt;eng&lt;/language&gt;&lt;/record&gt;&lt;/Cite&gt;&lt;/EndNote&gt;</w:instrText>
      </w:r>
      <w:r w:rsidRPr="00873C4C">
        <w:rPr>
          <w:color w:val="000000"/>
          <w:lang w:val="en"/>
        </w:rPr>
        <w:fldChar w:fldCharType="separate"/>
      </w:r>
      <w:r>
        <w:rPr>
          <w:noProof/>
          <w:color w:val="000000"/>
          <w:lang w:val="en"/>
        </w:rPr>
        <w:t>(</w:t>
      </w:r>
      <w:hyperlink w:anchor="_ENREF_50" w:tooltip="Bouley, 2006 #5760" w:history="1">
        <w:r w:rsidR="004A784D">
          <w:rPr>
            <w:noProof/>
            <w:color w:val="000000"/>
            <w:lang w:val="en"/>
          </w:rPr>
          <w:t>Bouley et al., 2006</w:t>
        </w:r>
      </w:hyperlink>
      <w:r>
        <w:rPr>
          <w:noProof/>
          <w:color w:val="000000"/>
          <w:lang w:val="en"/>
        </w:rPr>
        <w:t>)</w:t>
      </w:r>
      <w:r w:rsidRPr="00873C4C">
        <w:rPr>
          <w:color w:val="000000"/>
        </w:rPr>
        <w:fldChar w:fldCharType="end"/>
      </w:r>
      <w:r w:rsidRPr="00873C4C">
        <w:rPr>
          <w:color w:val="000000"/>
          <w:lang w:val="en"/>
        </w:rPr>
        <w:t xml:space="preserve"> 12 cases were</w:t>
      </w:r>
      <w:r w:rsidRPr="00873C4C">
        <w:rPr>
          <w:color w:val="000000"/>
          <w:lang w:val="en-GB"/>
        </w:rPr>
        <w:t xml:space="preserve"> analysed</w:t>
      </w:r>
      <w:r>
        <w:rPr>
          <w:color w:val="000000"/>
          <w:lang w:val="en"/>
        </w:rPr>
        <w:t xml:space="preserve"> :</w:t>
      </w:r>
      <w:r w:rsidRPr="00873C4C">
        <w:rPr>
          <w:color w:val="000000"/>
          <w:lang w:val="en"/>
        </w:rPr>
        <w:t xml:space="preserve">six mutated M-CLL and six unmutated UM-CLL immunoglobulin heavy-chain loci; (seven CD38-negative and five CD38-positive) using two-dimensional gel electrophoresis. </w:t>
      </w:r>
      <w:r w:rsidRPr="00B9290A">
        <w:rPr>
          <w:color w:val="000000"/>
          <w:lang w:val="en"/>
        </w:rPr>
        <w:t xml:space="preserve">A gel with a pH range from </w:t>
      </w:r>
      <w:r>
        <w:rPr>
          <w:color w:val="000000"/>
          <w:lang w:val="en"/>
        </w:rPr>
        <w:t>4 to</w:t>
      </w:r>
      <w:r w:rsidRPr="00873C4C">
        <w:rPr>
          <w:color w:val="000000"/>
          <w:lang w:val="en"/>
        </w:rPr>
        <w:t xml:space="preserve"> 7</w:t>
      </w:r>
      <w:r>
        <w:rPr>
          <w:color w:val="000000"/>
          <w:lang w:val="en"/>
        </w:rPr>
        <w:t xml:space="preserve"> is</w:t>
      </w:r>
      <w:r w:rsidRPr="00873C4C">
        <w:rPr>
          <w:color w:val="000000"/>
          <w:lang w:val="en"/>
        </w:rPr>
        <w:t xml:space="preserve"> giving a high level of spot resolution. Approximately 800 protein spots were detected. Gel we</w:t>
      </w:r>
      <w:r>
        <w:rPr>
          <w:color w:val="000000"/>
          <w:lang w:val="en"/>
        </w:rPr>
        <w:t>re scanned and analyzed by the P</w:t>
      </w:r>
      <w:r w:rsidRPr="00873C4C">
        <w:rPr>
          <w:color w:val="000000"/>
          <w:lang w:val="en"/>
        </w:rPr>
        <w:t xml:space="preserve">rogenesis </w:t>
      </w:r>
      <w:r>
        <w:rPr>
          <w:rStyle w:val="st"/>
        </w:rPr>
        <w:t>Same Spots v2.0</w:t>
      </w:r>
      <w:r w:rsidRPr="00873C4C">
        <w:rPr>
          <w:color w:val="000000"/>
          <w:lang w:val="en"/>
        </w:rPr>
        <w:t xml:space="preserve"> software. Principal components analyses (PCA) of the individual gels of the dataset was employed to further investigate the level of similarity between the UM-CLL and M-CLL gels and also rapidly to identify protein spots that contribute to any potential diff</w:t>
      </w:r>
      <w:r>
        <w:rPr>
          <w:color w:val="000000"/>
          <w:lang w:val="en"/>
        </w:rPr>
        <w:t xml:space="preserve">erences between the two groups </w:t>
      </w:r>
      <w:r>
        <w:rPr>
          <w:color w:val="000000"/>
          <w:lang w:val="en"/>
        </w:rPr>
        <w:fldChar w:fldCharType="begin">
          <w:fldData xml:space="preserve">PEVuZE5vdGU+PENpdGU+PEF1dGhvcj5GdWppaTwvQXV0aG9yPjxZZWFyPjIwMDU8L1llYXI+PFJl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</w:fldData>
        </w:fldChar>
      </w:r>
      <w:r>
        <w:rPr>
          <w:color w:val="000000"/>
          <w:lang w:val="en"/>
        </w:rPr>
        <w:instrText xml:space="preserve"> ADDIN EN.CITE </w:instrText>
      </w:r>
      <w:r>
        <w:rPr>
          <w:color w:val="000000"/>
          <w:lang w:val="en"/>
        </w:rPr>
        <w:fldChar w:fldCharType="begin">
          <w:fldData xml:space="preserve">PEVuZE5vdGU+PENpdGU+PEF1dGhvcj5GdWppaTwvQXV0aG9yPjxZZWFyPjIwMDU8L1llYXI+PFJl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</w:fldData>
        </w:fldChar>
      </w:r>
      <w:r>
        <w:rPr>
          <w:color w:val="000000"/>
          <w:lang w:val="en"/>
        </w:rPr>
        <w:instrText xml:space="preserve"> ADDIN EN.CITE.DATA </w:instrText>
      </w:r>
      <w:r>
        <w:rPr>
          <w:color w:val="000000"/>
          <w:lang w:val="en"/>
        </w:rPr>
      </w:r>
      <w:r>
        <w:rPr>
          <w:color w:val="000000"/>
          <w:lang w:val="en"/>
        </w:rPr>
        <w:fldChar w:fldCharType="end"/>
      </w:r>
      <w:r>
        <w:rPr>
          <w:color w:val="000000"/>
          <w:lang w:val="en"/>
        </w:rPr>
      </w:r>
      <w:r>
        <w:rPr>
          <w:color w:val="000000"/>
          <w:lang w:val="en"/>
        </w:rPr>
        <w:fldChar w:fldCharType="separate"/>
      </w:r>
      <w:r>
        <w:rPr>
          <w:noProof/>
          <w:color w:val="000000"/>
          <w:lang w:val="en"/>
        </w:rPr>
        <w:t>(</w:t>
      </w:r>
      <w:hyperlink w:anchor="_ENREF_130" w:tooltip="Fujii, 2005 #5733" w:history="1">
        <w:r w:rsidR="004A784D">
          <w:rPr>
            <w:noProof/>
            <w:color w:val="000000"/>
            <w:lang w:val="en"/>
          </w:rPr>
          <w:t>Fujii et al., 2005</w:t>
        </w:r>
      </w:hyperlink>
      <w:r>
        <w:rPr>
          <w:noProof/>
          <w:color w:val="000000"/>
          <w:lang w:val="en"/>
        </w:rPr>
        <w:t xml:space="preserve">, </w:t>
      </w:r>
      <w:hyperlink w:anchor="_ENREF_53" w:tooltip="Boyd, 2010 #5747" w:history="1">
        <w:r w:rsidR="004A784D">
          <w:rPr>
            <w:noProof/>
            <w:color w:val="000000"/>
            <w:lang w:val="en"/>
          </w:rPr>
          <w:t>Boyd et al., 2010</w:t>
        </w:r>
      </w:hyperlink>
      <w:r>
        <w:rPr>
          <w:noProof/>
          <w:color w:val="000000"/>
          <w:lang w:val="en"/>
        </w:rPr>
        <w:t>)</w:t>
      </w:r>
      <w:r>
        <w:rPr>
          <w:color w:val="000000"/>
          <w:lang w:val="en"/>
        </w:rPr>
        <w:fldChar w:fldCharType="end"/>
      </w:r>
      <w:r w:rsidRPr="00873C4C">
        <w:rPr>
          <w:color w:val="000000"/>
          <w:lang w:val="en"/>
        </w:rPr>
        <w:t xml:space="preserve">. </w:t>
      </w:r>
    </w:p>
    <w:p w:rsidR="00183FFD" w:rsidRDefault="00183FFD" w:rsidP="00183FFD">
      <w:pPr>
        <w:spacing w:line="360" w:lineRule="auto"/>
        <w:jc w:val="both"/>
        <w:rPr>
          <w:color w:val="000000"/>
          <w:lang w:val="en"/>
        </w:rPr>
      </w:pPr>
    </w:p>
    <w:p w:rsidR="00183FFD" w:rsidRDefault="00183FFD" w:rsidP="00183FFD">
      <w:pPr>
        <w:spacing w:line="360" w:lineRule="auto"/>
        <w:jc w:val="both"/>
        <w:rPr>
          <w:color w:val="000000"/>
          <w:lang w:val="en"/>
        </w:rPr>
      </w:pPr>
      <w:r w:rsidRPr="00873C4C">
        <w:rPr>
          <w:color w:val="000000"/>
          <w:lang w:val="en"/>
        </w:rPr>
        <w:t>The levels of F-actin-capping protein beta subunit, 14-3-3 beta protein, and laminin-binding protein precursor were significantly increased in M-CLL relative to UM-CLL. In addition, primary sequence data from tandem mass spectrometry showed that nucleophosmin was present as several protein spots in M-CLL but was not detected in UM-CLL samples, suggesting that several post-translationally modified forms of nucleophosmin vary between these two sample groups. No specific differences were found between CD38-positive and -negative patient samples using the same approach</w:t>
      </w:r>
      <w:r>
        <w:rPr>
          <w:color w:val="000000"/>
          <w:lang w:val="en"/>
        </w:rPr>
        <w:t xml:space="preserve"> </w:t>
      </w:r>
      <w:r>
        <w:rPr>
          <w:color w:val="000000"/>
          <w:lang w:val="en"/>
        </w:rPr>
        <w:fldChar w:fldCharType="begin">
          <w:fldData xml:space="preserve">PEVuZE5vdGU+PENpdGU+PEF1dGhvcj5Db2NocmFuPC9BdXRob3I+PFllYXI+MjAwMzwvWWVhcj48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</w:fldData>
        </w:fldChar>
      </w:r>
      <w:r>
        <w:rPr>
          <w:color w:val="000000"/>
          <w:lang w:val="en"/>
        </w:rPr>
        <w:instrText xml:space="preserve"> ADDIN EN.CITE </w:instrText>
      </w:r>
      <w:r>
        <w:rPr>
          <w:color w:val="000000"/>
          <w:lang w:val="en"/>
        </w:rPr>
        <w:fldChar w:fldCharType="begin">
          <w:fldData xml:space="preserve">PEVuZE5vdGU+PENpdGU+PEF1dGhvcj5Db2NocmFuPC9BdXRob3I+PFllYXI+MjAwMzwvWWVhcj48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</w:fldData>
        </w:fldChar>
      </w:r>
      <w:r>
        <w:rPr>
          <w:color w:val="000000"/>
          <w:lang w:val="en"/>
        </w:rPr>
        <w:instrText xml:space="preserve"> ADDIN EN.CITE.DATA </w:instrText>
      </w:r>
      <w:r>
        <w:rPr>
          <w:color w:val="000000"/>
          <w:lang w:val="en"/>
        </w:rPr>
      </w:r>
      <w:r>
        <w:rPr>
          <w:color w:val="000000"/>
          <w:lang w:val="en"/>
        </w:rPr>
        <w:fldChar w:fldCharType="end"/>
      </w:r>
      <w:r>
        <w:rPr>
          <w:color w:val="000000"/>
          <w:lang w:val="en"/>
        </w:rPr>
      </w:r>
      <w:r>
        <w:rPr>
          <w:color w:val="000000"/>
          <w:lang w:val="en"/>
        </w:rPr>
        <w:fldChar w:fldCharType="separate"/>
      </w:r>
      <w:r>
        <w:rPr>
          <w:noProof/>
          <w:color w:val="000000"/>
          <w:lang w:val="en"/>
        </w:rPr>
        <w:t>(</w:t>
      </w:r>
      <w:hyperlink w:anchor="_ENREF_79" w:tooltip="Cochran, 2003 #5768" w:history="1">
        <w:r w:rsidR="004A784D">
          <w:rPr>
            <w:noProof/>
            <w:color w:val="000000"/>
            <w:lang w:val="en"/>
          </w:rPr>
          <w:t>Cochran et al., 2003</w:t>
        </w:r>
      </w:hyperlink>
      <w:r>
        <w:rPr>
          <w:noProof/>
          <w:color w:val="000000"/>
          <w:lang w:val="en"/>
        </w:rPr>
        <w:t>)</w:t>
      </w:r>
      <w:r>
        <w:rPr>
          <w:color w:val="000000"/>
          <w:lang w:val="en"/>
        </w:rPr>
        <w:fldChar w:fldCharType="end"/>
      </w:r>
      <w:r w:rsidRPr="00873C4C">
        <w:rPr>
          <w:color w:val="000000"/>
          <w:lang w:val="en"/>
        </w:rPr>
        <w:t xml:space="preserve">. </w:t>
      </w:r>
    </w:p>
    <w:p w:rsidR="00183FFD" w:rsidRPr="00873C4C" w:rsidRDefault="00183FFD" w:rsidP="00183FFD">
      <w:pPr>
        <w:spacing w:line="360" w:lineRule="auto"/>
        <w:jc w:val="both"/>
        <w:rPr>
          <w:color w:val="000000"/>
          <w:lang w:val="en"/>
        </w:rPr>
      </w:pPr>
    </w:p>
    <w:p w:rsidR="00183FFD" w:rsidRDefault="00183FFD" w:rsidP="00183FFD">
      <w:pPr>
        <w:spacing w:line="360" w:lineRule="auto"/>
        <w:jc w:val="both"/>
        <w:rPr>
          <w:color w:val="000000"/>
          <w:lang w:val="en"/>
        </w:rPr>
      </w:pPr>
      <w:r w:rsidRPr="00873C4C">
        <w:rPr>
          <w:color w:val="000000"/>
          <w:lang w:val="en"/>
        </w:rPr>
        <w:t xml:space="preserve">The results presented show that proteomic analysis can complement other approaches in identifying proteins that may have potential value in the biological and diagnostic distinction between UM- and M-CLL that either may contribute to </w:t>
      </w:r>
      <w:r w:rsidRPr="00873C4C">
        <w:rPr>
          <w:color w:val="000000"/>
          <w:lang w:val="en"/>
        </w:rPr>
        <w:lastRenderedPageBreak/>
        <w:t>differential prognosis or may developed as a marker for disease outcome</w:t>
      </w:r>
      <w:r>
        <w:rPr>
          <w:color w:val="000000"/>
          <w:lang w:val="en"/>
        </w:rPr>
        <w:t xml:space="preserve"> </w:t>
      </w:r>
      <w:r w:rsidRPr="00873C4C">
        <w:rPr>
          <w:color w:val="000000"/>
          <w:lang w:val="en"/>
        </w:rPr>
        <w:fldChar w:fldCharType="begin">
          <w:fldData xml:space="preserve">PEVuZE5vdGU+PENpdGU+PEF1dGhvcj5Db2NocmFuPC9BdXRob3I+PFllYXI+MjAwMzwvWWVhcj48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</w:fldData>
        </w:fldChar>
      </w:r>
      <w:r>
        <w:rPr>
          <w:color w:val="000000"/>
          <w:lang w:val="en"/>
        </w:rPr>
        <w:instrText xml:space="preserve"> ADDIN EN.CITE </w:instrText>
      </w:r>
      <w:r>
        <w:rPr>
          <w:color w:val="000000"/>
          <w:lang w:val="en"/>
        </w:rPr>
        <w:fldChar w:fldCharType="begin">
          <w:fldData xml:space="preserve">PEVuZE5vdGU+PENpdGU+PEF1dGhvcj5Db2NocmFuPC9BdXRob3I+PFllYXI+MjAwMzwvWWVhcj48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</w:fldData>
        </w:fldChar>
      </w:r>
      <w:r>
        <w:rPr>
          <w:color w:val="000000"/>
          <w:lang w:val="en"/>
        </w:rPr>
        <w:instrText xml:space="preserve"> ADDIN EN.CITE.DATA </w:instrText>
      </w:r>
      <w:r>
        <w:rPr>
          <w:color w:val="000000"/>
          <w:lang w:val="en"/>
        </w:rPr>
      </w:r>
      <w:r>
        <w:rPr>
          <w:color w:val="000000"/>
          <w:lang w:val="en"/>
        </w:rPr>
        <w:fldChar w:fldCharType="end"/>
      </w:r>
      <w:r w:rsidRPr="00873C4C">
        <w:rPr>
          <w:color w:val="000000"/>
          <w:lang w:val="en"/>
        </w:rPr>
      </w:r>
      <w:r w:rsidRPr="00873C4C">
        <w:rPr>
          <w:color w:val="000000"/>
          <w:lang w:val="en"/>
        </w:rPr>
        <w:fldChar w:fldCharType="separate"/>
      </w:r>
      <w:r>
        <w:rPr>
          <w:noProof/>
          <w:color w:val="000000"/>
          <w:lang w:val="en"/>
        </w:rPr>
        <w:t>(</w:t>
      </w:r>
      <w:hyperlink w:anchor="_ENREF_79" w:tooltip="Cochran, 2003 #5768" w:history="1">
        <w:r w:rsidR="004A784D">
          <w:rPr>
            <w:noProof/>
            <w:color w:val="000000"/>
            <w:lang w:val="en"/>
          </w:rPr>
          <w:t>Cochran et al., 2003</w:t>
        </w:r>
      </w:hyperlink>
      <w:r>
        <w:rPr>
          <w:noProof/>
          <w:color w:val="000000"/>
          <w:lang w:val="en"/>
        </w:rPr>
        <w:t>)</w:t>
      </w:r>
      <w:r w:rsidRPr="00873C4C">
        <w:rPr>
          <w:color w:val="000000"/>
        </w:rPr>
        <w:fldChar w:fldCharType="end"/>
      </w:r>
      <w:r w:rsidRPr="00873C4C">
        <w:rPr>
          <w:color w:val="000000"/>
          <w:lang w:val="en"/>
        </w:rPr>
        <w:t xml:space="preserve">. </w:t>
      </w:r>
    </w:p>
    <w:p w:rsidR="00E53409" w:rsidRDefault="00E53409" w:rsidP="00183FFD">
      <w:pPr>
        <w:spacing w:line="360" w:lineRule="auto"/>
        <w:jc w:val="both"/>
        <w:rPr>
          <w:color w:val="000000"/>
          <w:lang w:val="en"/>
        </w:rPr>
      </w:pPr>
    </w:p>
    <w:p w:rsidR="00183FFD" w:rsidRDefault="00183FFD" w:rsidP="00645687">
      <w:pPr>
        <w:pStyle w:val="Heading4"/>
        <w:rPr>
          <w:lang w:val="en"/>
        </w:rPr>
      </w:pPr>
      <w:bookmarkStart w:id="429" w:name="_Toc260495809"/>
      <w:bookmarkStart w:id="430" w:name="_Toc260496060"/>
      <w:bookmarkStart w:id="431" w:name="_Toc260500453"/>
      <w:bookmarkStart w:id="432" w:name="_Toc261098482"/>
      <w:r>
        <w:rPr>
          <w:lang w:val="en"/>
        </w:rPr>
        <w:tab/>
      </w:r>
      <w:bookmarkStart w:id="433" w:name="_Toc312169195"/>
      <w:bookmarkStart w:id="434" w:name="_Toc312172122"/>
      <w:bookmarkStart w:id="435" w:name="_Toc312257671"/>
      <w:r w:rsidRPr="00873C4C">
        <w:rPr>
          <w:lang w:val="en"/>
        </w:rPr>
        <w:t>Follicular Lymphoma</w:t>
      </w:r>
      <w:bookmarkEnd w:id="429"/>
      <w:bookmarkEnd w:id="430"/>
      <w:bookmarkEnd w:id="431"/>
      <w:bookmarkEnd w:id="432"/>
      <w:bookmarkEnd w:id="433"/>
      <w:bookmarkEnd w:id="434"/>
      <w:bookmarkEnd w:id="435"/>
    </w:p>
    <w:p w:rsidR="00183FFD" w:rsidRDefault="00183FFD" w:rsidP="004B395A">
      <w:pPr>
        <w:spacing w:before="240" w:line="360" w:lineRule="auto"/>
        <w:jc w:val="both"/>
        <w:rPr>
          <w:color w:val="000000"/>
          <w:lang w:val="en"/>
        </w:rPr>
      </w:pPr>
      <w:r w:rsidRPr="00873C4C">
        <w:rPr>
          <w:color w:val="000000"/>
          <w:lang w:val="en"/>
        </w:rPr>
        <w:t>Follicular lymphoma (FL) is the second most common and incurable non-Hodgkin’s B-cell lymphoma. Most cases over express Bcl-2 that blocks programmed ce</w:t>
      </w:r>
      <w:r>
        <w:rPr>
          <w:color w:val="000000"/>
          <w:lang w:val="en"/>
        </w:rPr>
        <w:t xml:space="preserve">ll death (apoptosis) and show </w:t>
      </w:r>
      <w:r w:rsidR="00FD0B6C">
        <w:rPr>
          <w:color w:val="000000"/>
          <w:lang w:val="en"/>
        </w:rPr>
        <w:t>t</w:t>
      </w:r>
      <w:r w:rsidR="00FD0B6C" w:rsidRPr="00873C4C">
        <w:rPr>
          <w:color w:val="000000"/>
          <w:lang w:val="en"/>
        </w:rPr>
        <w:t xml:space="preserve"> (</w:t>
      </w:r>
      <w:r w:rsidRPr="00873C4C">
        <w:rPr>
          <w:color w:val="000000"/>
          <w:lang w:val="en"/>
        </w:rPr>
        <w:t>14; 18) by cytogenetic but the pathogenesis of FL remains incompletely understood. On the other hand FL exhibits marked clinical heterogeneity and reliable prognostic markers to differentiate patients who progress rapidly from those who survive for years with indolent disease have not been established</w:t>
      </w:r>
      <w:r>
        <w:rPr>
          <w:color w:val="000000"/>
          <w:lang w:val="en"/>
        </w:rPr>
        <w:t xml:space="preserve"> </w:t>
      </w:r>
      <w:r w:rsidRPr="00873C4C">
        <w:rPr>
          <w:color w:val="000000"/>
          <w:lang w:val="en"/>
        </w:rPr>
        <w:fldChar w:fldCharType="begin">
          <w:fldData xml:space="preserve">PEVuZE5vdGU+PENpdGU+PEF1dGhvcj5Tb2xhbC1DZWxpZ255PC9BdXRob3I+PFllYXI+MjAwNjwv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</w:fldData>
        </w:fldChar>
      </w:r>
      <w:r>
        <w:rPr>
          <w:color w:val="000000"/>
          <w:lang w:val="en"/>
        </w:rPr>
        <w:instrText xml:space="preserve"> ADDIN EN.CITE </w:instrText>
      </w:r>
      <w:r>
        <w:rPr>
          <w:color w:val="000000"/>
          <w:lang w:val="en"/>
        </w:rPr>
        <w:fldChar w:fldCharType="begin">
          <w:fldData xml:space="preserve">PEVuZE5vdGU+PENpdGU+PEF1dGhvcj5Tb2xhbC1DZWxpZ255PC9BdXRob3I+PFllYXI+MjAwNjwv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</w:fldData>
        </w:fldChar>
      </w:r>
      <w:r>
        <w:rPr>
          <w:color w:val="000000"/>
          <w:lang w:val="en"/>
        </w:rPr>
        <w:instrText xml:space="preserve"> ADDIN EN.CITE.DATA </w:instrText>
      </w:r>
      <w:r>
        <w:rPr>
          <w:color w:val="000000"/>
          <w:lang w:val="en"/>
        </w:rPr>
      </w:r>
      <w:r>
        <w:rPr>
          <w:color w:val="000000"/>
          <w:lang w:val="en"/>
        </w:rPr>
        <w:fldChar w:fldCharType="end"/>
      </w:r>
      <w:r w:rsidRPr="00873C4C">
        <w:rPr>
          <w:color w:val="000000"/>
          <w:lang w:val="en"/>
        </w:rPr>
      </w:r>
      <w:r w:rsidRPr="00873C4C">
        <w:rPr>
          <w:color w:val="000000"/>
          <w:lang w:val="en"/>
        </w:rPr>
        <w:fldChar w:fldCharType="separate"/>
      </w:r>
      <w:r>
        <w:rPr>
          <w:noProof/>
          <w:color w:val="000000"/>
          <w:lang w:val="en"/>
        </w:rPr>
        <w:t>(</w:t>
      </w:r>
      <w:hyperlink w:anchor="_ENREF_395" w:tooltip="Solal-Celigny, 2006 #219" w:history="1">
        <w:r w:rsidR="004A784D">
          <w:rPr>
            <w:noProof/>
            <w:color w:val="000000"/>
            <w:lang w:val="en"/>
          </w:rPr>
          <w:t>Solal-Celigny, 2006</w:t>
        </w:r>
      </w:hyperlink>
      <w:r>
        <w:rPr>
          <w:noProof/>
          <w:color w:val="000000"/>
          <w:lang w:val="en"/>
        </w:rPr>
        <w:t xml:space="preserve">, </w:t>
      </w:r>
      <w:hyperlink w:anchor="_ENREF_53" w:tooltip="Boyd, 2010 #5747" w:history="1">
        <w:r w:rsidR="004A784D">
          <w:rPr>
            <w:noProof/>
            <w:color w:val="000000"/>
            <w:lang w:val="en"/>
          </w:rPr>
          <w:t>Boyd et al., 2010</w:t>
        </w:r>
      </w:hyperlink>
      <w:r>
        <w:rPr>
          <w:noProof/>
          <w:color w:val="000000"/>
          <w:lang w:val="en"/>
        </w:rPr>
        <w:t>)</w:t>
      </w:r>
      <w:r w:rsidRPr="00873C4C">
        <w:rPr>
          <w:color w:val="000000"/>
        </w:rPr>
        <w:fldChar w:fldCharType="end"/>
      </w:r>
      <w:r w:rsidRPr="00873C4C">
        <w:rPr>
          <w:color w:val="000000"/>
          <w:lang w:val="en"/>
        </w:rPr>
        <w:t xml:space="preserve">. </w:t>
      </w:r>
    </w:p>
    <w:p w:rsidR="00183FFD" w:rsidRPr="00873C4C" w:rsidRDefault="00183FFD" w:rsidP="00183FFD">
      <w:pPr>
        <w:spacing w:line="360" w:lineRule="auto"/>
        <w:jc w:val="both"/>
        <w:rPr>
          <w:color w:val="000000"/>
          <w:lang w:val="en"/>
        </w:rPr>
      </w:pPr>
    </w:p>
    <w:p w:rsidR="00183FFD" w:rsidRPr="00873C4C" w:rsidRDefault="00183FFD" w:rsidP="00183FFD">
      <w:pPr>
        <w:spacing w:line="360" w:lineRule="auto"/>
        <w:jc w:val="both"/>
        <w:rPr>
          <w:color w:val="000000"/>
          <w:lang w:val="en"/>
        </w:rPr>
      </w:pPr>
      <w:r w:rsidRPr="00873C4C">
        <w:rPr>
          <w:color w:val="000000"/>
          <w:lang w:val="en"/>
        </w:rPr>
        <w:t xml:space="preserve">Some patients undergo rapid transformation to aggressive lymphoma and die, whereas others survive for years with indolent disease. Pathologic grading lacks adequate reproducibility and the clinically based International Prognostic Index  </w:t>
      </w:r>
      <w:r w:rsidRPr="00873C4C">
        <w:rPr>
          <w:color w:val="000000"/>
          <w:lang w:val="en"/>
        </w:rPr>
        <w:fldChar w:fldCharType="begin"/>
      </w:r>
      <w:r>
        <w:rPr>
          <w:color w:val="000000"/>
          <w:lang w:val="en"/>
        </w:rPr>
        <w:instrText xml:space="preserve"> ADDIN EN.CITE &lt;EndNote&gt;&lt;Cite&gt;&lt;Author&gt;Solal-Celigny&lt;/Author&gt;&lt;Year&gt;2005&lt;/Year&gt;&lt;RecNum&gt;245&lt;/RecNum&gt;&lt;DisplayText&gt;(Solal-Celigny, 2005)&lt;/DisplayText&gt;&lt;record&gt;&lt;rec-number&gt;245&lt;/rec-number&gt;&lt;foreign-keys&gt;&lt;key app="EN" db-id="x022vrsa7zd0aqezpxpxxfvu55z5v520ev9z"&gt;245&lt;/key&gt;&lt;/foreign-keys&gt;&lt;ref-type name="Journal Article"&gt;17&lt;/ref-type&gt;&lt;contributors&gt;&lt;authors&gt;&lt;author&gt;Solal-Celigny, P.&lt;/author&gt;&lt;/authors&gt;&lt;/contributors&gt;&lt;auth-address&gt;Department of Hematology and Medical Oncology, Centre Jean Bernard, Le Mans, France. p.solal-celigny@noos.fr&lt;/auth-address&gt;&lt;titles&gt;&lt;title&gt;Prognosis of follicular lymphomas&lt;/title&gt;&lt;secondary-title&gt;Clin Lymphoma&lt;/secondary-title&gt;&lt;/titles&gt;&lt;pages&gt;21-5&lt;/pages&gt;&lt;volume&gt;6&lt;/volume&gt;&lt;number&gt;1&lt;/number&gt;&lt;keywords&gt;&lt;keyword&gt;Humans&lt;/keyword&gt;&lt;keyword&gt;Lymphoma, Follicular/genetics/pathology/*therapy&lt;/keyword&gt;&lt;keyword&gt;Neoplasm Staging&lt;/keyword&gt;&lt;keyword&gt;Prognosis&lt;/keyword&gt;&lt;keyword&gt;Retrospective Studies&lt;/keyword&gt;&lt;/keywords&gt;&lt;dates&gt;&lt;year&gt;2005&lt;/year&gt;&lt;pub-dates&gt;&lt;date&gt;Jun&lt;/date&gt;&lt;/pub-dates&gt;&lt;/dates&gt;&lt;accession-num&gt;15989702&lt;/accession-num&gt;&lt;urls&gt;&lt;related-urls&gt;&lt;url&gt;http://www.ncbi.nlm.nih.gov/entrez/query.fcgi?cmd=Retrieve&amp;amp;db=PubMed&amp;amp;dopt=Citation&amp;amp;list_uids=15989702 &lt;/url&gt;&lt;/related-urls&gt;&lt;/urls&gt;&lt;/record&gt;&lt;/Cite&gt;&lt;/EndNote&gt;</w:instrText>
      </w:r>
      <w:r w:rsidRPr="00873C4C">
        <w:rPr>
          <w:color w:val="000000"/>
          <w:lang w:val="en"/>
        </w:rPr>
        <w:fldChar w:fldCharType="separate"/>
      </w:r>
      <w:r>
        <w:rPr>
          <w:noProof/>
          <w:color w:val="000000"/>
          <w:lang w:val="en"/>
        </w:rPr>
        <w:t>(</w:t>
      </w:r>
      <w:hyperlink w:anchor="_ENREF_394" w:tooltip="Solal-Celigny, 2005 #245" w:history="1">
        <w:r w:rsidR="004A784D">
          <w:rPr>
            <w:noProof/>
            <w:color w:val="000000"/>
            <w:lang w:val="en"/>
          </w:rPr>
          <w:t>Solal-Celigny, 2005</w:t>
        </w:r>
      </w:hyperlink>
      <w:r>
        <w:rPr>
          <w:noProof/>
          <w:color w:val="000000"/>
          <w:lang w:val="en"/>
        </w:rPr>
        <w:t>)</w:t>
      </w:r>
      <w:r w:rsidRPr="00873C4C">
        <w:rPr>
          <w:color w:val="000000"/>
        </w:rPr>
        <w:fldChar w:fldCharType="end"/>
      </w:r>
      <w:r>
        <w:rPr>
          <w:color w:val="000000"/>
        </w:rPr>
        <w:t xml:space="preserve"> </w:t>
      </w:r>
      <w:r w:rsidRPr="00873C4C">
        <w:rPr>
          <w:color w:val="000000"/>
          <w:lang w:val="en"/>
        </w:rPr>
        <w:t xml:space="preserve">relatively identifies only few high risk patients. </w:t>
      </w:r>
    </w:p>
    <w:p w:rsidR="00183FFD" w:rsidRDefault="00183FFD" w:rsidP="00183FFD">
      <w:pPr>
        <w:spacing w:line="360" w:lineRule="auto"/>
        <w:jc w:val="both"/>
        <w:rPr>
          <w:color w:val="000000"/>
          <w:lang w:val="en"/>
        </w:rPr>
      </w:pPr>
    </w:p>
    <w:p w:rsidR="00183FFD" w:rsidRDefault="00183FFD" w:rsidP="00183FFD">
      <w:pPr>
        <w:spacing w:line="360" w:lineRule="auto"/>
        <w:jc w:val="both"/>
        <w:rPr>
          <w:color w:val="000000"/>
          <w:lang w:val="en-GB"/>
        </w:rPr>
      </w:pPr>
      <w:r w:rsidRPr="00873C4C">
        <w:rPr>
          <w:color w:val="000000"/>
          <w:lang w:val="en"/>
        </w:rPr>
        <w:t>To determine if proteomic approach can overcome this obstacle; frozen tissue from 20 cases of FL and 15 cases of Benign Follicular Hyperplasia (FH) were analyzed. Lysates were spotted on reverse-phase protein microarray to allow comparison of protein expression in multiple tissue samples simultaneously</w:t>
      </w:r>
      <w:r>
        <w:rPr>
          <w:color w:val="000000"/>
          <w:lang w:val="en"/>
        </w:rPr>
        <w:t xml:space="preserve"> </w:t>
      </w:r>
      <w:r>
        <w:rPr>
          <w:color w:val="000000"/>
          <w:lang w:val="en"/>
        </w:rPr>
        <w:fldChar w:fldCharType="begin">
          <w:fldData xml:space="preserve">PEVuZE5vdGU+PENpdGU+PEF1dGhvcj5TY2llbHpvPC9BdXRob3I+PFllYXI+MjAwNTwvWWVhcj48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</w:fldData>
        </w:fldChar>
      </w:r>
      <w:r>
        <w:rPr>
          <w:color w:val="000000"/>
          <w:lang w:val="en"/>
        </w:rPr>
        <w:instrText xml:space="preserve"> ADDIN EN.CITE </w:instrText>
      </w:r>
      <w:r>
        <w:rPr>
          <w:color w:val="000000"/>
          <w:lang w:val="en"/>
        </w:rPr>
        <w:fldChar w:fldCharType="begin">
          <w:fldData xml:space="preserve">PEVuZE5vdGU+PENpdGU+PEF1dGhvcj5TY2llbHpvPC9BdXRob3I+PFllYXI+MjAwNTwvWWVhcj48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</w:fldData>
        </w:fldChar>
      </w:r>
      <w:r>
        <w:rPr>
          <w:color w:val="000000"/>
          <w:lang w:val="en"/>
        </w:rPr>
        <w:instrText xml:space="preserve"> ADDIN EN.CITE.DATA </w:instrText>
      </w:r>
      <w:r>
        <w:rPr>
          <w:color w:val="000000"/>
          <w:lang w:val="en"/>
        </w:rPr>
      </w:r>
      <w:r>
        <w:rPr>
          <w:color w:val="000000"/>
          <w:lang w:val="en"/>
        </w:rPr>
        <w:fldChar w:fldCharType="end"/>
      </w:r>
      <w:r>
        <w:rPr>
          <w:color w:val="000000"/>
          <w:lang w:val="en"/>
        </w:rPr>
      </w:r>
      <w:r>
        <w:rPr>
          <w:color w:val="000000"/>
          <w:lang w:val="en"/>
        </w:rPr>
        <w:fldChar w:fldCharType="separate"/>
      </w:r>
      <w:r>
        <w:rPr>
          <w:noProof/>
          <w:color w:val="000000"/>
          <w:lang w:val="en"/>
        </w:rPr>
        <w:t>(</w:t>
      </w:r>
      <w:hyperlink w:anchor="_ENREF_375" w:tooltip="Scielzo, 2005 #5764" w:history="1">
        <w:r w:rsidR="004A784D">
          <w:rPr>
            <w:noProof/>
            <w:color w:val="000000"/>
            <w:lang w:val="en"/>
          </w:rPr>
          <w:t>Scielzo et al., 2005</w:t>
        </w:r>
      </w:hyperlink>
      <w:r>
        <w:rPr>
          <w:noProof/>
          <w:color w:val="000000"/>
          <w:lang w:val="en"/>
        </w:rPr>
        <w:t xml:space="preserve">, </w:t>
      </w:r>
      <w:hyperlink w:anchor="_ENREF_156" w:tooltip="Habib, 2006 #5761" w:history="1">
        <w:r w:rsidR="004A784D">
          <w:rPr>
            <w:noProof/>
            <w:color w:val="000000"/>
            <w:lang w:val="en"/>
          </w:rPr>
          <w:t>Habib and Finn, 2006</w:t>
        </w:r>
      </w:hyperlink>
      <w:r>
        <w:rPr>
          <w:noProof/>
          <w:color w:val="000000"/>
          <w:lang w:val="en"/>
        </w:rPr>
        <w:t>)</w:t>
      </w:r>
      <w:r>
        <w:rPr>
          <w:color w:val="000000"/>
          <w:lang w:val="en"/>
        </w:rPr>
        <w:fldChar w:fldCharType="end"/>
      </w:r>
      <w:r w:rsidRPr="00873C4C">
        <w:rPr>
          <w:color w:val="000000"/>
          <w:lang w:val="en"/>
        </w:rPr>
        <w:t xml:space="preserve">. They were probed with 21 antibodies to proteins in the intrinsic apoptotic pathway. A panel of three antibodies segregated most cases of FL from FH. </w:t>
      </w:r>
      <w:r w:rsidRPr="00873C4C">
        <w:rPr>
          <w:color w:val="000000"/>
          <w:lang w:val="en-GB"/>
        </w:rPr>
        <w:t>Phospho- Akt (Ser473) and Bcl-2 were significantly increased in FL (P = 0.001and P &lt; 0.0001, respectively). Additionally, the Bcl-2/Bak ratio completely discriminate FL from FH and patients with high ratios died significantly sooner than patient with low ratio with differences in median survival times of 7.3 years (P = 0.0085) and 3.8 years</w:t>
      </w:r>
      <w:r>
        <w:rPr>
          <w:color w:val="000000"/>
          <w:lang w:val="en-GB"/>
        </w:rPr>
        <w:t xml:space="preserve"> (P = 0.018), respectively. These studies</w:t>
      </w:r>
      <w:r w:rsidRPr="00873C4C">
        <w:rPr>
          <w:color w:val="000000"/>
          <w:lang w:val="en-GB"/>
        </w:rPr>
        <w:t xml:space="preserve"> demonstrated new prognostic markers including Bcl-2/Bak ratio. Because protein are the direct functional effectors of apoptotic decision making in the cells, proteins that have biological importance in FL can also be the potential therapeutic target</w:t>
      </w:r>
      <w:r>
        <w:rPr>
          <w:color w:val="000000"/>
          <w:lang w:val="en-GB"/>
        </w:rPr>
        <w:t xml:space="preserve"> </w:t>
      </w:r>
      <w:r>
        <w:rPr>
          <w:color w:val="000000"/>
          <w:lang w:val="en-GB"/>
        </w:rPr>
        <w:fldChar w:fldCharType="begin"/>
      </w:r>
      <w:r>
        <w:rPr>
          <w:color w:val="000000"/>
          <w:lang w:val="en-GB"/>
        </w:rPr>
        <w:instrText xml:space="preserve"> ADDIN EN.CITE &lt;EndNote&gt;&lt;Cite&gt;&lt;Author&gt;Bouley&lt;/Author&gt;&lt;Year&gt;2006&lt;/Year&gt;&lt;RecNum&gt;5760&lt;/RecNum&gt;&lt;DisplayText&gt;(Bouley et al., 2006)&lt;/DisplayText&gt;&lt;record&gt;&lt;rec-number&gt;5760&lt;/rec-number&gt;&lt;foreign-keys&gt;&lt;key app="EN" db-id="zf0awxsaczrdd3eft5qvw9wrtxxawdfrvw2a"&gt;5760&lt;/key&gt;&lt;/foreign-keys&gt;&lt;ref-type name="Journal Article"&gt;17&lt;/ref-type&gt;&lt;contributors&gt;&lt;authors&gt;&lt;author&gt;Bouley, J.&lt;/author&gt;&lt;author&gt;Deriano, L.&lt;/author&gt;&lt;author&gt;Delic, J.&lt;/author&gt;&lt;author&gt;Merle-Beral, H.&lt;/author&gt;&lt;/authors&gt;&lt;/contributors&gt;&lt;auth-address&gt;Laboratoire de Radiobiologie et Oncologie, CEA, DSV-DRR, Fontenay aux Roses, France.&lt;/auth-address&gt;&lt;titles&gt;&lt;title&gt;New molecular markers in resistant B-CLL&lt;/title&gt;&lt;secondary-title&gt;Leuk Lymphoma&lt;/secondary-title&gt;&lt;/titles&gt;&lt;periodical&gt;&lt;full-title&gt;Leuk Lymphoma&lt;/full-title&gt;&lt;/periodical&gt;&lt;pages&gt;791-801&lt;/pages&gt;&lt;volume&gt;47&lt;/volume&gt;&lt;number&gt;5&lt;/number&gt;&lt;edition&gt;2006/06/07&lt;/edition&gt;&lt;keywords&gt;&lt;keyword&gt;Biological Markers/analysis&lt;/keyword&gt;&lt;keyword&gt;Drug Resistance, Neoplasm/*genetics&lt;/keyword&gt;&lt;keyword&gt;Epigenesis, Genetic&lt;/keyword&gt;&lt;keyword&gt;Genomic Instability/genetics&lt;/keyword&gt;&lt;keyword&gt;Humans&lt;/keyword&gt;&lt;keyword&gt;Leukemia, Lymphocytic, Chronic, B-Cell/*diagnosis/genetics&lt;/keyword&gt;&lt;keyword&gt;Somatic Hypermutation, Immunoglobulin/genetics&lt;/keyword&gt;&lt;/keywords&gt;&lt;dates&gt;&lt;year&gt;2006&lt;/year&gt;&lt;pub-dates&gt;&lt;date&gt;May&lt;/date&gt;&lt;/pub-dates&gt;&lt;/dates&gt;&lt;isbn&gt;1042-8194 (Print)&amp;#xD;1026-8022 (Linking)&lt;/isbn&gt;&lt;accession-num&gt;16753863&lt;/accession-num&gt;&lt;urls&gt;&lt;related-urls&gt;&lt;url&gt;http://www.ncbi.nlm.nih.gov/pubmed/16753863&lt;/url&gt;&lt;/related-urls&gt;&lt;/urls&gt;&lt;electronic-resource-num&gt;L8H23P786X74LH24 [pii]&amp;#xD;10.1080/10428190500513835&lt;/electronic-resource-num&gt;&lt;language&gt;eng&lt;/language&gt;&lt;/record&gt;&lt;/Cite&gt;&lt;/EndNote&gt;</w:instrText>
      </w:r>
      <w:r>
        <w:rPr>
          <w:color w:val="000000"/>
          <w:lang w:val="en-GB"/>
        </w:rPr>
        <w:fldChar w:fldCharType="separate"/>
      </w:r>
      <w:r>
        <w:rPr>
          <w:noProof/>
          <w:color w:val="000000"/>
          <w:lang w:val="en-GB"/>
        </w:rPr>
        <w:t>(</w:t>
      </w:r>
      <w:hyperlink w:anchor="_ENREF_50" w:tooltip="Bouley, 2006 #5760" w:history="1">
        <w:r w:rsidR="004A784D">
          <w:rPr>
            <w:noProof/>
            <w:color w:val="000000"/>
            <w:lang w:val="en-GB"/>
          </w:rPr>
          <w:t>Bouley et al., 2006</w:t>
        </w:r>
      </w:hyperlink>
      <w:r>
        <w:rPr>
          <w:noProof/>
          <w:color w:val="000000"/>
          <w:lang w:val="en-GB"/>
        </w:rPr>
        <w:t>)</w:t>
      </w:r>
      <w:r>
        <w:rPr>
          <w:color w:val="000000"/>
          <w:lang w:val="en-GB"/>
        </w:rPr>
        <w:fldChar w:fldCharType="end"/>
      </w:r>
      <w:r w:rsidRPr="00873C4C">
        <w:rPr>
          <w:color w:val="000000"/>
          <w:lang w:val="en-GB"/>
        </w:rPr>
        <w:t xml:space="preserve">. </w:t>
      </w:r>
    </w:p>
    <w:p w:rsidR="00183FFD" w:rsidRPr="00873C4C" w:rsidRDefault="003C0D79" w:rsidP="00645687">
      <w:pPr>
        <w:pStyle w:val="Heading4"/>
        <w:rPr>
          <w:lang w:val="en-GB"/>
        </w:rPr>
      </w:pPr>
      <w:bookmarkStart w:id="436" w:name="_Toc260495810"/>
      <w:bookmarkStart w:id="437" w:name="_Toc260496061"/>
      <w:bookmarkStart w:id="438" w:name="_Toc260500454"/>
      <w:bookmarkStart w:id="439" w:name="_Toc261098483"/>
      <w:bookmarkStart w:id="440" w:name="_Toc312169196"/>
      <w:bookmarkStart w:id="441" w:name="_Toc312172123"/>
      <w:r>
        <w:rPr>
          <w:lang w:val="en-GB"/>
        </w:rPr>
        <w:lastRenderedPageBreak/>
        <w:tab/>
      </w:r>
      <w:bookmarkStart w:id="442" w:name="_Toc312257672"/>
      <w:r w:rsidR="00183FFD" w:rsidRPr="00873C4C">
        <w:rPr>
          <w:lang w:val="en-GB"/>
        </w:rPr>
        <w:t>Hodgkin Lymphoma (HL)</w:t>
      </w:r>
      <w:bookmarkEnd w:id="436"/>
      <w:bookmarkEnd w:id="437"/>
      <w:bookmarkEnd w:id="438"/>
      <w:bookmarkEnd w:id="439"/>
      <w:bookmarkEnd w:id="440"/>
      <w:bookmarkEnd w:id="441"/>
      <w:bookmarkEnd w:id="442"/>
    </w:p>
    <w:p w:rsidR="00183FFD" w:rsidRPr="00873C4C" w:rsidRDefault="00183FFD" w:rsidP="00183FFD">
      <w:pPr>
        <w:spacing w:before="240" w:line="360" w:lineRule="auto"/>
        <w:jc w:val="both"/>
        <w:rPr>
          <w:color w:val="000000"/>
          <w:lang w:val="en"/>
        </w:rPr>
      </w:pPr>
      <w:r w:rsidRPr="00873C4C">
        <w:rPr>
          <w:color w:val="000000"/>
          <w:lang w:val="en"/>
        </w:rPr>
        <w:t>It is one of the most common forms of malignancy affecting young adults, with an average age at diagnosis of 32 years. HL is characterized morphologically by the presence of a distinct population of neoplastic Reed–Sternberg cells (RS), that are surrounded by a non-neoplastic mixed inflammatory infiltrate</w:t>
      </w:r>
      <w:r w:rsidRPr="00873C4C">
        <w:rPr>
          <w:color w:val="000000"/>
          <w:lang w:val="en-GB"/>
        </w:rPr>
        <w:t xml:space="preserve"> RS cells in Hodgkin lymphoma (HL) secrete factors that interact with inflammatory background cells and may serve as biomarkers for disease activity.</w:t>
      </w:r>
      <w:r w:rsidRPr="00873C4C">
        <w:rPr>
          <w:color w:val="000000"/>
          <w:lang w:val="en-GB"/>
        </w:rPr>
        <w:fldChar w:fldCharType="begin"/>
      </w:r>
      <w:r>
        <w:rPr>
          <w:color w:val="000000"/>
          <w:lang w:val="en-GB"/>
        </w:rPr>
        <w:instrText xml:space="preserve"> ADDIN EN.CITE &lt;EndNote&gt;&lt;Cite&gt;&lt;Author&gt;Ma&lt;/Author&gt;&lt;Year&gt;2008&lt;/Year&gt;&lt;RecNum&gt;189&lt;/RecNum&gt;&lt;DisplayText&gt;(Ma et al., 2008b)&lt;/DisplayText&gt;&lt;record&gt;&lt;rec-number&gt;189&lt;/rec-number&gt;&lt;foreign-keys&gt;&lt;key app="EN" db-id="x022vrsa7zd0aqezpxpxxfvu55z5v520ev9z"&gt;189&lt;/key&gt;&lt;/foreign-keys&gt;&lt;ref-type name="Journal Article"&gt;17&lt;/ref-type&gt;&lt;contributors&gt;&lt;authors&gt;&lt;author&gt;Ma, Y.&lt;/author&gt;&lt;author&gt;Visser, L.&lt;/author&gt;&lt;author&gt;Roelofsen, H.&lt;/author&gt;&lt;author&gt;de Vries, M.&lt;/author&gt;&lt;author&gt;Diepstra, A.&lt;/author&gt;&lt;author&gt;van Imhoff, G.&lt;/author&gt;&lt;author&gt;van der Wal, T.&lt;/author&gt;&lt;author&gt;Luinge, M.&lt;/author&gt;&lt;author&gt;Alvarez-Llamas, G.&lt;/author&gt;&lt;author&gt;Vos, H.&lt;/author&gt;&lt;author&gt;Poppema, S.&lt;/author&gt;&lt;author&gt;Vonk, R.&lt;/author&gt;&lt;author&gt;van den Berg, A.&lt;/author&gt;&lt;/authors&gt;&lt;/contributors&gt;&lt;auth-address&gt;Department of Pathology &amp;amp; Laboratory Medicine, Centre for Medical Biomics, University Medical Center Groningen, University of Groningen, Groningen, The Netherlands.&lt;/auth-address&gt;&lt;titles&gt;&lt;title&gt;Proteomics analysis of Hodgkin lymphoma: identification of new players involved in the cross-talk between HRS cells and infiltrating lymphocytes&lt;/title&gt;&lt;secondary-title&gt;Blood&lt;/secondary-title&gt;&lt;/titles&gt;&lt;pages&gt;2339-46&lt;/pages&gt;&lt;volume&gt;111&lt;/volume&gt;&lt;number&gt;4&lt;/number&gt;&lt;keywords&gt;&lt;keyword&gt;Adolescent&lt;/keyword&gt;&lt;keyword&gt;Adult&lt;/keyword&gt;&lt;keyword&gt;Blood Cells/cytology/drug effects/pathology&lt;/keyword&gt;&lt;keyword&gt;Cell Communication&lt;/keyword&gt;&lt;keyword&gt;Cell Line, Tumor&lt;/keyword&gt;&lt;keyword&gt;Child&lt;/keyword&gt;&lt;keyword&gt;Hodgkin Disease/*genetics&lt;/keyword&gt;&lt;keyword&gt;Humans&lt;/keyword&gt;&lt;keyword&gt;Middle Aged&lt;/keyword&gt;&lt;keyword&gt;Proteomics&lt;/keyword&gt;&lt;keyword&gt;Reed-Sternberg Cells/*pathology&lt;/keyword&gt;&lt;keyword&gt;Reference Values&lt;/keyword&gt;&lt;/keywords&gt;&lt;dates&gt;&lt;year&gt;2008&lt;/year&gt;&lt;pub-dates&gt;&lt;date&gt;Feb 15&lt;/date&gt;&lt;/pub-dates&gt;&lt;/dates&gt;&lt;accession-num&gt;18070985&lt;/accession-num&gt;&lt;urls&gt;&lt;related-urls&gt;&lt;url&gt;http://www.ncbi.nlm.nih.gov/entrez/query.fcgi?cmd=Retrieve&amp;amp;db=PubMed&amp;amp;dopt=Citation&amp;amp;list_uids=18070985 &lt;/url&gt;&lt;/related-urls&gt;&lt;/urls&gt;&lt;/record&gt;&lt;/Cite&gt;&lt;/EndNote&gt;</w:instrText>
      </w:r>
      <w:r w:rsidRPr="00873C4C">
        <w:rPr>
          <w:color w:val="000000"/>
          <w:lang w:val="en-GB"/>
        </w:rPr>
        <w:fldChar w:fldCharType="separate"/>
      </w:r>
      <w:r>
        <w:rPr>
          <w:noProof/>
          <w:color w:val="000000"/>
          <w:lang w:val="en-GB"/>
        </w:rPr>
        <w:t>(</w:t>
      </w:r>
      <w:hyperlink w:anchor="_ENREF_260" w:tooltip="Ma, 2008 #189" w:history="1">
        <w:r w:rsidR="004A784D">
          <w:rPr>
            <w:noProof/>
            <w:color w:val="000000"/>
            <w:lang w:val="en-GB"/>
          </w:rPr>
          <w:t>Ma et al., 2008b</w:t>
        </w:r>
      </w:hyperlink>
      <w:r>
        <w:rPr>
          <w:noProof/>
          <w:color w:val="000000"/>
          <w:lang w:val="en-GB"/>
        </w:rPr>
        <w:t>)</w:t>
      </w:r>
      <w:r w:rsidRPr="00873C4C">
        <w:rPr>
          <w:color w:val="000000"/>
        </w:rPr>
        <w:fldChar w:fldCharType="end"/>
      </w:r>
      <w:r w:rsidRPr="00873C4C">
        <w:rPr>
          <w:color w:val="000000"/>
          <w:lang w:val="en"/>
        </w:rPr>
        <w:t xml:space="preserve">. Accurate tissue-based diagnosis and staging are critical to the successful treatment of HL. </w:t>
      </w:r>
    </w:p>
    <w:p w:rsidR="00183FFD" w:rsidRPr="00873C4C" w:rsidRDefault="00183FFD" w:rsidP="00183FFD">
      <w:pPr>
        <w:spacing w:line="360" w:lineRule="auto"/>
        <w:jc w:val="both"/>
        <w:rPr>
          <w:color w:val="000000"/>
          <w:lang w:val="en"/>
        </w:rPr>
      </w:pPr>
    </w:p>
    <w:p w:rsidR="00183FFD" w:rsidRPr="00873C4C" w:rsidRDefault="00183FFD" w:rsidP="00183FFD">
      <w:pPr>
        <w:spacing w:line="360" w:lineRule="auto"/>
        <w:jc w:val="both"/>
        <w:rPr>
          <w:color w:val="000000"/>
          <w:lang w:val="en-GB"/>
        </w:rPr>
      </w:pPr>
      <w:r w:rsidRPr="00873C4C">
        <w:rPr>
          <w:color w:val="000000"/>
          <w:lang w:val="en"/>
        </w:rPr>
        <w:t>When accurately diagnosed, HL can be treated and cured with local treatment.  However, 20–30% of patients experience relapse and die of complications associated with progressive disease and or treatment.</w:t>
      </w:r>
      <w:r>
        <w:rPr>
          <w:color w:val="000000"/>
          <w:lang w:val="en"/>
        </w:rPr>
        <w:t xml:space="preserve"> </w:t>
      </w:r>
      <w:r w:rsidRPr="00873C4C">
        <w:rPr>
          <w:color w:val="000000"/>
          <w:lang w:val="en"/>
        </w:rPr>
        <w:fldChar w:fldCharType="begin"/>
      </w:r>
      <w:r>
        <w:rPr>
          <w:color w:val="000000"/>
          <w:lang w:val="en"/>
        </w:rPr>
        <w:instrText xml:space="preserve"> ADDIN EN.CITE &lt;EndNote&gt;&lt;Cite&gt;&lt;Author&gt;Wallentine&lt;/Author&gt;&lt;Year&gt;2007&lt;/Year&gt;&lt;RecNum&gt;196&lt;/RecNum&gt;&lt;DisplayText&gt;(Wallentine et al., 2007)&lt;/DisplayText&gt;&lt;record&gt;&lt;rec-number&gt;196&lt;/rec-number&gt;&lt;foreign-keys&gt;&lt;key app="EN" db-id="x022vrsa7zd0aqezpxpxxfvu55z5v520ev9z"&gt;196&lt;/key&gt;&lt;/foreign-keys&gt;&lt;ref-type name="Journal Article"&gt;17&lt;/ref-type&gt;&lt;contributors&gt;&lt;authors&gt;&lt;author&gt;Wallentine, J. C.&lt;/author&gt;&lt;author&gt;Kim, K. K.&lt;/author&gt;&lt;author&gt;Seiler, C. E., 3rd&lt;/author&gt;&lt;author&gt;Vaughn, C. P.&lt;/author&gt;&lt;author&gt;Crockett, D. K.&lt;/author&gt;&lt;author&gt;Tripp, S. R.&lt;/author&gt;&lt;author&gt;Elenitoba-Johnson, K. S.&lt;/author&gt;&lt;author&gt;Lim, M. S.&lt;/author&gt;&lt;/authors&gt;&lt;/contributors&gt;&lt;auth-address&gt;Department of Pathology, University of Utah School of Medicine, Salt Lake City, UT, USA.&lt;/auth-address&gt;&lt;titles&gt;&lt;title&gt;Comprehensive identification of proteins in Hodgkin lymphoma-derived Reed-Sternberg cells by LC-MS/MS&lt;/title&gt;&lt;secondary-title&gt;Lab Invest&lt;/secondary-title&gt;&lt;/titles&gt;&lt;pages&gt;1113-24&lt;/pages&gt;&lt;volume&gt;87&lt;/volume&gt;&lt;number&gt;11&lt;/number&gt;&lt;keywords&gt;&lt;keyword&gt;Cell Line, Tumor&lt;/keyword&gt;&lt;keyword&gt;Chromatography, Liquid&lt;/keyword&gt;&lt;keyword&gt;Hodgkin Disease/*metabolism&lt;/keyword&gt;&lt;keyword&gt;Humans&lt;/keyword&gt;&lt;keyword&gt;Immunohistochemistry&lt;/keyword&gt;&lt;keyword&gt;Proteome/*metabolism&lt;/keyword&gt;&lt;keyword&gt;Reed-Sternberg Cells/*metabolism&lt;/keyword&gt;&lt;keyword&gt;Subcellular Fractions/metabolism&lt;/keyword&gt;&lt;keyword&gt;Tandem Mass Spectrometry&lt;/keyword&gt;&lt;keyword&gt;Tissue Array Analysis&lt;/keyword&gt;&lt;keyword&gt;Tumor Markers, Biological/*metabolism&lt;/keyword&gt;&lt;/keywords&gt;&lt;dates&gt;&lt;year&gt;2007&lt;/year&gt;&lt;pub-dates&gt;&lt;date&gt;Nov&lt;/date&gt;&lt;/pub-dates&gt;&lt;/dates&gt;&lt;accession-num&gt;17876297&lt;/accession-num&gt;&lt;urls&gt;&lt;related-urls&gt;&lt;url&gt;http://www.ncbi.nlm.nih.gov/entrez/query.fcgi?cmd=Retrieve&amp;amp;db=PubMed&amp;amp;dopt=Citation&amp;amp;list_uids=17876297 &lt;/url&gt;&lt;/related-urls&gt;&lt;/urls&gt;&lt;/record&gt;&lt;/Cite&gt;&lt;/EndNote&gt;</w:instrText>
      </w:r>
      <w:r w:rsidRPr="00873C4C">
        <w:rPr>
          <w:color w:val="000000"/>
          <w:lang w:val="en"/>
        </w:rPr>
        <w:fldChar w:fldCharType="separate"/>
      </w:r>
      <w:r>
        <w:rPr>
          <w:noProof/>
          <w:color w:val="000000"/>
          <w:lang w:val="en"/>
        </w:rPr>
        <w:t>(</w:t>
      </w:r>
      <w:hyperlink w:anchor="_ENREF_443" w:tooltip="Wallentine, 2007 #196" w:history="1">
        <w:r w:rsidR="004A784D">
          <w:rPr>
            <w:noProof/>
            <w:color w:val="000000"/>
            <w:lang w:val="en"/>
          </w:rPr>
          <w:t>Wallentine et al., 2007</w:t>
        </w:r>
      </w:hyperlink>
      <w:r>
        <w:rPr>
          <w:noProof/>
          <w:color w:val="000000"/>
          <w:lang w:val="en"/>
        </w:rPr>
        <w:t>)</w:t>
      </w:r>
      <w:r w:rsidRPr="00873C4C">
        <w:rPr>
          <w:color w:val="000000"/>
        </w:rPr>
        <w:fldChar w:fldCharType="end"/>
      </w:r>
      <w:r w:rsidRPr="00873C4C">
        <w:rPr>
          <w:color w:val="000000"/>
          <w:lang w:val="en"/>
        </w:rPr>
        <w:t xml:space="preserve"> </w:t>
      </w:r>
      <w:r w:rsidRPr="00873C4C">
        <w:rPr>
          <w:color w:val="000000"/>
          <w:lang w:val="en-GB"/>
        </w:rPr>
        <w:t>Therefore, early diagnosis and the ability to monitor the disease more effectively during and following treatment are impo</w:t>
      </w:r>
      <w:r>
        <w:rPr>
          <w:color w:val="000000"/>
          <w:lang w:val="en-GB"/>
        </w:rPr>
        <w:t xml:space="preserve">rtant for the management of HD </w:t>
      </w:r>
      <w:r w:rsidRPr="00873C4C">
        <w:rPr>
          <w:color w:val="000000"/>
          <w:lang w:val="en-GB"/>
        </w:rPr>
        <w:fldChar w:fldCharType="begin">
          <w:fldData xml:space="preserve">PEVuZE5vdGU+PENpdGU+PEF1dGhvcj5GdWppaTwvQXV0aG9yPjxZZWFyPjIwMDU8L1llYXI+PFJl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</w:fldData>
        </w:fldChar>
      </w:r>
      <w:r>
        <w:rPr>
          <w:color w:val="000000"/>
          <w:lang w:val="en-GB"/>
        </w:rPr>
        <w:instrText xml:space="preserve"> ADDIN EN.CITE </w:instrText>
      </w:r>
      <w:r>
        <w:rPr>
          <w:color w:val="000000"/>
          <w:lang w:val="en-GB"/>
        </w:rPr>
        <w:fldChar w:fldCharType="begin">
          <w:fldData xml:space="preserve">PEVuZE5vdGU+PENpdGU+PEF1dGhvcj5GdWppaTwvQXV0aG9yPjxZZWFyPjIwMDU8L1llYXI+PFJl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130" w:tooltip="Fujii, 2005 #5733" w:history="1">
        <w:r w:rsidR="004A784D">
          <w:rPr>
            <w:noProof/>
            <w:color w:val="000000"/>
            <w:lang w:val="en-GB"/>
          </w:rPr>
          <w:t>Fujii et al., 2005</w:t>
        </w:r>
      </w:hyperlink>
      <w:r>
        <w:rPr>
          <w:noProof/>
          <w:color w:val="000000"/>
          <w:lang w:val="en-GB"/>
        </w:rPr>
        <w:t>)</w:t>
      </w:r>
      <w:r w:rsidRPr="00873C4C">
        <w:rPr>
          <w:color w:val="000000"/>
        </w:rPr>
        <w:fldChar w:fldCharType="end"/>
      </w:r>
      <w:r>
        <w:rPr>
          <w:color w:val="000000"/>
        </w:rPr>
        <w:t xml:space="preserve">. </w:t>
      </w:r>
      <w:r w:rsidRPr="00873C4C">
        <w:rPr>
          <w:color w:val="000000"/>
          <w:lang w:val="en-GB"/>
        </w:rPr>
        <w:t xml:space="preserve">Mass spectrometry-based proteomics in conjunction with liquid chromatography and bioinformatics analysis provides a highly sensitive and high-throughput approach for the identification of proteins in Hodgkin lymphoma-derived from Reed–Sternberg cells </w:t>
      </w:r>
      <w:r w:rsidRPr="00873C4C">
        <w:rPr>
          <w:color w:val="000000"/>
          <w:lang w:val="en-GB"/>
        </w:rPr>
        <w:fldChar w:fldCharType="begin"/>
      </w:r>
      <w:r>
        <w:rPr>
          <w:color w:val="000000"/>
          <w:lang w:val="en-GB"/>
        </w:rPr>
        <w:instrText xml:space="preserve"> ADDIN EN.CITE &lt;EndNote&gt;&lt;Cite&gt;&lt;Author&gt;Brown&lt;/Author&gt;&lt;Year&gt;2002&lt;/Year&gt;&lt;RecNum&gt;8&lt;/RecNum&gt;&lt;DisplayText&gt;(Brown and Nazmi, 2002)&lt;/DisplayText&gt;&lt;record&gt;&lt;rec-number&gt;8&lt;/rec-number&gt;&lt;foreign-keys&gt;&lt;key app="EN" db-id="fsv9ztfdzadxzne95zupx0275sff0w2az0as"&gt;8&lt;/key&gt;&lt;/foreign-keys&gt;&lt;ref-type name="Journal Article"&gt;17&lt;/ref-type&gt;&lt;contributors&gt;&lt;authors&gt;&lt;author&gt;Brown, R. E.&lt;/author&gt;&lt;author&gt;Nazmi, R. K.&lt;/author&gt;&lt;/authors&gt;&lt;/contributors&gt;&lt;auth-address&gt;Division of Laboratory Medicine, Geisinger Medical Center, Danville, Pennsylvania 17822-0131, USA. rebrown@geisinger.edu&lt;/auth-address&gt;&lt;titles&gt;&lt;title&gt;The Reed-Steinberg cell: molecular characterization by proteomic analysis with therapeutic implications&lt;/title&gt;&lt;secondary-title&gt;Ann Clin Lab Sci&lt;/secondary-title&gt;&lt;/titles&gt;&lt;pages&gt;339-51&lt;/pages&gt;&lt;volume&gt;32&lt;/volume&gt;&lt;number&gt;4&lt;/number&gt;&lt;keywords&gt;&lt;keyword&gt;Activin Receptors, Type I/metabolism&lt;/keyword&gt;&lt;keyword&gt;Angiotensins/metabolism&lt;/keyword&gt;&lt;keyword&gt;Cell Division/physiology&lt;/keyword&gt;&lt;keyword&gt;Hodgkin Disease/*metabolism/*pathology/therapy&lt;/keyword&gt;&lt;keyword&gt;Humans&lt;/keyword&gt;&lt;keyword&gt;Immunohistochemistry&lt;/keyword&gt;&lt;keyword&gt;Peptidyl-Dipeptidase A/metabolism&lt;/keyword&gt;&lt;keyword&gt;Protein-Serine-Threonine Kinases&lt;/keyword&gt;&lt;keyword&gt;Proteome/*metabolism&lt;/keyword&gt;&lt;keyword&gt;Receptor, Angiotensin, Type 1&lt;/keyword&gt;&lt;keyword&gt;Receptor, Platelet-Derived Growth Factor alpha/metabolism&lt;/keyword&gt;&lt;keyword&gt;Receptors, Angiotensin/metabolism&lt;/keyword&gt;&lt;keyword&gt;Receptors, Transforming Growth Factor beta/metabolism&lt;/keyword&gt;&lt;keyword&gt;Reed-Sternberg Cells/*metabolism/*pathology&lt;/keyword&gt;&lt;keyword&gt;Signal Transduction&lt;/keyword&gt;&lt;keyword&gt;Transforming Growth Factor beta/metabolism&lt;/keyword&gt;&lt;keyword&gt;Transforming Growth Factor beta1&lt;/keyword&gt;&lt;/keywords&gt;&lt;dates&gt;&lt;year&gt;2002&lt;/year&gt;&lt;pub-dates&gt;&lt;date&gt;Fall&lt;/date&gt;&lt;/pub-dates&gt;&lt;/dates&gt;&lt;accession-num&gt;12458885&lt;/accession-num&gt;&lt;urls&gt;&lt;related-urls&gt;&lt;url&gt;http://www.ncbi.nlm.nih.gov/entrez/query.fcgi?cmd=Retrieve&amp;amp;db=PubMed&amp;amp;dopt=Citation&amp;amp;list_uids=12458885 &lt;/url&gt;&lt;/related-urls&gt;&lt;/urls&gt;&lt;/record&gt;&lt;/Cite&gt;&lt;/EndNote&gt;</w:instrText>
      </w:r>
      <w:r w:rsidRPr="00873C4C">
        <w:rPr>
          <w:color w:val="000000"/>
          <w:lang w:val="en-GB"/>
        </w:rPr>
        <w:fldChar w:fldCharType="separate"/>
      </w:r>
      <w:r>
        <w:rPr>
          <w:noProof/>
          <w:color w:val="000000"/>
          <w:lang w:val="en-GB"/>
        </w:rPr>
        <w:t>(</w:t>
      </w:r>
      <w:hyperlink w:anchor="_ENREF_59" w:tooltip="Brown, 2002 #8" w:history="1">
        <w:r w:rsidR="004A784D">
          <w:rPr>
            <w:noProof/>
            <w:color w:val="000000"/>
            <w:lang w:val="en-GB"/>
          </w:rPr>
          <w:t>Brown and Nazmi, 2002</w:t>
        </w:r>
      </w:hyperlink>
      <w:r>
        <w:rPr>
          <w:noProof/>
          <w:color w:val="000000"/>
          <w:lang w:val="en-GB"/>
        </w:rPr>
        <w:t>)</w:t>
      </w:r>
      <w:r w:rsidRPr="00873C4C">
        <w:rPr>
          <w:color w:val="000000"/>
        </w:rPr>
        <w:fldChar w:fldCharType="end"/>
      </w:r>
      <w:r w:rsidRPr="00873C4C">
        <w:rPr>
          <w:color w:val="000000"/>
          <w:lang w:val="en-GB"/>
        </w:rPr>
        <w:t xml:space="preserve">. </w:t>
      </w:r>
    </w:p>
    <w:p w:rsidR="00183FFD" w:rsidRPr="00873C4C"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r w:rsidRPr="00873C4C">
        <w:rPr>
          <w:color w:val="000000"/>
          <w:lang w:val="en-GB"/>
        </w:rPr>
        <w:t xml:space="preserve">The sub cellular proteome of the three cellular compartments from L428 and KMH2 Hodgkin lymphoma-derived cell lines were fractionated, and analysed by reverse-phase liquid chromatography coupled with electro spray ionization tandem mass spectrometry. </w:t>
      </w:r>
    </w:p>
    <w:p w:rsidR="00183FFD" w:rsidRPr="00873C4C"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r w:rsidRPr="00873C4C">
        <w:rPr>
          <w:color w:val="000000"/>
          <w:lang w:val="en-GB"/>
        </w:rPr>
        <w:t>Additionally, proteins released by Hodgkin lymphoma-derived L428 cells were extracted from serum-free culture media and analysed. A subset of the identified proteins was validated by Western blot analysis, immunofluorescence microscopy and immuno-histochemistry. A total of 1945 proteins were identified with 785 from the cytosolic fraction, 305 from the membrane fraction, 441 from the nuclear fraction and 414 released proteins using a minimum of two peptide identifications per protein and an error rate of &lt;5.0%</w:t>
      </w:r>
      <w:r>
        <w:rPr>
          <w:color w:val="000000"/>
          <w:lang w:val="en-GB"/>
        </w:rPr>
        <w:t xml:space="preserve"> </w:t>
      </w:r>
      <w:r>
        <w:rPr>
          <w:color w:val="000000"/>
          <w:lang w:val="en-GB"/>
        </w:rPr>
        <w:fldChar w:fldCharType="begin"/>
      </w:r>
      <w:r>
        <w:rPr>
          <w:color w:val="000000"/>
          <w:lang w:val="en-GB"/>
        </w:rPr>
        <w:instrText xml:space="preserve"> ADDIN EN.CITE &lt;EndNote&gt;&lt;Cite&gt;&lt;Author&gt;Boyd&lt;/Author&gt;&lt;Year&gt;2010&lt;/Year&gt;&lt;RecNum&gt;5747&lt;/RecNum&gt;&lt;DisplayText&gt;(Boyd et al., 2010)&lt;/DisplayText&gt;&lt;record&gt;&lt;rec-number&gt;5747&lt;/rec-number&gt;&lt;foreign-keys&gt;&lt;key app="EN" db-id="zf0awxsaczrdd3eft5qvw9wrtxxawdfrvw2a"&gt;5747&lt;/key&gt;&lt;/foreign-keys&gt;&lt;ref-type name="Journal Article"&gt;17&lt;/ref-type&gt;&lt;contributors&gt;&lt;authors&gt;&lt;author&gt;Boyd, R. S.&lt;/author&gt;&lt;author&gt;Dyer, M. J.&lt;/author&gt;&lt;author&gt;Cain, K.&lt;/author&gt;&lt;/authors&gt;&lt;/contributors&gt;&lt;auth-address&gt;MRC Toxicology Unit, Hodgkin Building, Lancaster Rd, University of Leicester, Leicester, LE1 9HN, UK.&lt;/auth-address&gt;&lt;titles&gt;&lt;title&gt;Proteomic analysis of B-cell malignancies&lt;/title&gt;&lt;secondary-title&gt;J Proteomics&lt;/secondary-title&gt;&lt;/titles&gt;&lt;periodical&gt;&lt;full-title&gt;J Proteomics&lt;/full-title&gt;&lt;/periodical&gt;&lt;pages&gt;1804-22&lt;/pages&gt;&lt;volume&gt;73&lt;/volume&gt;&lt;number&gt;10&lt;/number&gt;&lt;edition&gt;2010/03/30&lt;/edition&gt;&lt;keywords&gt;&lt;keyword&gt;B-Lymphocytes/*metabolism&lt;/keyword&gt;&lt;keyword&gt;Cell Fractionation&lt;/keyword&gt;&lt;keyword&gt;Electrophoresis, Gel, Two-Dimensional&lt;/keyword&gt;&lt;keyword&gt;Humans&lt;/keyword&gt;&lt;keyword&gt;Leukemia, Lymphocytic, Chronic, B-Cell/diagnosis&lt;/keyword&gt;&lt;keyword&gt;Lymphoma, B-Cell/*diagnosis&lt;/keyword&gt;&lt;keyword&gt;Lymphoma, Mantle-Cell/diagnosis&lt;/keyword&gt;&lt;keyword&gt;Membrane Microdomains/chemistry&lt;/keyword&gt;&lt;keyword&gt;Phosphoproteins/metabolism&lt;/keyword&gt;&lt;keyword&gt;Proteomics/methods&lt;/keyword&gt;&lt;keyword&gt;Tumor Markers, Biological/*metabolism&lt;/keyword&gt;&lt;/keywords&gt;&lt;dates&gt;&lt;year&gt;2010&lt;/year&gt;&lt;pub-dates&gt;&lt;date&gt;Sep 10&lt;/date&gt;&lt;/pub-dates&gt;&lt;/dates&gt;&lt;isbn&gt;1876-7737 (Electronic)&lt;/isbn&gt;&lt;accession-num&gt;20346427&lt;/accession-num&gt;&lt;urls&gt;&lt;related-urls&gt;&lt;url&gt;http://www.ncbi.nlm.nih.gov/pubmed/20346427&lt;/url&gt;&lt;/related-urls&gt;&lt;/urls&gt;&lt;electronic-resource-num&gt;S1874-3919(10)00084-9 [pii]&amp;#xD;10.1016/j.jprot.2010.03.010&lt;/electronic-resource-num&gt;&lt;language&gt;eng&lt;/language&gt;&lt;/record&gt;&lt;/Cite&gt;&lt;/EndNote&gt;</w:instrText>
      </w:r>
      <w:r>
        <w:rPr>
          <w:color w:val="000000"/>
          <w:lang w:val="en-GB"/>
        </w:rPr>
        <w:fldChar w:fldCharType="separate"/>
      </w:r>
      <w:r>
        <w:rPr>
          <w:noProof/>
          <w:color w:val="000000"/>
          <w:lang w:val="en-GB"/>
        </w:rPr>
        <w:t>(</w:t>
      </w:r>
      <w:hyperlink w:anchor="_ENREF_53" w:tooltip="Boyd, 2010 #5747" w:history="1">
        <w:r w:rsidR="004A784D">
          <w:rPr>
            <w:noProof/>
            <w:color w:val="000000"/>
            <w:lang w:val="en-GB"/>
          </w:rPr>
          <w:t>Boyd et al., 2010</w:t>
        </w:r>
      </w:hyperlink>
      <w:r>
        <w:rPr>
          <w:noProof/>
          <w:color w:val="000000"/>
          <w:lang w:val="en-GB"/>
        </w:rPr>
        <w:t>)</w:t>
      </w:r>
      <w:r>
        <w:rPr>
          <w:color w:val="000000"/>
          <w:lang w:val="en-GB"/>
        </w:rPr>
        <w:fldChar w:fldCharType="end"/>
      </w:r>
      <w:r w:rsidRPr="00873C4C">
        <w:rPr>
          <w:color w:val="000000"/>
          <w:lang w:val="en-GB"/>
        </w:rPr>
        <w:t xml:space="preserve">. Identification of proteins from diverse functional groups reflected the functional complexity of the Reed-Sternberg proteome. Selected proteins without previously demonstrated expression </w:t>
      </w:r>
      <w:r w:rsidRPr="00873C4C">
        <w:rPr>
          <w:color w:val="000000"/>
          <w:lang w:val="en-GB"/>
        </w:rPr>
        <w:lastRenderedPageBreak/>
        <w:t xml:space="preserve">in Hodgkin lymphoma were validated by Western blot analysis (B-RAF, Erb-B3), immunofluorescence microscopy (Axin1, Tenascin-X, Mucin-2) and immunohistochemistry using a tissue microarray (BRAF, PIM1). </w:t>
      </w:r>
    </w:p>
    <w:p w:rsidR="00183FFD" w:rsidRPr="00873C4C"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rPr>
      </w:pPr>
      <w:r>
        <w:rPr>
          <w:color w:val="000000"/>
          <w:lang w:val="en-GB"/>
        </w:rPr>
        <w:t xml:space="preserve">This study </w:t>
      </w:r>
      <w:r w:rsidRPr="00873C4C">
        <w:rPr>
          <w:color w:val="000000"/>
          <w:lang w:val="en-GB"/>
        </w:rPr>
        <w:t>demonstrates the utility of combining cellular sub fractionation, protein precipitation, tandem mass spectrometry and bioinformatics analysis for comprehensive identification of proteins that may represent pote</w:t>
      </w:r>
      <w:r w:rsidR="00D81086">
        <w:rPr>
          <w:color w:val="000000"/>
          <w:lang w:val="en-GB"/>
        </w:rPr>
        <w:t xml:space="preserve">ntial biomarkers of the disease </w:t>
      </w:r>
      <w:r w:rsidRPr="00873C4C">
        <w:rPr>
          <w:color w:val="000000"/>
          <w:lang w:val="en-GB"/>
        </w:rPr>
        <w:fldChar w:fldCharType="begin"/>
      </w:r>
      <w:r>
        <w:rPr>
          <w:color w:val="000000"/>
          <w:lang w:val="en-GB"/>
        </w:rPr>
        <w:instrText xml:space="preserve"> ADDIN EN.CITE &lt;EndNote&gt;&lt;Cite&gt;&lt;Author&gt;Wallentine&lt;/Author&gt;&lt;Year&gt;2007&lt;/Year&gt;&lt;RecNum&gt;196&lt;/RecNum&gt;&lt;DisplayText&gt;(Wallentine et al., 2007)&lt;/DisplayText&gt;&lt;record&gt;&lt;rec-number&gt;196&lt;/rec-number&gt;&lt;foreign-keys&gt;&lt;key app="EN" db-id="x022vrsa7zd0aqezpxpxxfvu55z5v520ev9z"&gt;196&lt;/key&gt;&lt;/foreign-keys&gt;&lt;ref-type name="Journal Article"&gt;17&lt;/ref-type&gt;&lt;contributors&gt;&lt;authors&gt;&lt;author&gt;Wallentine, J. C.&lt;/author&gt;&lt;author&gt;Kim, K. K.&lt;/author&gt;&lt;author&gt;Seiler, C. E., 3rd&lt;/author&gt;&lt;author&gt;Vaughn, C. P.&lt;/author&gt;&lt;author&gt;Crockett, D. K.&lt;/author&gt;&lt;author&gt;Tripp, S. R.&lt;/author&gt;&lt;author&gt;Elenitoba-Johnson, K. S.&lt;/author&gt;&lt;author&gt;Lim, M. S.&lt;/author&gt;&lt;/authors&gt;&lt;/contributors&gt;&lt;auth-address&gt;Department of Pathology, University of Utah School of Medicine, Salt Lake City, UT, USA.&lt;/auth-address&gt;&lt;titles&gt;&lt;title&gt;Comprehensive identification of proteins in Hodgkin lymphoma-derived Reed-Sternberg cells by LC-MS/MS&lt;/title&gt;&lt;secondary-title&gt;Lab Invest&lt;/secondary-title&gt;&lt;/titles&gt;&lt;pages&gt;1113-24&lt;/pages&gt;&lt;volume&gt;87&lt;/volume&gt;&lt;number&gt;11&lt;/number&gt;&lt;keywords&gt;&lt;keyword&gt;Cell Line, Tumor&lt;/keyword&gt;&lt;keyword&gt;Chromatography, Liquid&lt;/keyword&gt;&lt;keyword&gt;Hodgkin Disease/*metabolism&lt;/keyword&gt;&lt;keyword&gt;Humans&lt;/keyword&gt;&lt;keyword&gt;Immunohistochemistry&lt;/keyword&gt;&lt;keyword&gt;Proteome/*metabolism&lt;/keyword&gt;&lt;keyword&gt;Reed-Sternberg Cells/*metabolism&lt;/keyword&gt;&lt;keyword&gt;Subcellular Fractions/metabolism&lt;/keyword&gt;&lt;keyword&gt;Tandem Mass Spectrometry&lt;/keyword&gt;&lt;keyword&gt;Tissue Array Analysis&lt;/keyword&gt;&lt;keyword&gt;Tumor Markers, Biological/*metabolism&lt;/keyword&gt;&lt;/keywords&gt;&lt;dates&gt;&lt;year&gt;2007&lt;/year&gt;&lt;pub-dates&gt;&lt;date&gt;Nov&lt;/date&gt;&lt;/pub-dates&gt;&lt;/dates&gt;&lt;accession-num&gt;17876297&lt;/accession-num&gt;&lt;urls&gt;&lt;related-urls&gt;&lt;url&gt;http://www.ncbi.nlm.nih.gov/entrez/query.fcgi?cmd=Retrieve&amp;amp;db=PubMed&amp;amp;dopt=Citation&amp;amp;list_uids=17876297 &lt;/url&gt;&lt;/related-urls&gt;&lt;/urls&gt;&lt;/record&gt;&lt;/Cite&gt;&lt;/EndNote&gt;</w:instrText>
      </w:r>
      <w:r w:rsidRPr="00873C4C">
        <w:rPr>
          <w:color w:val="000000"/>
          <w:lang w:val="en-GB"/>
        </w:rPr>
        <w:fldChar w:fldCharType="separate"/>
      </w:r>
      <w:r>
        <w:rPr>
          <w:noProof/>
          <w:color w:val="000000"/>
          <w:lang w:val="en-GB"/>
        </w:rPr>
        <w:t>(</w:t>
      </w:r>
      <w:hyperlink w:anchor="_ENREF_443" w:tooltip="Wallentine, 2007 #196" w:history="1">
        <w:r w:rsidR="004A784D">
          <w:rPr>
            <w:noProof/>
            <w:color w:val="000000"/>
            <w:lang w:val="en-GB"/>
          </w:rPr>
          <w:t>Wallentine et al., 2007</w:t>
        </w:r>
      </w:hyperlink>
      <w:r>
        <w:rPr>
          <w:noProof/>
          <w:color w:val="000000"/>
          <w:lang w:val="en-GB"/>
        </w:rPr>
        <w:t>)</w:t>
      </w:r>
      <w:r w:rsidRPr="00873C4C">
        <w:rPr>
          <w:color w:val="000000"/>
        </w:rPr>
        <w:fldChar w:fldCharType="end"/>
      </w:r>
      <w:r w:rsidRPr="00873C4C">
        <w:rPr>
          <w:color w:val="000000"/>
        </w:rPr>
        <w:t>.</w:t>
      </w:r>
    </w:p>
    <w:p w:rsidR="00183FFD" w:rsidRPr="00873C4C" w:rsidRDefault="00183FFD" w:rsidP="00183FFD">
      <w:pPr>
        <w:spacing w:line="360" w:lineRule="auto"/>
        <w:jc w:val="both"/>
        <w:rPr>
          <w:color w:val="000000"/>
        </w:rPr>
      </w:pPr>
    </w:p>
    <w:p w:rsidR="00183FFD" w:rsidRPr="00873C4C" w:rsidRDefault="00183FFD" w:rsidP="00645687">
      <w:pPr>
        <w:pStyle w:val="Heading4"/>
        <w:rPr>
          <w:lang w:val="en-GB"/>
        </w:rPr>
      </w:pPr>
      <w:bookmarkStart w:id="443" w:name="_Toc260495811"/>
      <w:bookmarkStart w:id="444" w:name="_Toc260496062"/>
      <w:bookmarkStart w:id="445" w:name="_Toc260500455"/>
      <w:bookmarkStart w:id="446" w:name="_Toc261098484"/>
      <w:r w:rsidRPr="00873C4C">
        <w:rPr>
          <w:lang w:val="en-GB"/>
        </w:rPr>
        <w:tab/>
      </w:r>
      <w:bookmarkStart w:id="447" w:name="_Toc312169197"/>
      <w:bookmarkStart w:id="448" w:name="_Toc312172124"/>
      <w:bookmarkStart w:id="449" w:name="_Toc312257673"/>
      <w:r w:rsidRPr="00873C4C">
        <w:rPr>
          <w:lang w:val="en-GB"/>
        </w:rPr>
        <w:t>Central Nervous System (CNS) lymphoma</w:t>
      </w:r>
      <w:bookmarkEnd w:id="443"/>
      <w:bookmarkEnd w:id="444"/>
      <w:bookmarkEnd w:id="445"/>
      <w:bookmarkEnd w:id="446"/>
      <w:bookmarkEnd w:id="447"/>
      <w:bookmarkEnd w:id="448"/>
      <w:bookmarkEnd w:id="449"/>
    </w:p>
    <w:p w:rsidR="00183FFD" w:rsidRPr="00873C4C" w:rsidRDefault="00183FFD" w:rsidP="00183FFD">
      <w:pPr>
        <w:spacing w:before="240" w:line="360" w:lineRule="auto"/>
        <w:jc w:val="both"/>
        <w:rPr>
          <w:color w:val="000000"/>
          <w:lang w:val="en-GB"/>
        </w:rPr>
      </w:pPr>
      <w:r w:rsidRPr="00873C4C">
        <w:rPr>
          <w:color w:val="000000"/>
          <w:lang w:val="en-GB"/>
        </w:rPr>
        <w:t xml:space="preserve">Non-Hodgkin lymphomas (NHL) of the CNS are rare but they nonetheless constitute a clinical, biological and diagnostic problem. A significant number of patients are poor candidates for brain biopsy because of tumour location. </w:t>
      </w:r>
    </w:p>
    <w:p w:rsidR="00183FFD" w:rsidRPr="00873C4C" w:rsidRDefault="00183FFD" w:rsidP="00183FFD">
      <w:pPr>
        <w:spacing w:line="360" w:lineRule="auto"/>
        <w:jc w:val="both"/>
        <w:rPr>
          <w:color w:val="000000"/>
          <w:lang w:val="en-GB"/>
        </w:rPr>
      </w:pPr>
      <w:r w:rsidRPr="00873C4C">
        <w:rPr>
          <w:color w:val="000000"/>
          <w:lang w:val="en-GB"/>
        </w:rPr>
        <w:t xml:space="preserve">The </w:t>
      </w:r>
      <w:r w:rsidRPr="00873C4C">
        <w:rPr>
          <w:bCs/>
          <w:color w:val="000000"/>
          <w:lang w:val="en-GB"/>
        </w:rPr>
        <w:t>Cerebrospinal fluid</w:t>
      </w:r>
      <w:r w:rsidRPr="00873C4C">
        <w:rPr>
          <w:color w:val="000000"/>
          <w:lang w:val="en-GB"/>
        </w:rPr>
        <w:t xml:space="preserve"> (</w:t>
      </w:r>
      <w:r w:rsidRPr="00873C4C">
        <w:rPr>
          <w:bCs/>
          <w:color w:val="000000"/>
          <w:lang w:val="en-GB"/>
        </w:rPr>
        <w:t>CSF</w:t>
      </w:r>
      <w:r w:rsidRPr="00873C4C">
        <w:rPr>
          <w:color w:val="000000"/>
          <w:lang w:val="en-GB"/>
        </w:rPr>
        <w:t xml:space="preserve">) is markedly less invasive than brain biopsy and is current standard of care in the evaluation of CNS lymphoma.  However cytologic examination of CSF is less than 50% sensitive. In addition on many occasions radiographic and neuro-imaging features are not conclusive and differential diagnosis between multiple sclerosis, neuro-sarcoid and CNS lymphoma are difficult. Early diagnosis and treatment of CNS lymphoma attenuates disease progression and neurologic deterioration. New biomarkers </w:t>
      </w:r>
      <w:r w:rsidRPr="00873C4C">
        <w:rPr>
          <w:color w:val="000000"/>
        </w:rPr>
        <w:t>are</w:t>
      </w:r>
      <w:r w:rsidRPr="00873C4C">
        <w:rPr>
          <w:color w:val="000000"/>
          <w:lang w:val="en-GB"/>
        </w:rPr>
        <w:t xml:space="preserve"> needed to facilitate diagnosis</w:t>
      </w:r>
      <w:r w:rsidRPr="00873C4C">
        <w:rPr>
          <w:color w:val="000000"/>
        </w:rPr>
        <w:t xml:space="preserve"> </w:t>
      </w:r>
      <w:r w:rsidRPr="00873C4C">
        <w:rPr>
          <w:color w:val="000000"/>
          <w:lang w:val="en-GB"/>
        </w:rPr>
        <w:fldChar w:fldCharType="begin">
          <w:fldData xml:space="preserve">PEVuZE5vdGU+PENpdGU+PEF1dGhvcj5MaTwvQXV0aG9yPjxZZWFyPjIwMDg8L1llYXI+PFJlY051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</w:fldData>
        </w:fldChar>
      </w:r>
      <w:r>
        <w:rPr>
          <w:color w:val="000000"/>
          <w:lang w:val="en-GB"/>
        </w:rPr>
        <w:instrText xml:space="preserve"> ADDIN EN.CITE </w:instrText>
      </w:r>
      <w:r>
        <w:rPr>
          <w:color w:val="000000"/>
          <w:lang w:val="en-GB"/>
        </w:rPr>
        <w:fldChar w:fldCharType="begin">
          <w:fldData xml:space="preserve">PEVuZE5vdGU+PENpdGU+PEF1dGhvcj5MaTwvQXV0aG9yPjxZZWFyPjIwMDg8L1llYXI+PFJlY051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243" w:tooltip="Li, 2008 #5774" w:history="1">
        <w:r w:rsidR="004A784D">
          <w:rPr>
            <w:noProof/>
            <w:color w:val="000000"/>
            <w:lang w:val="en-GB"/>
          </w:rPr>
          <w:t>Li et al., 2008</w:t>
        </w:r>
      </w:hyperlink>
      <w:r>
        <w:rPr>
          <w:noProof/>
          <w:color w:val="000000"/>
          <w:lang w:val="en-GB"/>
        </w:rPr>
        <w:t xml:space="preserve">, </w:t>
      </w:r>
      <w:hyperlink w:anchor="_ENREF_179" w:tooltip="Holland, 2011 #5773" w:history="1">
        <w:r w:rsidR="004A784D">
          <w:rPr>
            <w:noProof/>
            <w:color w:val="000000"/>
            <w:lang w:val="en-GB"/>
          </w:rPr>
          <w:t>Holland et al., 2011</w:t>
        </w:r>
      </w:hyperlink>
      <w:r>
        <w:rPr>
          <w:noProof/>
          <w:color w:val="000000"/>
          <w:lang w:val="en-GB"/>
        </w:rPr>
        <w:t>)</w:t>
      </w:r>
      <w:r w:rsidRPr="00873C4C">
        <w:rPr>
          <w:color w:val="000000"/>
        </w:rPr>
        <w:fldChar w:fldCharType="end"/>
      </w:r>
      <w:r>
        <w:rPr>
          <w:color w:val="000000"/>
          <w:lang w:val="en-GB"/>
        </w:rPr>
        <w:t xml:space="preserve"> .</w:t>
      </w:r>
    </w:p>
    <w:p w:rsidR="00183FFD" w:rsidRPr="00873C4C" w:rsidRDefault="00183FFD" w:rsidP="00183FFD">
      <w:pPr>
        <w:spacing w:line="360" w:lineRule="auto"/>
        <w:jc w:val="both"/>
        <w:rPr>
          <w:color w:val="000000"/>
          <w:lang w:val="en-GB"/>
        </w:rPr>
      </w:pPr>
    </w:p>
    <w:p w:rsidR="00183FFD" w:rsidRDefault="00183FFD" w:rsidP="00183FFD">
      <w:pPr>
        <w:spacing w:line="360" w:lineRule="auto"/>
        <w:jc w:val="both"/>
        <w:rPr>
          <w:color w:val="000000"/>
          <w:lang w:val="en-GB"/>
        </w:rPr>
      </w:pPr>
      <w:r w:rsidRPr="00873C4C">
        <w:rPr>
          <w:color w:val="000000"/>
          <w:lang w:val="en-GB"/>
        </w:rPr>
        <w:t xml:space="preserve">To test the hypothesis that individual CSF proteins distinguish CNS lymphoma </w:t>
      </w:r>
      <w:r w:rsidR="00D81086">
        <w:rPr>
          <w:color w:val="000000"/>
          <w:lang w:val="en-GB"/>
        </w:rPr>
        <w:t>from benign focal brain lesions</w:t>
      </w:r>
      <w:r w:rsidRPr="00873C4C">
        <w:rPr>
          <w:color w:val="000000"/>
          <w:lang w:val="en-GB"/>
        </w:rPr>
        <w:t xml:space="preserve"> CSF from 31 patients with CNS Lymphoma and non-neoplastic control conditions were analysed. Using a liquid chromatography/mass spectrometry–based method to differentially quantify and identify several hundred CSF proteins in CNS lymphoma and control patients. The EL</w:t>
      </w:r>
      <w:r w:rsidR="00D81086">
        <w:rPr>
          <w:color w:val="000000"/>
          <w:lang w:val="en-GB"/>
        </w:rPr>
        <w:t>ISA</w:t>
      </w:r>
      <w:r w:rsidRPr="00873C4C">
        <w:rPr>
          <w:color w:val="000000"/>
          <w:lang w:val="en-GB"/>
        </w:rPr>
        <w:t xml:space="preserve"> was used to confirm these markers</w:t>
      </w:r>
      <w:r>
        <w:rPr>
          <w:color w:val="000000"/>
          <w:lang w:val="en-GB"/>
        </w:rPr>
        <w:t xml:space="preserve"> </w:t>
      </w:r>
      <w:r w:rsidRPr="00873C4C">
        <w:rPr>
          <w:color w:val="000000"/>
          <w:lang w:val="en-GB"/>
        </w:rPr>
        <w:fldChar w:fldCharType="begin">
          <w:fldData xml:space="preserve">PEVuZE5vdGU+PENpdGU+PEF1dGhvcj5Sb3k8L0F1dGhvcj48WWVhcj4yMDA4PC9ZZWFyPjxSZWNO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=
</w:fldData>
        </w:fldChar>
      </w:r>
      <w:r>
        <w:rPr>
          <w:color w:val="000000"/>
          <w:lang w:val="en-GB"/>
        </w:rPr>
        <w:instrText xml:space="preserve"> ADDIN EN.CITE </w:instrText>
      </w:r>
      <w:r>
        <w:rPr>
          <w:color w:val="000000"/>
          <w:lang w:val="en-GB"/>
        </w:rPr>
        <w:fldChar w:fldCharType="begin">
          <w:fldData xml:space="preserve">PEVuZE5vdGU+PENpdGU+PEF1dGhvcj5Sb3k8L0F1dGhvcj48WWVhcj4yMDA4PC9ZZWFyPjxSZWNO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=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356" w:tooltip="Roy, 2008 #39" w:history="1">
        <w:r w:rsidR="004A784D">
          <w:rPr>
            <w:noProof/>
            <w:color w:val="000000"/>
            <w:lang w:val="en-GB"/>
          </w:rPr>
          <w:t>Roy et al., 2008</w:t>
        </w:r>
      </w:hyperlink>
      <w:r>
        <w:rPr>
          <w:noProof/>
          <w:color w:val="000000"/>
          <w:lang w:val="en-GB"/>
        </w:rPr>
        <w:t>)</w:t>
      </w:r>
      <w:r w:rsidRPr="00873C4C">
        <w:rPr>
          <w:color w:val="000000"/>
        </w:rPr>
        <w:fldChar w:fldCharType="end"/>
      </w:r>
      <w:r w:rsidRPr="00873C4C">
        <w:rPr>
          <w:color w:val="000000"/>
        </w:rPr>
        <w:t>.</w:t>
      </w:r>
      <w:r w:rsidRPr="00873C4C">
        <w:rPr>
          <w:color w:val="000000"/>
          <w:lang w:val="en-GB"/>
        </w:rPr>
        <w:t xml:space="preserve"> Approximately 80 CSF proteins were identified and found to be present at significantly different concentrations both h</w:t>
      </w:r>
      <w:r w:rsidR="00D81086">
        <w:rPr>
          <w:color w:val="000000"/>
          <w:lang w:val="en-GB"/>
        </w:rPr>
        <w:t>igher and lower. T</w:t>
      </w:r>
      <w:r w:rsidRPr="00873C4C">
        <w:rPr>
          <w:color w:val="000000"/>
          <w:lang w:val="en-GB"/>
        </w:rPr>
        <w:t xml:space="preserve">o further validate these observations, candidate biomarkers, </w:t>
      </w:r>
      <w:r w:rsidR="00D81086" w:rsidRPr="00873C4C">
        <w:rPr>
          <w:color w:val="000000"/>
          <w:lang w:val="en-GB"/>
        </w:rPr>
        <w:t>ant</w:t>
      </w:r>
      <w:r w:rsidR="00D81086">
        <w:rPr>
          <w:color w:val="000000"/>
          <w:lang w:val="en-GB"/>
        </w:rPr>
        <w:t>i</w:t>
      </w:r>
      <w:r w:rsidR="00D81086" w:rsidRPr="00873C4C">
        <w:rPr>
          <w:color w:val="000000"/>
          <w:lang w:val="en-GB"/>
        </w:rPr>
        <w:t>-thrombin</w:t>
      </w:r>
      <w:r w:rsidRPr="00873C4C">
        <w:rPr>
          <w:color w:val="000000"/>
          <w:lang w:val="en-GB"/>
        </w:rPr>
        <w:t xml:space="preserve"> III (ATIII) were further defined. ATIII RNA transcripts were identified within CNS lymphomas, and ATIII protein was localized selectively to tumour </w:t>
      </w:r>
      <w:r w:rsidRPr="00873C4C">
        <w:rPr>
          <w:color w:val="000000"/>
          <w:lang w:val="en-GB"/>
        </w:rPr>
        <w:lastRenderedPageBreak/>
        <w:t xml:space="preserve">neovasculature. Determination of ATIII concentration by ELISA was significantly more accurate (75% sensitivity and 98% specificity) than cytology in the identification of cancer. Measurement of CSF ATIII levels was found to potentially enhance the ability to diagnose and predict outcome. </w:t>
      </w:r>
      <w:r w:rsidRPr="00873C4C">
        <w:rPr>
          <w:color w:val="000000"/>
          <w:lang w:val="en-GB"/>
        </w:rPr>
        <w:fldChar w:fldCharType="begin">
          <w:fldData xml:space="preserve">PEVuZE5vdGU+PENpdGU+PEF1dGhvcj5Sb3k8L0F1dGhvcj48WWVhcj4yMDA4PC9ZZWFyPjxSZWNO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</w:fldData>
        </w:fldChar>
      </w:r>
      <w:r>
        <w:rPr>
          <w:color w:val="000000"/>
          <w:lang w:val="en-GB"/>
        </w:rPr>
        <w:instrText xml:space="preserve"> ADDIN EN.CITE </w:instrText>
      </w:r>
      <w:r>
        <w:rPr>
          <w:color w:val="000000"/>
          <w:lang w:val="en-GB"/>
        </w:rPr>
        <w:fldChar w:fldCharType="begin">
          <w:fldData xml:space="preserve">PEVuZE5vdGU+PENpdGU+PEF1dGhvcj5Sb3k8L0F1dGhvcj48WWVhcj4yMDA4PC9ZZWFyPjxSZWNO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356" w:tooltip="Roy, 2008 #39" w:history="1">
        <w:r w:rsidR="004A784D">
          <w:rPr>
            <w:noProof/>
            <w:color w:val="000000"/>
            <w:lang w:val="en-GB"/>
          </w:rPr>
          <w:t>Roy et al., 2008</w:t>
        </w:r>
      </w:hyperlink>
      <w:r>
        <w:rPr>
          <w:noProof/>
          <w:color w:val="000000"/>
          <w:lang w:val="en-GB"/>
        </w:rPr>
        <w:t xml:space="preserve">, </w:t>
      </w:r>
      <w:hyperlink w:anchor="_ENREF_53" w:tooltip="Boyd, 2010 #5747" w:history="1">
        <w:r w:rsidR="004A784D">
          <w:rPr>
            <w:noProof/>
            <w:color w:val="000000"/>
            <w:lang w:val="en-GB"/>
          </w:rPr>
          <w:t>Boyd et al., 2010</w:t>
        </w:r>
      </w:hyperlink>
      <w:r>
        <w:rPr>
          <w:noProof/>
          <w:color w:val="000000"/>
          <w:lang w:val="en-GB"/>
        </w:rPr>
        <w:t>)</w:t>
      </w:r>
      <w:r w:rsidRPr="00873C4C">
        <w:rPr>
          <w:color w:val="000000"/>
        </w:rPr>
        <w:fldChar w:fldCharType="end"/>
      </w:r>
      <w:r w:rsidRPr="00873C4C">
        <w:rPr>
          <w:color w:val="000000"/>
          <w:lang w:val="en-GB"/>
        </w:rPr>
        <w:t>. These findings demonstrate that proteomic analysis of CSF yields individual biomarkers with better d</w:t>
      </w:r>
      <w:r>
        <w:rPr>
          <w:color w:val="000000"/>
          <w:lang w:val="en-GB"/>
        </w:rPr>
        <w:t xml:space="preserve">iagnostic sensitivity than </w:t>
      </w:r>
      <w:r w:rsidRPr="00873C4C">
        <w:rPr>
          <w:color w:val="000000"/>
          <w:lang w:val="en-GB"/>
        </w:rPr>
        <w:t>CSF cytology. The discovery of CSF protein biomarkers will facilitate early and non-invasive diagnosis in patients with lesions not amenable to brain biopsy, as well as provide improved surrogates of prognosis and treatment response in CNS lymphoma</w:t>
      </w:r>
      <w:r>
        <w:rPr>
          <w:color w:val="000000"/>
          <w:lang w:val="en-GB"/>
        </w:rPr>
        <w:t xml:space="preserve"> </w:t>
      </w:r>
      <w:r>
        <w:rPr>
          <w:color w:val="000000"/>
          <w:lang w:val="en-GB"/>
        </w:rPr>
        <w:fldChar w:fldCharType="begin">
          <w:fldData xml:space="preserve">PEVuZE5vdGU+PENpdGU+PEF1dGhvcj5MaTwvQXV0aG9yPjxZZWFyPjIwMDg8L1llYXI+PFJlY051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</w:fldData>
        </w:fldChar>
      </w:r>
      <w:r>
        <w:rPr>
          <w:color w:val="000000"/>
          <w:lang w:val="en-GB"/>
        </w:rPr>
        <w:instrText xml:space="preserve"> ADDIN EN.CITE </w:instrText>
      </w:r>
      <w:r>
        <w:rPr>
          <w:color w:val="000000"/>
          <w:lang w:val="en-GB"/>
        </w:rPr>
        <w:fldChar w:fldCharType="begin">
          <w:fldData xml:space="preserve">PEVuZE5vdGU+PENpdGU+PEF1dGhvcj5MaTwvQXV0aG9yPjxZZWFyPjIwMDg8L1llYXI+PFJlY051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</w:fldData>
        </w:fldChar>
      </w:r>
      <w:r>
        <w:rPr>
          <w:color w:val="000000"/>
          <w:lang w:val="en-GB"/>
        </w:rPr>
        <w:instrText xml:space="preserve"> ADDIN EN.CITE.DATA </w:instrText>
      </w:r>
      <w:r>
        <w:rPr>
          <w:color w:val="000000"/>
          <w:lang w:val="en-GB"/>
        </w:rPr>
      </w:r>
      <w:r>
        <w:rPr>
          <w:color w:val="000000"/>
          <w:lang w:val="en-GB"/>
        </w:rPr>
        <w:fldChar w:fldCharType="end"/>
      </w:r>
      <w:r>
        <w:rPr>
          <w:color w:val="000000"/>
          <w:lang w:val="en-GB"/>
        </w:rPr>
      </w:r>
      <w:r>
        <w:rPr>
          <w:color w:val="000000"/>
          <w:lang w:val="en-GB"/>
        </w:rPr>
        <w:fldChar w:fldCharType="separate"/>
      </w:r>
      <w:r>
        <w:rPr>
          <w:noProof/>
          <w:color w:val="000000"/>
          <w:lang w:val="en-GB"/>
        </w:rPr>
        <w:t>(</w:t>
      </w:r>
      <w:hyperlink w:anchor="_ENREF_243" w:tooltip="Li, 2008 #5774" w:history="1">
        <w:r w:rsidR="004A784D">
          <w:rPr>
            <w:noProof/>
            <w:color w:val="000000"/>
            <w:lang w:val="en-GB"/>
          </w:rPr>
          <w:t>Li et al., 2008</w:t>
        </w:r>
      </w:hyperlink>
      <w:r>
        <w:rPr>
          <w:noProof/>
          <w:color w:val="000000"/>
          <w:lang w:val="en-GB"/>
        </w:rPr>
        <w:t xml:space="preserve">, </w:t>
      </w:r>
      <w:hyperlink w:anchor="_ENREF_179" w:tooltip="Holland, 2011 #5773" w:history="1">
        <w:r w:rsidR="004A784D">
          <w:rPr>
            <w:noProof/>
            <w:color w:val="000000"/>
            <w:lang w:val="en-GB"/>
          </w:rPr>
          <w:t>Holland et al., 2011</w:t>
        </w:r>
      </w:hyperlink>
      <w:r>
        <w:rPr>
          <w:noProof/>
          <w:color w:val="000000"/>
          <w:lang w:val="en-GB"/>
        </w:rPr>
        <w:t>)</w:t>
      </w:r>
      <w:r>
        <w:rPr>
          <w:color w:val="000000"/>
          <w:lang w:val="en-GB"/>
        </w:rPr>
        <w:fldChar w:fldCharType="end"/>
      </w:r>
      <w:r w:rsidRPr="00873C4C">
        <w:rPr>
          <w:color w:val="000000"/>
          <w:lang w:val="en-GB"/>
        </w:rPr>
        <w:t>.</w:t>
      </w:r>
    </w:p>
    <w:p w:rsidR="00183FFD" w:rsidRDefault="00183FFD" w:rsidP="00183FFD">
      <w:pPr>
        <w:spacing w:line="360" w:lineRule="auto"/>
        <w:jc w:val="both"/>
        <w:rPr>
          <w:color w:val="000000"/>
          <w:lang w:val="en-GB"/>
        </w:rPr>
      </w:pPr>
    </w:p>
    <w:p w:rsidR="00183FFD" w:rsidRPr="00873C4C" w:rsidRDefault="00183FFD" w:rsidP="00645687">
      <w:pPr>
        <w:pStyle w:val="Heading4"/>
        <w:rPr>
          <w:lang w:val="en-GB"/>
        </w:rPr>
      </w:pPr>
      <w:bookmarkStart w:id="450" w:name="_Toc260495812"/>
      <w:bookmarkStart w:id="451" w:name="_Toc260496063"/>
      <w:bookmarkStart w:id="452" w:name="_Toc260500456"/>
      <w:bookmarkStart w:id="453" w:name="_Toc261098485"/>
      <w:r>
        <w:rPr>
          <w:lang w:val="en-GB"/>
        </w:rPr>
        <w:tab/>
      </w:r>
      <w:bookmarkStart w:id="454" w:name="_Toc312169198"/>
      <w:bookmarkStart w:id="455" w:name="_Toc312172125"/>
      <w:bookmarkStart w:id="456" w:name="_Toc312257674"/>
      <w:r w:rsidRPr="00873C4C">
        <w:rPr>
          <w:lang w:val="en-GB"/>
        </w:rPr>
        <w:t>Acute myeloid leukaemia (AML)</w:t>
      </w:r>
      <w:bookmarkEnd w:id="450"/>
      <w:bookmarkEnd w:id="451"/>
      <w:bookmarkEnd w:id="452"/>
      <w:bookmarkEnd w:id="453"/>
      <w:bookmarkEnd w:id="454"/>
      <w:bookmarkEnd w:id="455"/>
      <w:bookmarkEnd w:id="456"/>
    </w:p>
    <w:p w:rsidR="00183FFD" w:rsidRPr="00873C4C" w:rsidRDefault="00183FFD" w:rsidP="00D81086">
      <w:pPr>
        <w:spacing w:before="240" w:line="360" w:lineRule="auto"/>
        <w:jc w:val="both"/>
        <w:rPr>
          <w:color w:val="000000"/>
        </w:rPr>
      </w:pPr>
      <w:r w:rsidRPr="00873C4C">
        <w:rPr>
          <w:color w:val="000000"/>
          <w:lang w:val="en-GB"/>
        </w:rPr>
        <w:t>AML is characterized by accumulating myeloid precursor or myeloblast cells in the bone marrow, if left untreated the survival rate is 2/3 months. Despite advances in the treatment modalities, the five years overall survival hardly exceeds 50%. The current classification of AML uses WHO and French- American-British (FAB)</w:t>
      </w:r>
      <w:r>
        <w:rPr>
          <w:color w:val="000000"/>
          <w:lang w:val="en-GB"/>
        </w:rPr>
        <w:t xml:space="preserve"> system based on morphological, c</w:t>
      </w:r>
      <w:r w:rsidRPr="00873C4C">
        <w:rPr>
          <w:color w:val="000000"/>
          <w:lang w:val="en-GB"/>
        </w:rPr>
        <w:t>ytogenetic and recurrent molecular abnormalities</w:t>
      </w:r>
      <w:r>
        <w:rPr>
          <w:color w:val="000000"/>
          <w:lang w:val="en-GB"/>
        </w:rPr>
        <w:t xml:space="preserve"> </w:t>
      </w:r>
      <w:r w:rsidRPr="00873C4C">
        <w:rPr>
          <w:color w:val="000000"/>
          <w:lang w:val="en-GB"/>
        </w:rPr>
        <w:fldChar w:fldCharType="begin">
          <w:fldData xml:space="preserve">PEVuZE5vdGU+PENpdGU+PEF1dGhvcj5Lb3JuYmxhdTwvQXV0aG9yPjxZZWFyPjIwMDk8L1llYXI+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</w:fldData>
        </w:fldChar>
      </w:r>
      <w:r>
        <w:rPr>
          <w:color w:val="000000"/>
          <w:lang w:val="en-GB"/>
        </w:rPr>
        <w:instrText xml:space="preserve"> ADDIN EN.CITE </w:instrText>
      </w:r>
      <w:r>
        <w:rPr>
          <w:color w:val="000000"/>
          <w:lang w:val="en-GB"/>
        </w:rPr>
        <w:fldChar w:fldCharType="begin">
          <w:fldData xml:space="preserve">PEVuZE5vdGU+PENpdGU+PEF1dGhvcj5Lb3JuYmxhdTwvQXV0aG9yPjxZZWFyPjIwMDk8L1llYXI+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218" w:tooltip="Kornblau, 2009 #2" w:history="1">
        <w:r w:rsidR="004A784D">
          <w:rPr>
            <w:noProof/>
            <w:color w:val="000000"/>
            <w:lang w:val="en-GB"/>
          </w:rPr>
          <w:t>Kornblau et al., 2009</w:t>
        </w:r>
      </w:hyperlink>
      <w:r>
        <w:rPr>
          <w:noProof/>
          <w:color w:val="000000"/>
          <w:lang w:val="en-GB"/>
        </w:rPr>
        <w:t xml:space="preserve">, </w:t>
      </w:r>
      <w:hyperlink w:anchor="_ENREF_427" w:tooltip="Valk, 2005 #64" w:history="1">
        <w:r w:rsidR="004A784D">
          <w:rPr>
            <w:noProof/>
            <w:color w:val="000000"/>
            <w:lang w:val="en-GB"/>
          </w:rPr>
          <w:t>Valk et al., 2005</w:t>
        </w:r>
      </w:hyperlink>
      <w:r>
        <w:rPr>
          <w:noProof/>
          <w:color w:val="000000"/>
          <w:lang w:val="en-GB"/>
        </w:rPr>
        <w:t>)</w:t>
      </w:r>
      <w:r w:rsidRPr="00873C4C">
        <w:rPr>
          <w:color w:val="000000"/>
        </w:rPr>
        <w:fldChar w:fldCharType="end"/>
      </w:r>
      <w:r w:rsidRPr="00873C4C">
        <w:rPr>
          <w:color w:val="000000"/>
        </w:rPr>
        <w:t>.</w:t>
      </w:r>
    </w:p>
    <w:p w:rsidR="00183FFD"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r w:rsidRPr="00873C4C">
        <w:rPr>
          <w:color w:val="000000"/>
          <w:lang w:val="en-GB"/>
        </w:rPr>
        <w:t>These classification schemes have prognostic relevance and may select individualized therapy in certain subsets of AML such as acute</w:t>
      </w:r>
      <w:r w:rsidR="00D81086">
        <w:rPr>
          <w:color w:val="000000"/>
          <w:lang w:val="en-GB"/>
        </w:rPr>
        <w:t xml:space="preserve"> promyelocytic leukaemia with </w:t>
      </w:r>
      <w:r w:rsidR="00FD0B6C" w:rsidRPr="00D81086">
        <w:rPr>
          <w:color w:val="000000"/>
          <w:lang w:val="en-GB"/>
        </w:rPr>
        <w:t>t</w:t>
      </w:r>
      <w:r w:rsidR="00FD0B6C" w:rsidRPr="00873C4C">
        <w:rPr>
          <w:color w:val="000000"/>
          <w:lang w:val="en-GB"/>
        </w:rPr>
        <w:t xml:space="preserve"> (</w:t>
      </w:r>
      <w:r w:rsidRPr="00873C4C">
        <w:rPr>
          <w:color w:val="000000"/>
          <w:lang w:val="en-GB"/>
        </w:rPr>
        <w:t xml:space="preserve">15; 17); PML-RARA, long-term survival above 70% can be achieved in this subgroup. However, approximately half of the AML patients have no risk stratifying features, and early reports indicate that proteomic approaches may be utilized for disease classification as well as development of novel biomarkers related to prognosis. </w:t>
      </w:r>
      <w:r w:rsidRPr="00873C4C">
        <w:rPr>
          <w:color w:val="000000"/>
          <w:lang w:val="en-GB"/>
        </w:rPr>
        <w:fldChar w:fldCharType="begin"/>
      </w:r>
      <w:r>
        <w:rPr>
          <w:color w:val="000000"/>
          <w:lang w:val="en-GB"/>
        </w:rPr>
        <w:instrText xml:space="preserve"> ADDIN EN.CITE &lt;EndNote&gt;&lt;Cite&gt;&lt;Author&gt;Sjoholt&lt;/Author&gt;&lt;Year&gt;2006&lt;/Year&gt;&lt;RecNum&gt;27&lt;/RecNum&gt;&lt;DisplayText&gt;(Sjoholt et al., 2006)&lt;/DisplayText&gt;&lt;record&gt;&lt;rec-number&gt;27&lt;/rec-number&gt;&lt;foreign-keys&gt;&lt;key app="EN" db-id="z22x20fx02ewvneaw0extaw7aptpp5stpv9s"&gt;27&lt;/key&gt;&lt;/foreign-keys&gt;&lt;ref-type name="Journal Article"&gt;17&lt;/ref-type&gt;&lt;contributors&gt;&lt;authors&gt;&lt;author&gt;Sjoholt, G.&lt;/author&gt;&lt;author&gt;Bedringaas, S. L.&lt;/author&gt;&lt;author&gt;Doskeland, A. P.&lt;/author&gt;&lt;author&gt;Gjertsen, B. T.&lt;/author&gt;&lt;/authors&gt;&lt;/contributors&gt;&lt;auth-address&gt;Institute of Medicine, Hematology Section, University of Bergen, Haukeland University Hospital, N-5021 Bergen, Norway.&lt;/auth-address&gt;&lt;titles&gt;&lt;title&gt;Proteomic strategies for individualizing therapy of acute myeloid leukemia (AML)&lt;/title&gt;&lt;secondary-title&gt;Curr Pharm Biotechnol&lt;/secondary-title&gt;&lt;/titles&gt;&lt;pages&gt;159-70&lt;/pages&gt;&lt;volume&gt;7&lt;/volume&gt;&lt;number&gt;3&lt;/number&gt;&lt;keywords&gt;&lt;keyword&gt;Acute Disease&lt;/keyword&gt;&lt;keyword&gt;Antineoplastic Agents/therapeutic use&lt;/keyword&gt;&lt;keyword&gt;Drug Resistance, Neoplasm&lt;/keyword&gt;&lt;keyword&gt;Graft vs Host Disease/metabolism&lt;/keyword&gt;&lt;keyword&gt;Humans&lt;/keyword&gt;&lt;keyword&gt;Leukemia, Myeloid/diagnosis/metabolism/*therapy&lt;/keyword&gt;&lt;keyword&gt;Neoplasm Proteins/*analysis/biosynthesis&lt;/keyword&gt;&lt;keyword&gt;Proteomics/*methods&lt;/keyword&gt;&lt;keyword&gt;Stem Cell Transplantation&lt;/keyword&gt;&lt;keyword&gt;Tumor Markers, Biological/*analysis/biosynthesis&lt;/keyword&gt;&lt;/keywords&gt;&lt;dates&gt;&lt;year&gt;2006&lt;/year&gt;&lt;pub-dates&gt;&lt;date&gt;Jun&lt;/date&gt;&lt;/pub-dates&gt;&lt;/dates&gt;&lt;accession-num&gt;16789901&lt;/accession-num&gt;&lt;urls&gt;&lt;related-urls&gt;&lt;url&gt;http://www.ncbi.nlm.nih.gov/entrez/query.fcgi?cmd=Retrieve&amp;amp;db=PubMed&amp;amp;dopt=Citation&amp;amp;list_uids=16789901 &lt;/url&gt;&lt;/related-urls&gt;&lt;/urls&gt;&lt;/record&gt;&lt;/Cite&gt;&lt;/EndNote&gt;</w:instrText>
      </w:r>
      <w:r w:rsidRPr="00873C4C">
        <w:rPr>
          <w:color w:val="000000"/>
          <w:lang w:val="en-GB"/>
        </w:rPr>
        <w:fldChar w:fldCharType="separate"/>
      </w:r>
      <w:r>
        <w:rPr>
          <w:noProof/>
          <w:color w:val="000000"/>
          <w:lang w:val="en-GB"/>
        </w:rPr>
        <w:t>(</w:t>
      </w:r>
      <w:hyperlink w:anchor="_ENREF_390" w:tooltip="Sjoholt, 2006 #27" w:history="1">
        <w:r w:rsidR="004A784D">
          <w:rPr>
            <w:noProof/>
            <w:color w:val="000000"/>
            <w:lang w:val="en-GB"/>
          </w:rPr>
          <w:t>Sjoholt et al., 2006</w:t>
        </w:r>
      </w:hyperlink>
      <w:r>
        <w:rPr>
          <w:noProof/>
          <w:color w:val="000000"/>
          <w:lang w:val="en-GB"/>
        </w:rPr>
        <w:t>)</w:t>
      </w:r>
      <w:r w:rsidRPr="00873C4C">
        <w:rPr>
          <w:color w:val="000000"/>
        </w:rPr>
        <w:fldChar w:fldCharType="end"/>
      </w:r>
      <w:r w:rsidRPr="00873C4C">
        <w:rPr>
          <w:color w:val="000000"/>
          <w:lang w:val="en-GB"/>
        </w:rPr>
        <w:t xml:space="preserve"> . </w:t>
      </w:r>
    </w:p>
    <w:p w:rsidR="00183FFD" w:rsidRDefault="00183FFD" w:rsidP="00183FFD">
      <w:pPr>
        <w:spacing w:line="360" w:lineRule="auto"/>
        <w:jc w:val="both"/>
        <w:rPr>
          <w:color w:val="000000"/>
          <w:lang w:val="en-GB"/>
        </w:rPr>
      </w:pPr>
    </w:p>
    <w:p w:rsidR="00183FFD" w:rsidRPr="00873C4C" w:rsidRDefault="00183FFD" w:rsidP="00183FFD">
      <w:pPr>
        <w:spacing w:line="360" w:lineRule="auto"/>
        <w:jc w:val="both"/>
        <w:rPr>
          <w:color w:val="000000"/>
          <w:lang w:val="en-GB"/>
        </w:rPr>
      </w:pPr>
      <w:r w:rsidRPr="00873C4C">
        <w:rPr>
          <w:color w:val="000000"/>
          <w:lang w:val="en-GB"/>
        </w:rPr>
        <w:t>A functional proteomic classification system can provide important information for pathogenesis and prognosis. With the goal of ultimately developing a proteomic-based classification of acute myeloid leukaemia (AML), bone marrow sample from 256 newly</w:t>
      </w:r>
      <w:r>
        <w:rPr>
          <w:color w:val="000000"/>
          <w:lang w:val="en-GB"/>
        </w:rPr>
        <w:t xml:space="preserve"> diagnosed AML patients were analysed</w:t>
      </w:r>
      <w:r w:rsidRPr="00873C4C">
        <w:rPr>
          <w:color w:val="000000"/>
          <w:lang w:val="en-GB"/>
        </w:rPr>
        <w:t xml:space="preserve">. </w:t>
      </w:r>
      <w:r>
        <w:rPr>
          <w:color w:val="000000"/>
          <w:lang w:val="en-GB"/>
        </w:rPr>
        <w:t>The e</w:t>
      </w:r>
      <w:r w:rsidRPr="00873C4C">
        <w:rPr>
          <w:color w:val="000000"/>
          <w:lang w:val="en-GB"/>
        </w:rPr>
        <w:t xml:space="preserve">xpression in matched blood and marrow samples were similar for 44 proteins; another 7 had small fold </w:t>
      </w:r>
      <w:r w:rsidRPr="00873C4C">
        <w:rPr>
          <w:color w:val="000000"/>
          <w:lang w:val="en-GB"/>
        </w:rPr>
        <w:lastRenderedPageBreak/>
        <w:t>changes (8%-55%), suggesting that functional proteomics of leukaemia-enriched cells in the marrow and periphery are similar</w:t>
      </w:r>
      <w:r>
        <w:rPr>
          <w:color w:val="000000"/>
          <w:lang w:val="en-GB"/>
        </w:rPr>
        <w:t xml:space="preserve"> </w:t>
      </w:r>
      <w:r w:rsidRPr="00873C4C">
        <w:rPr>
          <w:color w:val="000000"/>
          <w:lang w:val="en-GB"/>
        </w:rPr>
        <w:fldChar w:fldCharType="begin">
          <w:fldData xml:space="preserve">PEVuZE5vdGU+PENpdGU+PEF1dGhvcj5Gb3JzaGVkPC9BdXRob3I+PFllYXI+MjAwODwvWWVhcj48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==
</w:fldData>
        </w:fldChar>
      </w:r>
      <w:r>
        <w:rPr>
          <w:color w:val="000000"/>
          <w:lang w:val="en-GB"/>
        </w:rPr>
        <w:instrText xml:space="preserve"> ADDIN EN.CITE </w:instrText>
      </w:r>
      <w:r>
        <w:rPr>
          <w:color w:val="000000"/>
          <w:lang w:val="en-GB"/>
        </w:rPr>
        <w:fldChar w:fldCharType="begin">
          <w:fldData xml:space="preserve">PEVuZE5vdGU+PENpdGU+PEF1dGhvcj5Gb3JzaGVkPC9BdXRob3I+PFllYXI+MjAwODwvWWVhcj48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==
</w:fldData>
        </w:fldChar>
      </w:r>
      <w:r>
        <w:rPr>
          <w:color w:val="000000"/>
          <w:lang w:val="en-GB"/>
        </w:rPr>
        <w:instrText xml:space="preserve"> ADDIN EN.CITE.DATA </w:instrText>
      </w:r>
      <w:r>
        <w:rPr>
          <w:color w:val="000000"/>
          <w:lang w:val="en-GB"/>
        </w:rPr>
      </w:r>
      <w:r>
        <w:rPr>
          <w:color w:val="000000"/>
          <w:lang w:val="en-GB"/>
        </w:rPr>
        <w:fldChar w:fldCharType="end"/>
      </w:r>
      <w:r w:rsidRPr="00873C4C">
        <w:rPr>
          <w:color w:val="000000"/>
          <w:lang w:val="en-GB"/>
        </w:rPr>
      </w:r>
      <w:r w:rsidRPr="00873C4C">
        <w:rPr>
          <w:color w:val="000000"/>
          <w:lang w:val="en-GB"/>
        </w:rPr>
        <w:fldChar w:fldCharType="separate"/>
      </w:r>
      <w:r>
        <w:rPr>
          <w:noProof/>
          <w:color w:val="000000"/>
          <w:lang w:val="en-GB"/>
        </w:rPr>
        <w:t>(</w:t>
      </w:r>
      <w:hyperlink w:anchor="_ENREF_126" w:tooltip="Forshed, 2008 #5" w:history="1">
        <w:r w:rsidR="004A784D">
          <w:rPr>
            <w:noProof/>
            <w:color w:val="000000"/>
            <w:lang w:val="en-GB"/>
          </w:rPr>
          <w:t>Forshed et al., 2008</w:t>
        </w:r>
      </w:hyperlink>
      <w:r>
        <w:rPr>
          <w:noProof/>
          <w:color w:val="000000"/>
          <w:lang w:val="en-GB"/>
        </w:rPr>
        <w:t xml:space="preserve">, </w:t>
      </w:r>
      <w:hyperlink w:anchor="_ENREF_88" w:tooltip="Cui, 2004 #65" w:history="1">
        <w:r w:rsidR="004A784D">
          <w:rPr>
            <w:noProof/>
            <w:color w:val="000000"/>
            <w:lang w:val="en-GB"/>
          </w:rPr>
          <w:t>Cui et al., 2004</w:t>
        </w:r>
      </w:hyperlink>
      <w:r>
        <w:rPr>
          <w:noProof/>
          <w:color w:val="000000"/>
          <w:lang w:val="en-GB"/>
        </w:rPr>
        <w:t>)</w:t>
      </w:r>
      <w:r w:rsidRPr="00873C4C">
        <w:rPr>
          <w:color w:val="000000"/>
        </w:rPr>
        <w:fldChar w:fldCharType="end"/>
      </w:r>
      <w:r w:rsidRPr="00873C4C">
        <w:rPr>
          <w:color w:val="000000"/>
          <w:lang w:val="en-GB"/>
        </w:rPr>
        <w:t xml:space="preserve">. </w:t>
      </w:r>
    </w:p>
    <w:p w:rsidR="00183FFD" w:rsidRDefault="00183FFD" w:rsidP="00183FFD">
      <w:pPr>
        <w:spacing w:line="360" w:lineRule="auto"/>
        <w:jc w:val="both"/>
        <w:rPr>
          <w:color w:val="000000"/>
          <w:lang w:val="en-GB"/>
        </w:rPr>
      </w:pPr>
    </w:p>
    <w:p w:rsidR="00183FFD" w:rsidRDefault="00183FFD" w:rsidP="00183FFD">
      <w:pPr>
        <w:spacing w:line="360" w:lineRule="auto"/>
        <w:jc w:val="both"/>
        <w:rPr>
          <w:color w:val="000000"/>
        </w:rPr>
      </w:pPr>
      <w:r w:rsidRPr="00873C4C">
        <w:rPr>
          <w:color w:val="000000"/>
          <w:lang w:val="en-GB"/>
        </w:rPr>
        <w:t xml:space="preserve">Protein expression patterns were independent of clinical characteristics and there was 24 unique protein expression signature for different FAB types, defining distinct signatures for each </w:t>
      </w:r>
      <w:r w:rsidRPr="00873C4C">
        <w:rPr>
          <w:color w:val="000000"/>
          <w:lang w:val="en-GB"/>
        </w:rPr>
        <w:fldChar w:fldCharType="begin"/>
      </w:r>
      <w:r>
        <w:rPr>
          <w:color w:val="000000"/>
          <w:lang w:val="en-GB"/>
        </w:rPr>
        <w:instrText xml:space="preserve"> ADDIN EN.CITE &lt;EndNote&gt;&lt;Cite&gt;&lt;Author&gt;Kornblau&lt;/Author&gt;&lt;Year&gt;2009&lt;/Year&gt;&lt;RecNum&gt;2&lt;/RecNum&gt;&lt;DisplayText&gt;(Kornblau et al., 2009)&lt;/DisplayText&gt;&lt;record&gt;&lt;rec-number&gt;2&lt;/rec-number&gt;&lt;foreign-keys&gt;&lt;key app="EN" db-id="z22x20fx02ewvneaw0extaw7aptpp5stpv9s"&gt;2&lt;/key&gt;&lt;/foreign-keys&gt;&lt;ref-type name="Journal Article"&gt;17&lt;/ref-type&gt;&lt;contributors&gt;&lt;authors&gt;&lt;author&gt;Kornblau, S. M.&lt;/author&gt;&lt;author&gt;Tibes, R.&lt;/author&gt;&lt;author&gt;Qiu, Y. H.&lt;/author&gt;&lt;author&gt;Chen, W.&lt;/author&gt;&lt;author&gt;Kantarjian, H. M.&lt;/author&gt;&lt;author&gt;Andreeff, M.&lt;/author&gt;&lt;author&gt;Coombes, K. R.&lt;/author&gt;&lt;author&gt;Mills, G. B.&lt;/author&gt;&lt;/authors&gt;&lt;/contributors&gt;&lt;auth-address&gt;Departments of Stem Cell Transplantation and Cellular Therapy, University of Texas M. D. Anderson Cancer Center, Houston, TX 77030, USA.&lt;/auth-address&gt;&lt;titles&gt;&lt;title&gt;Functional proteomic profiling of AML predicts response and survival&lt;/title&gt;&lt;secondary-title&gt;Blood&lt;/secondary-title&gt;&lt;/titles&gt;&lt;pages&gt;154-64&lt;/pages&gt;&lt;volume&gt;113&lt;/volume&gt;&lt;number&gt;1&lt;/number&gt;&lt;dates&gt;&lt;year&gt;2009&lt;/year&gt;&lt;pub-dates&gt;&lt;date&gt;Jan 1&lt;/date&gt;&lt;/pub-dates&gt;&lt;/dates&gt;&lt;accession-num&gt;18840713&lt;/accession-num&gt;&lt;urls&gt;&lt;related-urls&gt;&lt;url&gt;http://www.ncbi.nlm.nih.gov/entrez/query.fcgi?cmd=Retrieve&amp;amp;db=PubMed&amp;amp;dopt=Citation&amp;amp;list_uids=18840713 &lt;/url&gt;&lt;/related-urls&gt;&lt;/urls&gt;&lt;/record&gt;&lt;/Cite&gt;&lt;/EndNote&gt;</w:instrText>
      </w:r>
      <w:r w:rsidRPr="00873C4C">
        <w:rPr>
          <w:color w:val="000000"/>
          <w:lang w:val="en-GB"/>
        </w:rPr>
        <w:fldChar w:fldCharType="separate"/>
      </w:r>
      <w:r>
        <w:rPr>
          <w:noProof/>
          <w:color w:val="000000"/>
          <w:lang w:val="en-GB"/>
        </w:rPr>
        <w:t>(</w:t>
      </w:r>
      <w:hyperlink w:anchor="_ENREF_218" w:tooltip="Kornblau, 2009 #2" w:history="1">
        <w:r w:rsidR="004A784D">
          <w:rPr>
            <w:noProof/>
            <w:color w:val="000000"/>
            <w:lang w:val="en-GB"/>
          </w:rPr>
          <w:t>Kornblau et al., 2009</w:t>
        </w:r>
      </w:hyperlink>
      <w:r>
        <w:rPr>
          <w:noProof/>
          <w:color w:val="000000"/>
          <w:lang w:val="en-GB"/>
        </w:rPr>
        <w:t>)</w:t>
      </w:r>
      <w:r w:rsidRPr="00873C4C">
        <w:rPr>
          <w:color w:val="000000"/>
        </w:rPr>
        <w:fldChar w:fldCharType="end"/>
      </w:r>
      <w:r w:rsidRPr="00873C4C">
        <w:rPr>
          <w:color w:val="000000"/>
          <w:lang w:val="en-GB"/>
        </w:rPr>
        <w:t xml:space="preserve">. Expression signatures for AML with cytogenetic abnormalities involving chromosomal abnormality -5 or -7 were similar suggesting mechanistic commonalities. Distinct expression patterns for FMS-like tyrosine kinase 3-internal tandem duplication were also identified. Principal component analysis defined 7 protein signature groups, with prognostic information distinct from cytogenetic that correlated with remission attainment, relapse, and overall survival. In conclusion, protein expression profiling patterns in AML correlate with known morphologic features, cytogenetic, and outcome. </w:t>
      </w:r>
      <w:r w:rsidRPr="00873C4C">
        <w:rPr>
          <w:color w:val="000000"/>
          <w:lang w:val="en-GB"/>
        </w:rPr>
        <w:fldChar w:fldCharType="begin"/>
      </w:r>
      <w:r>
        <w:rPr>
          <w:color w:val="000000"/>
          <w:lang w:val="en-GB"/>
        </w:rPr>
        <w:instrText xml:space="preserve"> ADDIN EN.CITE &lt;EndNote&gt;&lt;Cite&gt;&lt;Author&gt;Carlson&lt;/Author&gt;&lt;Year&gt;2007&lt;/Year&gt;&lt;RecNum&gt;14&lt;/RecNum&gt;&lt;DisplayText&gt;(Carlson et al., 2007)&lt;/DisplayText&gt;&lt;record&gt;&lt;rec-number&gt;14&lt;/rec-number&gt;&lt;foreign-keys&gt;&lt;key app="EN" db-id="z22x20fx02ewvneaw0extaw7aptpp5stpv9s"&gt;14&lt;/key&gt;&lt;/foreign-keys&gt;&lt;ref-type name="Journal Article"&gt;17&lt;/ref-type&gt;&lt;contributors&gt;&lt;authors&gt;&lt;author&gt;Carlson, S. M.&lt;/author&gt;&lt;author&gt;Najmi, A.&lt;/author&gt;&lt;author&gt;Cohen, H. J.&lt;/author&gt;&lt;/authors&gt;&lt;/contributors&gt;&lt;auth-address&gt;Biological Engineering Division, Massachusetts Institute of Technology, Cambridge, MA, USA.&lt;/auth-address&gt;&lt;titles&gt;&lt;title&gt;Biomarker clustering to address correlations in proteomic data&lt;/title&gt;&lt;secondary-title&gt;Proteomics&lt;/secondary-title&gt;&lt;/titles&gt;&lt;pages&gt;1037-46&lt;/pages&gt;&lt;volume&gt;7&lt;/volume&gt;&lt;number&gt;7&lt;/number&gt;&lt;keywords&gt;&lt;keyword&gt;*Algorithms&lt;/keyword&gt;&lt;keyword&gt;Bayes Theorem&lt;/keyword&gt;&lt;keyword&gt;Biological Markers&lt;/keyword&gt;&lt;keyword&gt;Child&lt;/keyword&gt;&lt;keyword&gt;Cluster Analysis&lt;/keyword&gt;&lt;keyword&gt;Computer Simulation&lt;/keyword&gt;&lt;keyword&gt;Humans&lt;/keyword&gt;&lt;keyword&gt;Leukemia, Myeloid, Acute/genetics&lt;/keyword&gt;&lt;keyword&gt;Models, Biological&lt;/keyword&gt;&lt;keyword&gt;Mucocutaneous Lymph Node Syndrome/genetics&lt;/keyword&gt;&lt;keyword&gt;Precursor Cell Lymphoblastic Leukemia-Lymphoma/genetics&lt;/keyword&gt;&lt;keyword&gt;Principal Component Analysis&lt;/keyword&gt;&lt;keyword&gt;*Proteomics&lt;/keyword&gt;&lt;keyword&gt;Sensitivity and Specificity&lt;/keyword&gt;&lt;keyword&gt;Spectrometry, Mass, Matrix-Assisted Laser Desorption-Ionization&lt;/keyword&gt;&lt;/keywords&gt;&lt;dates&gt;&lt;year&gt;2007&lt;/year&gt;&lt;pub-dates&gt;&lt;date&gt;Apr&lt;/date&gt;&lt;/pub-dates&gt;&lt;/dates&gt;&lt;accession-num&gt;17390293&lt;/accession-num&gt;&lt;urls&gt;&lt;related-urls&gt;&lt;url&gt;http://www.ncbi.nlm.nih.gov/entrez/query.fcgi?cmd=Retrieve&amp;amp;db=PubMed&amp;amp;dopt=Citation&amp;amp;list_uids=17390293 &lt;/url&gt;&lt;/related-urls&gt;&lt;/urls&gt;&lt;/record&gt;&lt;/Cite&gt;&lt;/EndNote&gt;</w:instrText>
      </w:r>
      <w:r w:rsidRPr="00873C4C">
        <w:rPr>
          <w:color w:val="000000"/>
          <w:lang w:val="en-GB"/>
        </w:rPr>
        <w:fldChar w:fldCharType="separate"/>
      </w:r>
      <w:r>
        <w:rPr>
          <w:noProof/>
          <w:color w:val="000000"/>
          <w:lang w:val="en-GB"/>
        </w:rPr>
        <w:t>(</w:t>
      </w:r>
      <w:hyperlink w:anchor="_ENREF_65" w:tooltip="Carlson, 2007 #14" w:history="1">
        <w:r w:rsidR="004A784D">
          <w:rPr>
            <w:noProof/>
            <w:color w:val="000000"/>
            <w:lang w:val="en-GB"/>
          </w:rPr>
          <w:t>Carlson et al., 2007</w:t>
        </w:r>
      </w:hyperlink>
      <w:r>
        <w:rPr>
          <w:noProof/>
          <w:color w:val="000000"/>
          <w:lang w:val="en-GB"/>
        </w:rPr>
        <w:t>)</w:t>
      </w:r>
      <w:r w:rsidRPr="00873C4C">
        <w:rPr>
          <w:color w:val="000000"/>
        </w:rPr>
        <w:fldChar w:fldCharType="end"/>
      </w:r>
      <w:r w:rsidRPr="00873C4C">
        <w:rPr>
          <w:color w:val="000000"/>
        </w:rPr>
        <w:t>.</w:t>
      </w:r>
    </w:p>
    <w:p w:rsidR="00183FFD" w:rsidRPr="00873C4C" w:rsidRDefault="00183FFD" w:rsidP="00183FFD">
      <w:pPr>
        <w:spacing w:line="360" w:lineRule="auto"/>
        <w:jc w:val="both"/>
        <w:rPr>
          <w:color w:val="000000"/>
        </w:rPr>
      </w:pPr>
    </w:p>
    <w:p w:rsidR="00F334EE" w:rsidRDefault="00B9365A" w:rsidP="00645687">
      <w:pPr>
        <w:pStyle w:val="Heading3"/>
        <w:rPr>
          <w:lang w:val="en-GB"/>
        </w:rPr>
      </w:pPr>
      <w:r w:rsidRPr="00873C4C">
        <w:rPr>
          <w:lang w:val="en-GB"/>
        </w:rPr>
        <w:br w:type="page"/>
      </w:r>
      <w:r w:rsidRPr="00873C4C">
        <w:rPr>
          <w:lang w:val="en-GB"/>
        </w:rPr>
        <w:lastRenderedPageBreak/>
        <w:t xml:space="preserve"> </w:t>
      </w:r>
      <w:bookmarkStart w:id="457" w:name="_Toc305759140"/>
      <w:r w:rsidR="00BA1CCC" w:rsidRPr="00873C4C">
        <w:rPr>
          <w:lang w:val="en-GB"/>
        </w:rPr>
        <w:tab/>
      </w:r>
      <w:bookmarkStart w:id="458" w:name="_Toc306570568"/>
      <w:bookmarkStart w:id="459" w:name="_Toc307067633"/>
      <w:bookmarkStart w:id="460" w:name="_Toc312169199"/>
      <w:bookmarkStart w:id="461" w:name="_Toc312172126"/>
      <w:bookmarkStart w:id="462" w:name="_Toc312257675"/>
      <w:r w:rsidR="00F334EE" w:rsidRPr="00873C4C">
        <w:rPr>
          <w:lang w:val="en-GB"/>
        </w:rPr>
        <w:t>Proteomic based approaches to biomarker discovery</w:t>
      </w:r>
      <w:bookmarkEnd w:id="408"/>
      <w:bookmarkEnd w:id="409"/>
      <w:bookmarkEnd w:id="410"/>
      <w:bookmarkEnd w:id="411"/>
      <w:bookmarkEnd w:id="457"/>
      <w:bookmarkEnd w:id="458"/>
      <w:bookmarkEnd w:id="459"/>
      <w:bookmarkEnd w:id="460"/>
      <w:bookmarkEnd w:id="461"/>
      <w:bookmarkEnd w:id="462"/>
    </w:p>
    <w:p w:rsidR="00B9365A" w:rsidRPr="00873C4C" w:rsidRDefault="00B9365A" w:rsidP="00645687">
      <w:pPr>
        <w:pStyle w:val="Heading4"/>
      </w:pPr>
      <w:r w:rsidRPr="00873C4C">
        <w:tab/>
      </w:r>
      <w:bookmarkStart w:id="463" w:name="_Toc305759141"/>
      <w:bookmarkStart w:id="464" w:name="_Toc306570569"/>
      <w:bookmarkStart w:id="465" w:name="_Toc307067634"/>
      <w:bookmarkStart w:id="466" w:name="_Toc312169200"/>
      <w:bookmarkStart w:id="467" w:name="_Toc312172127"/>
      <w:bookmarkStart w:id="468" w:name="_Toc312257676"/>
      <w:r w:rsidRPr="00873C4C">
        <w:t>Background</w:t>
      </w:r>
      <w:bookmarkEnd w:id="463"/>
      <w:bookmarkEnd w:id="464"/>
      <w:bookmarkEnd w:id="465"/>
      <w:bookmarkEnd w:id="466"/>
      <w:bookmarkEnd w:id="467"/>
      <w:bookmarkEnd w:id="468"/>
    </w:p>
    <w:p w:rsidR="00F334EE" w:rsidRDefault="00F334EE" w:rsidP="0063683C">
      <w:pPr>
        <w:spacing w:before="240" w:line="360" w:lineRule="auto"/>
        <w:jc w:val="both"/>
        <w:rPr>
          <w:color w:val="000000"/>
        </w:rPr>
      </w:pPr>
      <w:r w:rsidRPr="00873C4C">
        <w:rPr>
          <w:color w:val="000000"/>
        </w:rPr>
        <w:t>Biomarkers are essential for cancer detection, diagnosis, prognosis and therapeutic monitoring. However, currently available cancer biomarkers have the weakness of lacking sensitivity and specificity resulting in an urgent need for greater quality biomarkers. Recent advances in proteomics technologies and sample preparation have enabled in-depth analysis of many low abundant proteins/peptides, unlocking a large pool of potentially clinically valuable biomarkers</w:t>
      </w:r>
      <w:r w:rsidR="00930156">
        <w:rPr>
          <w:color w:val="000000"/>
        </w:rPr>
        <w:t xml:space="preserve"> </w:t>
      </w:r>
      <w:r w:rsidR="00930156">
        <w:rPr>
          <w:color w:val="000000"/>
        </w:rPr>
        <w:fldChar w:fldCharType="begin"/>
      </w:r>
      <w:r w:rsidR="00930156">
        <w:rPr>
          <w:color w:val="000000"/>
        </w:rPr>
        <w:instrText xml:space="preserve"> ADDIN EN.CITE &lt;EndNote&gt;&lt;Cite&gt;&lt;Author&gt;Xiao&lt;/Author&gt;&lt;Year&gt;2010&lt;/Year&gt;&lt;RecNum&gt;5104&lt;/RecNum&gt;&lt;DisplayText&gt;(Xiao and Wong, 2010)&lt;/DisplayText&gt;&lt;record&gt;&lt;rec-number&gt;5104&lt;/rec-number&gt;&lt;foreign-keys&gt;&lt;key app="EN" db-id="zf0awxsaczrdd3eft5qvw9wrtxxawdfrvw2a"&gt;5104&lt;/key&gt;&lt;/foreign-keys&gt;&lt;ref-type name="Journal Article"&gt;17&lt;/ref-type&gt;&lt;contributors&gt;&lt;authors&gt;&lt;author&gt;Xiao, H.&lt;/author&gt;&lt;author&gt;Wong, D. T.&lt;/author&gt;&lt;/authors&gt;&lt;/contributors&gt;&lt;titles&gt;&lt;title&gt;Proteomics and its applications for biomarker discovery in human saliva&lt;/title&gt;&lt;secondary-title&gt;Bioinformation&lt;/secondary-title&gt;&lt;/titles&gt;&lt;periodical&gt;&lt;full-title&gt;Bioinformation&lt;/full-title&gt;&lt;/periodical&gt;&lt;pages&gt;294-6&lt;/pages&gt;&lt;volume&gt;5&lt;/volume&gt;&lt;number&gt;7&lt;/number&gt;&lt;edition&gt;2010/01/01&lt;/edition&gt;&lt;dates&gt;&lt;year&gt;2010&lt;/year&gt;&lt;/dates&gt;&lt;isbn&gt;0973-2063 (Electronic)&amp;#xD;0973-2063 (Linking)&lt;/isbn&gt;&lt;accession-num&gt;21364838&lt;/accession-num&gt;&lt;urls&gt;&lt;related-urls&gt;&lt;url&gt;http://www.ncbi.nlm.nih.gov/pubmed/21364838&lt;/url&gt;&lt;/related-urls&gt;&lt;/urls&gt;&lt;custom2&gt;3043350&lt;/custom2&gt;&lt;language&gt;eng&lt;/language&gt;&lt;/record&gt;&lt;/Cite&gt;&lt;/EndNote&gt;</w:instrText>
      </w:r>
      <w:r w:rsidR="00930156">
        <w:rPr>
          <w:color w:val="000000"/>
        </w:rPr>
        <w:fldChar w:fldCharType="separate"/>
      </w:r>
      <w:r w:rsidR="00930156">
        <w:rPr>
          <w:noProof/>
          <w:color w:val="000000"/>
        </w:rPr>
        <w:t>(</w:t>
      </w:r>
      <w:hyperlink w:anchor="_ENREF_450" w:tooltip="Xiao, 2010 #5104" w:history="1">
        <w:r w:rsidR="004A784D">
          <w:rPr>
            <w:noProof/>
            <w:color w:val="000000"/>
          </w:rPr>
          <w:t>Xiao and Wong, 2010</w:t>
        </w:r>
      </w:hyperlink>
      <w:r w:rsidR="00930156">
        <w:rPr>
          <w:noProof/>
          <w:color w:val="000000"/>
        </w:rPr>
        <w:t>)</w:t>
      </w:r>
      <w:r w:rsidR="00930156">
        <w:rPr>
          <w:color w:val="000000"/>
        </w:rPr>
        <w:fldChar w:fldCharType="end"/>
      </w:r>
      <w:r w:rsidRPr="00873C4C">
        <w:rPr>
          <w:color w:val="000000"/>
        </w:rPr>
        <w:t>.</w:t>
      </w:r>
    </w:p>
    <w:p w:rsidR="00C241AC" w:rsidRPr="00873C4C" w:rsidRDefault="00C241AC" w:rsidP="00057B42">
      <w:pPr>
        <w:spacing w:line="360" w:lineRule="auto"/>
        <w:jc w:val="both"/>
        <w:rPr>
          <w:color w:val="000000"/>
        </w:rPr>
      </w:pPr>
    </w:p>
    <w:p w:rsidR="00930156" w:rsidRDefault="00F334EE" w:rsidP="00057B42">
      <w:pPr>
        <w:spacing w:line="360" w:lineRule="auto"/>
        <w:jc w:val="both"/>
        <w:rPr>
          <w:color w:val="000000"/>
        </w:rPr>
      </w:pPr>
      <w:r w:rsidRPr="00873C4C">
        <w:rPr>
          <w:color w:val="000000"/>
        </w:rPr>
        <w:t>Proteomic te</w:t>
      </w:r>
      <w:r w:rsidR="009A006E">
        <w:rPr>
          <w:color w:val="000000"/>
        </w:rPr>
        <w:t>chnologies applied to biomarker</w:t>
      </w:r>
      <w:r w:rsidRPr="00873C4C">
        <w:rPr>
          <w:color w:val="000000"/>
        </w:rPr>
        <w:t xml:space="preserve"> discovery are very much to the forefront in this specific area and have accounted for many new potential clinically useful markers being identified over the last few years. Proteomics approaches to biomarker discovery include both gel-based methods and gel-free MS-based methods</w:t>
      </w:r>
      <w:r w:rsidR="00930156">
        <w:rPr>
          <w:color w:val="000000"/>
        </w:rPr>
        <w:t xml:space="preserve"> </w:t>
      </w:r>
      <w:r w:rsidR="00930156">
        <w:rPr>
          <w:color w:val="000000"/>
        </w:rPr>
        <w:fldChar w:fldCharType="begin"/>
      </w:r>
      <w:r w:rsidR="00930156">
        <w:rPr>
          <w:color w:val="000000"/>
        </w:rPr>
        <w:instrText xml:space="preserve"> ADDIN EN.CITE &lt;EndNote&gt;&lt;Cite&gt;&lt;Author&gt;Kalinina&lt;/Author&gt;&lt;Year&gt;2011&lt;/Year&gt;&lt;RecNum&gt;5081&lt;/RecNum&gt;&lt;DisplayText&gt;(Kalinina et al., 2011)&lt;/DisplayText&gt;&lt;record&gt;&lt;rec-number&gt;5081&lt;/rec-number&gt;&lt;foreign-keys&gt;&lt;key app="EN" db-id="zf0awxsaczrdd3eft5qvw9wrtxxawdfrvw2a"&gt;5081&lt;/key&gt;&lt;/foreign-keys&gt;&lt;ref-type name="Journal Article"&gt;17&lt;/ref-type&gt;&lt;contributors&gt;&lt;authors&gt;&lt;author&gt;Kalinina, J.&lt;/author&gt;&lt;author&gt;Peng, J.&lt;/author&gt;&lt;author&gt;Ritchie, J. C.&lt;/author&gt;&lt;author&gt;Van Meir, E. G.&lt;/author&gt;&lt;/authors&gt;&lt;/contributors&gt;&lt;auth-address&gt;Laboratory of Molecular Neuro-Oncology, Departments of Neurosurgery, Hematology and Medical Oncology, School of Medicine, and Winship Cancer Institute, Emory University, Atlanta, GA 30322, USA.&lt;/auth-address&gt;&lt;titles&gt;&lt;title&gt;Proteomics of gliomas: initial biomarker discovery and evolution of technology&lt;/title&gt;&lt;secondary-title&gt;Neuro Oncol&lt;/secondary-title&gt;&lt;/titles&gt;&lt;periodical&gt;&lt;full-title&gt;Neuro Oncol&lt;/full-title&gt;&lt;/periodical&gt;&lt;pages&gt;926-42&lt;/pages&gt;&lt;volume&gt;13&lt;/volume&gt;&lt;number&gt;9&lt;/number&gt;&lt;edition&gt;2011/08/20&lt;/edition&gt;&lt;dates&gt;&lt;year&gt;2011&lt;/year&gt;&lt;pub-dates&gt;&lt;date&gt;Sep&lt;/date&gt;&lt;/pub-dates&gt;&lt;/dates&gt;&lt;isbn&gt;1523-5866 (Electronic)&amp;#xD;1522-8517 (Linking)&lt;/isbn&gt;&lt;accession-num&gt;21852429&lt;/accession-num&gt;&lt;urls&gt;&lt;related-urls&gt;&lt;url&gt;http://www.ncbi.nlm.nih.gov/pubmed/21852429&lt;/url&gt;&lt;/related-urls&gt;&lt;/urls&gt;&lt;custom2&gt;3158015&lt;/custom2&gt;&lt;electronic-resource-num&gt;nor078 [pii]&amp;#xD;10.1093/neuonc/nor078&lt;/electronic-resource-num&gt;&lt;language&gt;eng&lt;/language&gt;&lt;/record&gt;&lt;/Cite&gt;&lt;/EndNote&gt;</w:instrText>
      </w:r>
      <w:r w:rsidR="00930156">
        <w:rPr>
          <w:color w:val="000000"/>
        </w:rPr>
        <w:fldChar w:fldCharType="separate"/>
      </w:r>
      <w:r w:rsidR="00930156">
        <w:rPr>
          <w:noProof/>
          <w:color w:val="000000"/>
        </w:rPr>
        <w:t>(</w:t>
      </w:r>
      <w:hyperlink w:anchor="_ENREF_196" w:tooltip="Kalinina, 2011 #5081" w:history="1">
        <w:r w:rsidR="004A784D">
          <w:rPr>
            <w:noProof/>
            <w:color w:val="000000"/>
          </w:rPr>
          <w:t>Kalinina et al., 2011</w:t>
        </w:r>
      </w:hyperlink>
      <w:r w:rsidR="00930156">
        <w:rPr>
          <w:noProof/>
          <w:color w:val="000000"/>
        </w:rPr>
        <w:t>)</w:t>
      </w:r>
      <w:r w:rsidR="00930156">
        <w:rPr>
          <w:color w:val="000000"/>
        </w:rPr>
        <w:fldChar w:fldCharType="end"/>
      </w:r>
      <w:r w:rsidRPr="00873C4C">
        <w:rPr>
          <w:color w:val="000000"/>
        </w:rPr>
        <w:t>.</w:t>
      </w:r>
    </w:p>
    <w:p w:rsidR="00F334EE" w:rsidRPr="00873C4C" w:rsidRDefault="00F334EE" w:rsidP="00057B42">
      <w:pPr>
        <w:spacing w:line="360" w:lineRule="auto"/>
        <w:jc w:val="both"/>
        <w:rPr>
          <w:color w:val="000000"/>
        </w:rPr>
      </w:pPr>
      <w:r w:rsidRPr="00873C4C">
        <w:rPr>
          <w:color w:val="000000"/>
        </w:rPr>
        <w:t xml:space="preserve"> </w:t>
      </w:r>
    </w:p>
    <w:p w:rsidR="00B9365A" w:rsidRPr="00873C4C" w:rsidRDefault="00B9365A" w:rsidP="00645687">
      <w:pPr>
        <w:pStyle w:val="Heading4"/>
      </w:pPr>
      <w:r w:rsidRPr="00873C4C">
        <w:tab/>
      </w:r>
      <w:bookmarkStart w:id="469" w:name="_Toc305759142"/>
      <w:bookmarkStart w:id="470" w:name="_Toc306570570"/>
      <w:bookmarkStart w:id="471" w:name="_Toc307067635"/>
      <w:bookmarkStart w:id="472" w:name="_Toc312169201"/>
      <w:bookmarkStart w:id="473" w:name="_Toc312172128"/>
      <w:bookmarkStart w:id="474" w:name="_Toc312257677"/>
      <w:r w:rsidR="00930156">
        <w:t>Proteomic t</w:t>
      </w:r>
      <w:r w:rsidRPr="00873C4C">
        <w:t>echniques</w:t>
      </w:r>
      <w:bookmarkEnd w:id="469"/>
      <w:bookmarkEnd w:id="470"/>
      <w:bookmarkEnd w:id="471"/>
      <w:bookmarkEnd w:id="472"/>
      <w:bookmarkEnd w:id="473"/>
      <w:bookmarkEnd w:id="474"/>
    </w:p>
    <w:p w:rsidR="00380AC4" w:rsidRPr="00873C4C" w:rsidRDefault="00F334EE" w:rsidP="009A006E">
      <w:pPr>
        <w:spacing w:before="240" w:line="360" w:lineRule="auto"/>
        <w:jc w:val="both"/>
        <w:rPr>
          <w:color w:val="000000"/>
        </w:rPr>
      </w:pPr>
      <w:r w:rsidRPr="00873C4C">
        <w:rPr>
          <w:color w:val="000000"/>
        </w:rPr>
        <w:t>2-dimensional polyacrylamide gel electrophoresis (2D-PAGE) is still a very popular protein separation technique. 2-dimensional Difference Gel Electrophoresis (2D-DIGE) differs from 2D-PAGE in that each sample is pre-labelled with a fluorescent dye prior to isoelectric focusing (called Cy2, Cy3 and Cy5)</w:t>
      </w:r>
      <w:r w:rsidR="00930156">
        <w:rPr>
          <w:color w:val="000000"/>
        </w:rPr>
        <w:fldChar w:fldCharType="begin">
          <w:fldData xml:space="preserve">PEVuZE5vdGU+PENpdGU+PEF1dGhvcj5TZWlrZTwvQXV0aG9yPjxZZWFyPjIwMDQ8L1llYXI+PFJl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</w:fldData>
        </w:fldChar>
      </w:r>
      <w:r w:rsidR="0063683C">
        <w:rPr>
          <w:color w:val="000000"/>
        </w:rPr>
        <w:instrText xml:space="preserve"> ADDIN EN.CITE </w:instrText>
      </w:r>
      <w:r w:rsidR="0063683C">
        <w:rPr>
          <w:color w:val="000000"/>
        </w:rPr>
        <w:fldChar w:fldCharType="begin">
          <w:fldData xml:space="preserve">PEVuZE5vdGU+PENpdGU+PEF1dGhvcj5TZWlrZTwvQXV0aG9yPjxZZWFyPjIwMDQ8L1llYXI+PFJl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</w:fldData>
        </w:fldChar>
      </w:r>
      <w:r w:rsidR="0063683C">
        <w:rPr>
          <w:color w:val="000000"/>
        </w:rPr>
        <w:instrText xml:space="preserve"> ADDIN EN.CITE.DATA </w:instrText>
      </w:r>
      <w:r w:rsidR="0063683C">
        <w:rPr>
          <w:color w:val="000000"/>
        </w:rPr>
      </w:r>
      <w:r w:rsidR="0063683C">
        <w:rPr>
          <w:color w:val="000000"/>
        </w:rPr>
        <w:fldChar w:fldCharType="end"/>
      </w:r>
      <w:r w:rsidR="00930156">
        <w:rPr>
          <w:color w:val="000000"/>
        </w:rPr>
      </w:r>
      <w:r w:rsidR="00930156">
        <w:rPr>
          <w:color w:val="000000"/>
        </w:rPr>
        <w:fldChar w:fldCharType="separate"/>
      </w:r>
      <w:r w:rsidR="0063683C">
        <w:rPr>
          <w:noProof/>
          <w:color w:val="000000"/>
        </w:rPr>
        <w:t>(</w:t>
      </w:r>
      <w:hyperlink w:anchor="_ENREF_378" w:tooltip="Seike, 2004 #5308" w:history="1">
        <w:r w:rsidR="004A784D">
          <w:rPr>
            <w:noProof/>
            <w:color w:val="000000"/>
          </w:rPr>
          <w:t>Seike et al., 2004</w:t>
        </w:r>
      </w:hyperlink>
      <w:r w:rsidR="0063683C">
        <w:rPr>
          <w:noProof/>
          <w:color w:val="000000"/>
        </w:rPr>
        <w:t xml:space="preserve">, </w:t>
      </w:r>
      <w:hyperlink w:anchor="_ENREF_267" w:tooltip="Maurya, 2007 #5274" w:history="1">
        <w:r w:rsidR="004A784D">
          <w:rPr>
            <w:noProof/>
            <w:color w:val="000000"/>
          </w:rPr>
          <w:t>Maurya et al., 2007</w:t>
        </w:r>
      </w:hyperlink>
      <w:r w:rsidR="0063683C">
        <w:rPr>
          <w:noProof/>
          <w:color w:val="000000"/>
        </w:rPr>
        <w:t xml:space="preserve">, </w:t>
      </w:r>
      <w:hyperlink w:anchor="_ENREF_220" w:tooltip="Kossmann, 1984 #1" w:history="1">
        <w:r w:rsidR="004A784D">
          <w:rPr>
            <w:noProof/>
            <w:color w:val="000000"/>
          </w:rPr>
          <w:t>Kossmann, 1984</w:t>
        </w:r>
      </w:hyperlink>
      <w:r w:rsidR="0063683C">
        <w:rPr>
          <w:noProof/>
          <w:color w:val="000000"/>
        </w:rPr>
        <w:t>)</w:t>
      </w:r>
      <w:r w:rsidR="00930156">
        <w:rPr>
          <w:color w:val="000000"/>
        </w:rPr>
        <w:fldChar w:fldCharType="end"/>
      </w:r>
      <w:r w:rsidR="00930156">
        <w:rPr>
          <w:color w:val="000000"/>
        </w:rPr>
        <w:t xml:space="preserve"> </w:t>
      </w:r>
      <w:r w:rsidRPr="00873C4C">
        <w:rPr>
          <w:color w:val="000000"/>
        </w:rPr>
        <w:t>.</w:t>
      </w:r>
    </w:p>
    <w:p w:rsidR="00FC55CC" w:rsidRDefault="00FC55CC" w:rsidP="00057B42">
      <w:pPr>
        <w:spacing w:line="360" w:lineRule="auto"/>
        <w:jc w:val="both"/>
        <w:rPr>
          <w:color w:val="000000"/>
        </w:rPr>
      </w:pPr>
    </w:p>
    <w:p w:rsidR="00FC55CC" w:rsidRPr="00873C4C" w:rsidRDefault="00AD5DCA" w:rsidP="00057B42">
      <w:pPr>
        <w:pStyle w:val="Heading5"/>
        <w:spacing w:line="360" w:lineRule="auto"/>
      </w:pPr>
      <w:bookmarkStart w:id="475" w:name="_Toc261098475"/>
      <w:bookmarkStart w:id="476" w:name="_Toc305759146"/>
      <w:r>
        <w:tab/>
      </w:r>
      <w:r w:rsidR="00FC55CC" w:rsidRPr="00873C4C">
        <w:t>2D-DIGE (Two-dimensional difference gel electrophoresis)</w:t>
      </w:r>
      <w:bookmarkEnd w:id="475"/>
      <w:bookmarkEnd w:id="476"/>
    </w:p>
    <w:p w:rsidR="00FC55CC" w:rsidRPr="00873C4C" w:rsidRDefault="00FC55CC" w:rsidP="009A006E">
      <w:pPr>
        <w:spacing w:before="240" w:line="360" w:lineRule="auto"/>
        <w:jc w:val="both"/>
        <w:rPr>
          <w:color w:val="000000"/>
        </w:rPr>
      </w:pPr>
      <w:r w:rsidRPr="00873C4C">
        <w:rPr>
          <w:color w:val="000000"/>
          <w:lang w:val="en-GB"/>
        </w:rPr>
        <w:t>Separation and relative quantitation of complex protein mixtures remain two of the most challenging aspects of proteomics</w:t>
      </w:r>
      <w:r w:rsidR="00930156">
        <w:rPr>
          <w:color w:val="000000"/>
          <w:lang w:val="en-GB"/>
        </w:rPr>
        <w:t xml:space="preserve"> </w:t>
      </w:r>
      <w:r w:rsidRPr="00873C4C">
        <w:rPr>
          <w:color w:val="000000"/>
          <w:lang w:val="en-GB"/>
        </w:rPr>
        <w:fldChar w:fldCharType="begin"/>
      </w:r>
      <w:r w:rsidR="006F41FE">
        <w:rPr>
          <w:color w:val="000000"/>
          <w:lang w:val="en-GB"/>
        </w:rPr>
        <w:instrText xml:space="preserve"> ADDIN EN.CITE &lt;EndNote&gt;&lt;Cite&gt;&lt;Author&gt;Yan&lt;/Author&gt;&lt;Year&gt;2002&lt;/Year&gt;&lt;RecNum&gt;273&lt;/RecNum&gt;&lt;DisplayText&gt;(Yan et al., 2002)&lt;/DisplayText&gt;&lt;record&gt;&lt;rec-number&gt;273&lt;/rec-number&gt;&lt;ref-type name="Journal Article"&gt;17&lt;/ref-type&gt;&lt;contributors&gt;&lt;authors&gt;&lt;author&gt;Yan, J. X.&lt;/author&gt;&lt;author&gt;Devenish, A. T.&lt;/author&gt;&lt;author&gt;Wait, R.&lt;/author&gt;&lt;author&gt;Stone, T.&lt;/author&gt;&lt;author&gt;Lewis, S.&lt;/author&gt;&lt;author&gt;Fowler, S.&lt;/author&gt;&lt;/authors&gt;&lt;/contributors&gt;&lt;auth-address&gt;Amersham Biosciences, Little Chalfont, UK. jun.yan@uk.amershambiosciences.com&lt;/auth-address&gt;&lt;titles&gt;&lt;title&gt;Fluorescence two-dimensional difference gel electrophoresis and mass spectrometry based proteomic analysis of Escherichia coli&lt;/title&gt;&lt;secondary-title&gt;Proteomics&lt;/secondary-title&gt;&lt;/titles&gt;&lt;periodical&gt;&lt;full-title&gt;Proteomics&lt;/full-title&gt;&lt;/periodical&gt;&lt;pages&gt;1682-98&lt;/pages&gt;&lt;volume&gt;2&lt;/volume&gt;&lt;number&gt;12&lt;/number&gt;&lt;keywords&gt;&lt;keyword&gt;Benzoic Acid/chemistry&lt;/keyword&gt;&lt;keyword&gt;Carbocyanines/chemistry&lt;/keyword&gt;&lt;keyword&gt;Electrophoresis, Gel, Two-Dimensional/*methods&lt;/keyword&gt;&lt;keyword&gt;Escherichia coli/*chemistry/genetics&lt;/keyword&gt;&lt;keyword&gt;Escherichia coli Proteins/*analysis&lt;/keyword&gt;&lt;keyword&gt;Gene Expression Regulation, Bacterial&lt;/keyword&gt;&lt;keyword&gt;Humans&lt;/keyword&gt;&lt;keyword&gt;Mass Spectrometry/*methods&lt;/keyword&gt;&lt;keyword&gt;Proteome/*analysis&lt;/keyword&gt;&lt;keyword&gt;Reproducibility of Results&lt;/keyword&gt;&lt;keyword&gt;Software&lt;/keyword&gt;&lt;/keywords&gt;&lt;dates&gt;&lt;year&gt;2002&lt;/year&gt;&lt;pub-dates&gt;&lt;date&gt;Dec&lt;/date&gt;&lt;/pub-dates&gt;&lt;/dates&gt;&lt;accession-num&gt;12469338&lt;/accession-num&gt;&lt;urls&gt;&lt;related-urls&gt;&lt;url&gt;http://www.ncbi.nlm.nih.gov/entrez/query.fcgi?cmd=Retrieve&amp;amp;db=PubMed&amp;amp;dopt=Citation&amp;amp;list_uids=12469338 &lt;/url&gt;&lt;/related-urls&gt;&lt;/urls&gt;&lt;/record&gt;&lt;/Cite&gt;&lt;/EndNote&gt;</w:instrText>
      </w:r>
      <w:r w:rsidRPr="00873C4C">
        <w:rPr>
          <w:color w:val="000000"/>
          <w:lang w:val="en-GB"/>
        </w:rPr>
        <w:fldChar w:fldCharType="separate"/>
      </w:r>
      <w:r w:rsidR="006F41FE">
        <w:rPr>
          <w:noProof/>
          <w:color w:val="000000"/>
          <w:lang w:val="en-GB"/>
        </w:rPr>
        <w:t>(</w:t>
      </w:r>
      <w:hyperlink w:anchor="_ENREF_455" w:tooltip="Yan, 2002 #273" w:history="1">
        <w:r w:rsidR="004A784D">
          <w:rPr>
            <w:noProof/>
            <w:color w:val="000000"/>
            <w:lang w:val="en-GB"/>
          </w:rPr>
          <w:t>Yan et al., 2002</w:t>
        </w:r>
      </w:hyperlink>
      <w:r w:rsidR="006F41FE">
        <w:rPr>
          <w:noProof/>
          <w:color w:val="000000"/>
          <w:lang w:val="en-GB"/>
        </w:rPr>
        <w:t>)</w:t>
      </w:r>
      <w:r w:rsidRPr="00873C4C">
        <w:rPr>
          <w:color w:val="000000"/>
          <w:lang w:val="en-GB"/>
        </w:rPr>
        <w:fldChar w:fldCharType="end"/>
      </w:r>
      <w:r w:rsidRPr="00873C4C">
        <w:rPr>
          <w:color w:val="000000"/>
        </w:rPr>
        <w:t xml:space="preserve">. </w:t>
      </w:r>
      <w:r w:rsidRPr="00873C4C">
        <w:rPr>
          <w:color w:val="000000"/>
          <w:lang w:val="en-GB"/>
        </w:rPr>
        <w:t>Two-dimensional gel electrophoresis (</w:t>
      </w:r>
      <w:r w:rsidRPr="00873C4C">
        <w:rPr>
          <w:color w:val="000000"/>
        </w:rPr>
        <w:t>2D-DIGE</w:t>
      </w:r>
      <w:r w:rsidRPr="00873C4C">
        <w:rPr>
          <w:color w:val="000000"/>
          <w:lang w:val="en-GB"/>
        </w:rPr>
        <w:t>) is a powerful technique enabling simultaneous visualization of relatively large portions of the proteome</w:t>
      </w:r>
      <w:r w:rsidR="00757FDC">
        <w:rPr>
          <w:color w:val="000000"/>
          <w:lang w:val="en-GB"/>
        </w:rPr>
        <w:t xml:space="preserve"> </w:t>
      </w:r>
      <w:r w:rsidRPr="00873C4C">
        <w:rPr>
          <w:color w:val="000000"/>
          <w:lang w:val="en-GB"/>
        </w:rPr>
        <w:fldChar w:fldCharType="begin"/>
      </w:r>
      <w:r w:rsidR="006F41FE">
        <w:rPr>
          <w:color w:val="000000"/>
          <w:lang w:val="en-GB"/>
        </w:rPr>
        <w:instrText xml:space="preserve"> ADDIN EN.CITE &lt;EndNote&gt;&lt;Cite&gt;&lt;Author&gt;Marouga&lt;/Author&gt;&lt;Year&gt;2005&lt;/Year&gt;&lt;RecNum&gt;260&lt;/RecNum&gt;&lt;DisplayText&gt;(Marouga et al., 2005)&lt;/DisplayText&gt;&lt;record&gt;&lt;rec-number&gt;260&lt;/rec-number&gt;&lt;ref-type name="Journal Article"&gt;17&lt;/ref-type&gt;&lt;contributors&gt;&lt;authors&gt;&lt;author&gt;Marouga, R.&lt;/author&gt;&lt;author&gt;David, S.&lt;/author&gt;&lt;author&gt;Hawkins, E.&lt;/author&gt;&lt;/authors&gt;&lt;/contributors&gt;&lt;auth-address&gt;GE Healthcare, Bjorkgatan 30, 75184 Uppsala, Sweden. rita.marouga@ge.com&lt;/auth-address&gt;&lt;titles&gt;&lt;title&gt;The development of the DIGE system: 2D fluorescence difference gel analysis technology&lt;/title&gt;&lt;secondary-title&gt;Anal Bioanal Chem&lt;/secondary-title&gt;&lt;/titles&gt;&lt;periodical&gt;&lt;full-title&gt;Anal Bioanal Chem&lt;/full-title&gt;&lt;/periodical&gt;&lt;pages&gt;669-78&lt;/pages&gt;&lt;volume&gt;382&lt;/volume&gt;&lt;number&gt;3&lt;/number&gt;&lt;keywords&gt;&lt;keyword&gt;Electrophoresis, Gel, Two-Dimensional/methods&lt;/keyword&gt;&lt;keyword&gt;Fluorescent Dyes/*analysis&lt;/keyword&gt;&lt;keyword&gt;Sensitivity and Specificity&lt;/keyword&gt;&lt;/keywords&gt;&lt;dates&gt;&lt;year&gt;2005&lt;/year&gt;&lt;pub-dates&gt;&lt;date&gt;Jun&lt;/date&gt;&lt;/pub-dates&gt;&lt;/dates&gt;&lt;accession-num&gt;15900442&lt;/accession-num&gt;&lt;urls&gt;&lt;related-urls&gt;&lt;url&gt;http://www.ncbi.nlm.nih.gov/entrez/query.fcgi?cmd=Retrieve&amp;amp;db=PubMed&amp;amp;dopt=Citation&amp;amp;list_uids=15900442 &lt;/url&gt;&lt;/related-urls&gt;&lt;/urls&gt;&lt;/record&gt;&lt;/Cite&gt;&lt;/EndNote&gt;</w:instrText>
      </w:r>
      <w:r w:rsidRPr="00873C4C">
        <w:rPr>
          <w:color w:val="000000"/>
          <w:lang w:val="en-GB"/>
        </w:rPr>
        <w:fldChar w:fldCharType="separate"/>
      </w:r>
      <w:r w:rsidR="006F41FE">
        <w:rPr>
          <w:noProof/>
          <w:color w:val="000000"/>
          <w:lang w:val="en-GB"/>
        </w:rPr>
        <w:t>(</w:t>
      </w:r>
      <w:hyperlink w:anchor="_ENREF_265" w:tooltip="Marouga, 2005 #260" w:history="1">
        <w:r w:rsidR="004A784D">
          <w:rPr>
            <w:noProof/>
            <w:color w:val="000000"/>
            <w:lang w:val="en-GB"/>
          </w:rPr>
          <w:t>Marouga et al., 2005</w:t>
        </w:r>
      </w:hyperlink>
      <w:r w:rsidR="006F41FE">
        <w:rPr>
          <w:noProof/>
          <w:color w:val="000000"/>
          <w:lang w:val="en-GB"/>
        </w:rPr>
        <w:t>)</w:t>
      </w:r>
      <w:r w:rsidRPr="00873C4C">
        <w:rPr>
          <w:color w:val="000000"/>
          <w:lang w:val="en-GB"/>
        </w:rPr>
        <w:fldChar w:fldCharType="end"/>
      </w:r>
      <w:r w:rsidR="00757FDC">
        <w:rPr>
          <w:color w:val="000000"/>
          <w:lang w:val="en-GB"/>
        </w:rPr>
        <w:t>. This technique</w:t>
      </w:r>
      <w:r w:rsidRPr="00873C4C">
        <w:rPr>
          <w:color w:val="000000"/>
          <w:lang w:val="en-GB"/>
        </w:rPr>
        <w:t xml:space="preserve"> allows separation of complex protein mixtures at highest resolution</w:t>
      </w:r>
      <w:r w:rsidR="009A006E">
        <w:rPr>
          <w:color w:val="000000"/>
          <w:lang w:val="en-GB"/>
        </w:rPr>
        <w:t xml:space="preserve"> </w:t>
      </w:r>
      <w:r w:rsidRPr="00873C4C">
        <w:rPr>
          <w:color w:val="000000"/>
          <w:lang w:val="en-GB"/>
        </w:rPr>
        <w:fldChar w:fldCharType="begin"/>
      </w:r>
      <w:r w:rsidR="006F41FE">
        <w:rPr>
          <w:color w:val="000000"/>
          <w:lang w:val="en-GB"/>
        </w:rPr>
        <w:instrText xml:space="preserve"> ADDIN EN.CITE &lt;EndNote&gt;&lt;Cite&gt;&lt;Author&gt;Gade&lt;/Author&gt;&lt;Year&gt;2003&lt;/Year&gt;&lt;RecNum&gt;271&lt;/RecNum&gt;&lt;DisplayText&gt;(Gade et al., 2003)&lt;/DisplayText&gt;&lt;record&gt;&lt;rec-number&gt;271&lt;/rec-number&gt;&lt;ref-type name="Journal Article"&gt;17&lt;/ref-type&gt;&lt;contributors&gt;&lt;authors&gt;&lt;author&gt;Gade, D.&lt;/author&gt;&lt;author&gt;Thiermann, J.&lt;/author&gt;&lt;author&gt;Markowsky, D.&lt;/author&gt;&lt;author&gt;Rabus, R.&lt;/author&gt;&lt;/authors&gt;&lt;/contributors&gt;&lt;auth-address&gt;Max Planck Institute for Marine Microbiology, Bremen, Germany.&lt;/auth-address&gt;&lt;titles&gt;&lt;title&gt;Evaluation of two-dimensional difference gel electrophoresis for protein profiling. Soluble proteins of the marine bacterium Pirellula sp. strain 1&lt;/title&gt;&lt;secondary-title&gt;J Mol Microbiol Biotechnol&lt;/secondary-title&gt;&lt;/titles&gt;&lt;periodical&gt;&lt;full-title&gt;J Mol Microbiol Biotechnol&lt;/full-title&gt;&lt;/periodical&gt;&lt;pages&gt;240-51&lt;/pages&gt;&lt;volume&gt;5&lt;/volume&gt;&lt;number&gt;4&lt;/number&gt;&lt;keywords&gt;&lt;keyword&gt;Acetylglucosamine&lt;/keyword&gt;&lt;keyword&gt;Bacteria/*chemistry/growth &amp;amp; development&lt;/keyword&gt;&lt;keyword&gt;Bacterial Proteins/*analysis/metabolism&lt;/keyword&gt;&lt;keyword&gt;Culture Media&lt;/keyword&gt;&lt;keyword&gt;Electrophoresis, Gel, Two-Dimensional/*methods&lt;/keyword&gt;&lt;keyword&gt;Europium&lt;/keyword&gt;&lt;keyword&gt;Evaluation Studies as Topic&lt;/keyword&gt;&lt;keyword&gt;Fluorescence&lt;/keyword&gt;&lt;keyword&gt;Glucose&lt;/keyword&gt;&lt;keyword&gt;Sensitivity and Specificity&lt;/keyword&gt;&lt;keyword&gt;Software&lt;/keyword&gt;&lt;keyword&gt;*Staining and Labeling&lt;/keyword&gt;&lt;/keywords&gt;&lt;dates&gt;&lt;year&gt;2003&lt;/year&gt;&lt;/dates&gt;&lt;accession-num&gt;12867748&lt;/accession-num&gt;&lt;urls&gt;&lt;related-urls&gt;&lt;url&gt;http://www.ncbi.nlm.nih.gov/entrez/query.fcgi?cmd=Retrieve&amp;amp;db=PubMed&amp;amp;dopt=Citation&amp;amp;list_uids=12867748 &lt;/url&gt;&lt;/related-urls&gt;&lt;/urls&gt;&lt;/record&gt;&lt;/Cite&gt;&lt;/EndNote&gt;</w:instrText>
      </w:r>
      <w:r w:rsidRPr="00873C4C">
        <w:rPr>
          <w:color w:val="000000"/>
          <w:lang w:val="en-GB"/>
        </w:rPr>
        <w:fldChar w:fldCharType="separate"/>
      </w:r>
      <w:r w:rsidR="006F41FE">
        <w:rPr>
          <w:noProof/>
          <w:color w:val="000000"/>
          <w:lang w:val="en-GB"/>
        </w:rPr>
        <w:t>(</w:t>
      </w:r>
      <w:hyperlink w:anchor="_ENREF_131" w:tooltip="Gade, 2003 #271" w:history="1">
        <w:r w:rsidR="004A784D">
          <w:rPr>
            <w:noProof/>
            <w:color w:val="000000"/>
            <w:lang w:val="en-GB"/>
          </w:rPr>
          <w:t>Gade et al., 2003</w:t>
        </w:r>
      </w:hyperlink>
      <w:r w:rsidR="006F41FE">
        <w:rPr>
          <w:noProof/>
          <w:color w:val="000000"/>
          <w:lang w:val="en-GB"/>
        </w:rPr>
        <w:t>)</w:t>
      </w:r>
      <w:r w:rsidRPr="00873C4C">
        <w:rPr>
          <w:color w:val="000000"/>
          <w:lang w:val="en-GB"/>
        </w:rPr>
        <w:fldChar w:fldCharType="end"/>
      </w:r>
      <w:r w:rsidRPr="00873C4C">
        <w:rPr>
          <w:color w:val="000000"/>
          <w:lang w:val="en-GB"/>
        </w:rPr>
        <w:t>.</w:t>
      </w:r>
      <w:r w:rsidRPr="00873C4C">
        <w:rPr>
          <w:color w:val="000000"/>
        </w:rPr>
        <w:t xml:space="preserve"> 2D-DIGE is a fluorescence-based technique </w:t>
      </w:r>
      <w:r w:rsidR="009A006E">
        <w:rPr>
          <w:color w:val="000000"/>
        </w:rPr>
        <w:t xml:space="preserve">that </w:t>
      </w:r>
      <w:r w:rsidRPr="00873C4C">
        <w:rPr>
          <w:color w:val="000000"/>
        </w:rPr>
        <w:t xml:space="preserve">allows the use of multiplexed samples </w:t>
      </w:r>
      <w:r w:rsidRPr="00873C4C">
        <w:rPr>
          <w:rStyle w:val="small-black"/>
          <w:color w:val="000000"/>
        </w:rPr>
        <w:t>(</w:t>
      </w:r>
      <w:r w:rsidRPr="00873C4C">
        <w:rPr>
          <w:color w:val="000000"/>
        </w:rPr>
        <w:t xml:space="preserve">multiple samples are labelled and </w:t>
      </w:r>
      <w:r w:rsidRPr="00873C4C">
        <w:rPr>
          <w:rStyle w:val="small-black"/>
          <w:color w:val="000000"/>
        </w:rPr>
        <w:t>run in the same gel).</w:t>
      </w:r>
      <w:r w:rsidRPr="00873C4C">
        <w:rPr>
          <w:color w:val="000000"/>
        </w:rPr>
        <w:t xml:space="preserve"> </w:t>
      </w:r>
      <w:r w:rsidRPr="00873C4C">
        <w:rPr>
          <w:rStyle w:val="small-black"/>
          <w:color w:val="000000"/>
        </w:rPr>
        <w:t xml:space="preserve">Such </w:t>
      </w:r>
      <w:r w:rsidRPr="00873C4C">
        <w:rPr>
          <w:rStyle w:val="small-black"/>
          <w:color w:val="000000"/>
        </w:rPr>
        <w:lastRenderedPageBreak/>
        <w:t>multiplexing reduces the number of gels for analysis, minimizes experimental errors</w:t>
      </w:r>
      <w:r w:rsidRPr="00873C4C">
        <w:rPr>
          <w:color w:val="000000"/>
        </w:rPr>
        <w:t xml:space="preserve"> and greatly eliminates gel-to-gel variability (Because the samples have been subjected to essentially the same environment during separation)</w:t>
      </w:r>
      <w:r w:rsidR="001A4A34">
        <w:rPr>
          <w:color w:val="000000"/>
        </w:rPr>
        <w:t xml:space="preserve"> </w:t>
      </w:r>
      <w:r w:rsidR="00930156">
        <w:rPr>
          <w:color w:val="000000"/>
        </w:rPr>
        <w:fldChar w:fldCharType="begin">
          <w:fldData xml:space="preserve">PEVuZE5vdGU+PENpdGU+PEF1dGhvcj5IZW5rZWw8L0F1dGhvcj48WWVhcj4yMDA1PC9ZZWFyPjxS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</w:fldData>
        </w:fldChar>
      </w:r>
      <w:r w:rsidR="00930156">
        <w:rPr>
          <w:color w:val="000000"/>
        </w:rPr>
        <w:instrText xml:space="preserve"> ADDIN EN.CITE </w:instrText>
      </w:r>
      <w:r w:rsidR="00930156">
        <w:rPr>
          <w:color w:val="000000"/>
        </w:rPr>
        <w:fldChar w:fldCharType="begin">
          <w:fldData xml:space="preserve">PEVuZE5vdGU+PENpdGU+PEF1dGhvcj5IZW5rZWw8L0F1dGhvcj48WWVhcj4yMDA1PC9ZZWFyPjxS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</w:fldData>
        </w:fldChar>
      </w:r>
      <w:r w:rsidR="00930156">
        <w:rPr>
          <w:color w:val="000000"/>
        </w:rPr>
        <w:instrText xml:space="preserve"> ADDIN EN.CITE.DATA </w:instrText>
      </w:r>
      <w:r w:rsidR="00930156">
        <w:rPr>
          <w:color w:val="000000"/>
        </w:rPr>
      </w:r>
      <w:r w:rsidR="00930156">
        <w:rPr>
          <w:color w:val="000000"/>
        </w:rPr>
        <w:fldChar w:fldCharType="end"/>
      </w:r>
      <w:r w:rsidR="00930156">
        <w:rPr>
          <w:color w:val="000000"/>
        </w:rPr>
      </w:r>
      <w:r w:rsidR="00930156">
        <w:rPr>
          <w:color w:val="000000"/>
        </w:rPr>
        <w:fldChar w:fldCharType="separate"/>
      </w:r>
      <w:r w:rsidR="00930156">
        <w:rPr>
          <w:noProof/>
          <w:color w:val="000000"/>
        </w:rPr>
        <w:t>(</w:t>
      </w:r>
      <w:hyperlink w:anchor="_ENREF_168" w:tooltip="Henkel, 2005 #5306" w:history="1">
        <w:r w:rsidR="004A784D">
          <w:rPr>
            <w:noProof/>
            <w:color w:val="000000"/>
          </w:rPr>
          <w:t>Henkel et al., 2005</w:t>
        </w:r>
      </w:hyperlink>
      <w:r w:rsidR="00930156">
        <w:rPr>
          <w:noProof/>
          <w:color w:val="000000"/>
        </w:rPr>
        <w:t>)</w:t>
      </w:r>
      <w:r w:rsidR="00930156">
        <w:rPr>
          <w:color w:val="000000"/>
        </w:rPr>
        <w:fldChar w:fldCharType="end"/>
      </w:r>
      <w:r w:rsidRPr="00873C4C">
        <w:rPr>
          <w:color w:val="000000"/>
        </w:rPr>
        <w:t xml:space="preserve">. </w:t>
      </w:r>
    </w:p>
    <w:p w:rsidR="009A006E" w:rsidRDefault="009A006E" w:rsidP="00057B42">
      <w:pPr>
        <w:spacing w:line="360" w:lineRule="auto"/>
        <w:jc w:val="both"/>
        <w:rPr>
          <w:color w:val="000000"/>
        </w:rPr>
      </w:pPr>
    </w:p>
    <w:p w:rsidR="00FC55CC" w:rsidRPr="00873C4C" w:rsidRDefault="00BF6B2E" w:rsidP="00057B42">
      <w:pPr>
        <w:spacing w:line="360" w:lineRule="auto"/>
        <w:jc w:val="both"/>
        <w:rPr>
          <w:color w:val="000000"/>
          <w:lang w:val="en-GB"/>
        </w:rPr>
      </w:pPr>
      <w:r>
        <w:rPr>
          <w:color w:val="000000"/>
        </w:rPr>
        <w:t>2D-</w:t>
      </w:r>
      <w:r w:rsidR="00FC55CC" w:rsidRPr="00873C4C">
        <w:rPr>
          <w:color w:val="000000"/>
        </w:rPr>
        <w:t>DIGE also involves use of a reference sample, known as an internal standard, which comprises equal amounts of all biological samples in the experiment. Including the internal standard on each gel in the experiment with the individual biological samples means that the abundance of each protein spot on a gel can be measured relative (i.e. as a ratio) to its corresponding spot in the internal standard present on the same gel</w:t>
      </w:r>
      <w:r w:rsidR="00930156">
        <w:rPr>
          <w:color w:val="000000"/>
        </w:rPr>
        <w:t xml:space="preserve"> </w:t>
      </w:r>
      <w:r w:rsidR="00FC55CC" w:rsidRPr="00873C4C">
        <w:rPr>
          <w:color w:val="000000"/>
        </w:rPr>
        <w:fldChar w:fldCharType="begin"/>
      </w:r>
      <w:r w:rsidR="006F41FE">
        <w:rPr>
          <w:color w:val="000000"/>
        </w:rPr>
        <w:instrText xml:space="preserve"> ADDIN EN.CITE &lt;EndNote&gt;&lt;Cite&gt;&lt;Author&gt;Lilley&lt;/Author&gt;&lt;Year&gt;2004&lt;/Year&gt;&lt;RecNum&gt;258&lt;/RecNum&gt;&lt;DisplayText&gt;(Lilley and Friedman, 2004)&lt;/DisplayText&gt;&lt;record&gt;&lt;rec-number&gt;258&lt;/rec-number&gt;&lt;ref-type name="Journal Article"&gt;17&lt;/ref-type&gt;&lt;contributors&gt;&lt;authors&gt;&lt;author&gt;Lilley, K. S.&lt;/author&gt;&lt;author&gt;Friedman, D. B.&lt;/author&gt;&lt;/authors&gt;&lt;/contributors&gt;&lt;auth-address&gt;Cambridge Centre for Proteomics, Department of Biochemistry, University of Cambridge, Cambridge, CB2 1QW, UK. k.s.lilley@bioc.cam.ac.uk&lt;/auth-address&gt;&lt;titles&gt;&lt;title&gt;All about DIGE: quantification technology for differential-display 2D-gel proteomics&lt;/title&gt;&lt;secondary-title&gt;Expert Rev Proteomics&lt;/secondary-title&gt;&lt;/titles&gt;&lt;periodical&gt;&lt;full-title&gt;Expert Rev Proteomics&lt;/full-title&gt;&lt;/periodical&gt;&lt;pages&gt;401-9&lt;/pages&gt;&lt;volume&gt;1&lt;/volume&gt;&lt;number&gt;4&lt;/number&gt;&lt;keywords&gt;&lt;keyword&gt;Animals&lt;/keyword&gt;&lt;keyword&gt;Brain Chemistry&lt;/keyword&gt;&lt;keyword&gt;Electrophoresis, Gel, Two-Dimensional/*methods&lt;/keyword&gt;&lt;keyword&gt;Gene Expression Profiling/*methods&lt;/keyword&gt;&lt;keyword&gt;Mice&lt;/keyword&gt;&lt;keyword&gt;Proteome/chemistry/genetics/*isolation &amp;amp; purification&lt;/keyword&gt;&lt;keyword&gt;Proteomics/*methods&lt;/keyword&gt;&lt;/keywords&gt;&lt;dates&gt;&lt;year&gt;2004&lt;/year&gt;&lt;pub-dates&gt;&lt;date&gt;Dec&lt;/date&gt;&lt;/pub-dates&gt;&lt;/dates&gt;&lt;accession-num&gt;15966837&lt;/accession-num&gt;&lt;urls&gt;&lt;related-urls&gt;&lt;url&gt;http://www.ncbi.nlm.nih.gov/entrez/query.fcgi?cmd=Retrieve&amp;amp;db=PubMed&amp;amp;dopt=Citation&amp;amp;list_uids=15966837 &lt;/url&gt;&lt;/related-urls&gt;&lt;/urls&gt;&lt;/record&gt;&lt;/Cite&gt;&lt;/EndNote&gt;</w:instrText>
      </w:r>
      <w:r w:rsidR="00FC55CC" w:rsidRPr="00873C4C">
        <w:rPr>
          <w:color w:val="000000"/>
        </w:rPr>
        <w:fldChar w:fldCharType="separate"/>
      </w:r>
      <w:r w:rsidR="006F41FE">
        <w:rPr>
          <w:noProof/>
          <w:color w:val="000000"/>
        </w:rPr>
        <w:t>(</w:t>
      </w:r>
      <w:hyperlink w:anchor="_ENREF_245" w:tooltip="Lilley, 2004 #258" w:history="1">
        <w:r w:rsidR="004A784D">
          <w:rPr>
            <w:noProof/>
            <w:color w:val="000000"/>
          </w:rPr>
          <w:t>Lilley and Friedman, 2004</w:t>
        </w:r>
      </w:hyperlink>
      <w:r w:rsidR="006F41FE">
        <w:rPr>
          <w:noProof/>
          <w:color w:val="000000"/>
        </w:rPr>
        <w:t>)</w:t>
      </w:r>
      <w:r w:rsidR="00FC55CC" w:rsidRPr="00873C4C">
        <w:rPr>
          <w:color w:val="000000"/>
        </w:rPr>
        <w:fldChar w:fldCharType="end"/>
      </w:r>
      <w:r w:rsidR="00FC55CC" w:rsidRPr="00873C4C">
        <w:rPr>
          <w:color w:val="000000"/>
        </w:rPr>
        <w:t>. This will result in increased confidence that differences found between samples are due to real induced changes, rather than inherent biological variation or experimental variability</w:t>
      </w:r>
      <w:r w:rsidR="00930156">
        <w:rPr>
          <w:color w:val="000000"/>
        </w:rPr>
        <w:t xml:space="preserve"> </w:t>
      </w:r>
      <w:r w:rsidR="00FC55CC" w:rsidRPr="00873C4C">
        <w:rPr>
          <w:color w:val="000000"/>
        </w:rPr>
        <w:fldChar w:fldCharType="begin"/>
      </w:r>
      <w:r w:rsidR="006F41FE">
        <w:rPr>
          <w:color w:val="000000"/>
        </w:rPr>
        <w:instrText xml:space="preserve"> ADDIN EN.CITE &lt;EndNote&gt;&lt;Cite&gt;&lt;Author&gt;Tannu&lt;/Author&gt;&lt;Year&gt;2006&lt;/Year&gt;&lt;RecNum&gt;196&lt;/RecNum&gt;&lt;DisplayText&gt;(Tannu and Hemby, 2006)&lt;/DisplayText&gt;&lt;record&gt;&lt;rec-number&gt;196&lt;/rec-number&gt;&lt;ref-type name="Journal Article"&gt;17&lt;/ref-type&gt;&lt;contributors&gt;&lt;authors&gt;&lt;author&gt;Tannu, N. S.&lt;/author&gt;&lt;author&gt;Hemby, S. E.&lt;/author&gt;&lt;/authors&gt;&lt;/contributors&gt;&lt;auth-address&gt;Department of Physiology and Pharmacology, Wake Forest University School of Medicine, Winston-Salem, North Carolina 27157, USA.&lt;/auth-address&gt;&lt;titles&gt;&lt;title&gt;Two-dimensional fluorescence difference gel electrophoresis for comparative proteomics profiling&lt;/title&gt;&lt;secondary-title&gt;Nat Protoc&lt;/secondary-title&gt;&lt;/titles&gt;&lt;periodical&gt;&lt;full-title&gt;Nat Protoc&lt;/full-title&gt;&lt;/periodical&gt;&lt;pages&gt;1732-42&lt;/pages&gt;&lt;volume&gt;1&lt;/volume&gt;&lt;number&gt;4&lt;/number&gt;&lt;keywords&gt;&lt;keyword&gt;Carbocyanines/chemistry&lt;/keyword&gt;&lt;keyword&gt;Electrophoresis, Gel, Two-Dimensional/*methods&lt;/keyword&gt;&lt;keyword&gt;Lysine/chemistry&lt;/keyword&gt;&lt;keyword&gt;Proteomics/*methods&lt;/keyword&gt;&lt;/keywords&gt;&lt;dates&gt;&lt;year&gt;2006&lt;/year&gt;&lt;/dates&gt;&lt;accession-num&gt;17487156&lt;/accession-num&gt;&lt;urls&gt;&lt;related-urls&gt;&lt;url&gt;http://www.ncbi.nlm.nih.gov/entrez/query.fcgi?cmd=Retrieve&amp;amp;db=PubMed&amp;amp;dopt=Citation&amp;amp;list_uids=17487156 &lt;/url&gt;&lt;/related-urls&gt;&lt;/urls&gt;&lt;/record&gt;&lt;/Cite&gt;&lt;/EndNote&gt;</w:instrText>
      </w:r>
      <w:r w:rsidR="00FC55CC" w:rsidRPr="00873C4C">
        <w:rPr>
          <w:color w:val="000000"/>
        </w:rPr>
        <w:fldChar w:fldCharType="separate"/>
      </w:r>
      <w:r w:rsidR="006F41FE">
        <w:rPr>
          <w:noProof/>
          <w:color w:val="000000"/>
        </w:rPr>
        <w:t>(</w:t>
      </w:r>
      <w:hyperlink w:anchor="_ENREF_411" w:tooltip="Tannu, 2006 #196" w:history="1">
        <w:r w:rsidR="004A784D">
          <w:rPr>
            <w:noProof/>
            <w:color w:val="000000"/>
          </w:rPr>
          <w:t>Tannu and Hemby, 2006</w:t>
        </w:r>
      </w:hyperlink>
      <w:r w:rsidR="006F41FE">
        <w:rPr>
          <w:noProof/>
          <w:color w:val="000000"/>
        </w:rPr>
        <w:t>)</w:t>
      </w:r>
      <w:r w:rsidR="00FC55CC" w:rsidRPr="00873C4C">
        <w:rPr>
          <w:color w:val="000000"/>
        </w:rPr>
        <w:fldChar w:fldCharType="end"/>
      </w:r>
      <w:r w:rsidR="00FC55CC" w:rsidRPr="00873C4C">
        <w:rPr>
          <w:color w:val="000000"/>
        </w:rPr>
        <w:t xml:space="preserve">. </w:t>
      </w:r>
    </w:p>
    <w:p w:rsidR="00C241AC" w:rsidRDefault="00C241AC" w:rsidP="00057B42">
      <w:pPr>
        <w:spacing w:line="360" w:lineRule="auto"/>
        <w:jc w:val="both"/>
        <w:rPr>
          <w:color w:val="000000"/>
        </w:rPr>
      </w:pPr>
      <w:bookmarkStart w:id="477" w:name="OLE_LINK5"/>
      <w:bookmarkStart w:id="478" w:name="OLE_LINK6"/>
    </w:p>
    <w:p w:rsidR="00FC55CC" w:rsidRDefault="00FC55CC" w:rsidP="00057B42">
      <w:pPr>
        <w:spacing w:line="360" w:lineRule="auto"/>
        <w:jc w:val="both"/>
        <w:rPr>
          <w:color w:val="000000"/>
        </w:rPr>
      </w:pPr>
      <w:r w:rsidRPr="00873C4C">
        <w:rPr>
          <w:color w:val="000000"/>
        </w:rPr>
        <w:t xml:space="preserve">2D-DIGE </w:t>
      </w:r>
      <w:bookmarkEnd w:id="477"/>
      <w:bookmarkEnd w:id="478"/>
      <w:r w:rsidRPr="00873C4C">
        <w:rPr>
          <w:color w:val="000000"/>
        </w:rPr>
        <w:t xml:space="preserve">can provide detection of changes in protein abundance (quantitative expression profiling) </w:t>
      </w:r>
      <w:r w:rsidR="00C34A80">
        <w:rPr>
          <w:color w:val="000000"/>
        </w:rPr>
        <w:fldChar w:fldCharType="begin"/>
      </w:r>
      <w:r w:rsidR="00C34A80">
        <w:rPr>
          <w:color w:val="000000"/>
        </w:rPr>
        <w:instrText xml:space="preserve"> ADDIN EN.CITE &lt;EndNote&gt;&lt;Cite&gt;&lt;Author&gt;Lilley&lt;/Author&gt;&lt;Year&gt;2002&lt;/Year&gt;&lt;RecNum&gt;5318&lt;/RecNum&gt;&lt;DisplayText&gt;(Lilley et al., 2002)&lt;/DisplayText&gt;&lt;record&gt;&lt;rec-number&gt;5318&lt;/rec-number&gt;&lt;foreign-keys&gt;&lt;key app="EN" db-id="zf0awxsaczrdd3eft5qvw9wrtxxawdfrvw2a"&gt;5318&lt;/key&gt;&lt;/foreign-keys&gt;&lt;ref-type name="Journal Article"&gt;17&lt;/ref-type&gt;&lt;contributors&gt;&lt;authors&gt;&lt;author&gt;Lilley, K. S.&lt;/author&gt;&lt;author&gt;Razzaq, A.&lt;/author&gt;&lt;author&gt;Dupree, P.&lt;/author&gt;&lt;/authors&gt;&lt;/contributors&gt;&lt;auth-address&gt;Department of Biochemistry, University of Cambridge, Building O, Downing Site, Cambridge CB2 1QW, UK.&lt;/auth-address&gt;&lt;titles&gt;&lt;title&gt;Two-dimensional gel electrophoresis: recent advances in sample preparation, detection and quantitation&lt;/title&gt;&lt;secondary-title&gt;Curr Opin Chem Biol&lt;/secondary-title&gt;&lt;/titles&gt;&lt;periodical&gt;&lt;full-title&gt;Curr Opin Chem Biol&lt;/full-title&gt;&lt;/periodical&gt;&lt;pages&gt;46-50&lt;/pages&gt;&lt;volume&gt;6&lt;/volume&gt;&lt;number&gt;1&lt;/number&gt;&lt;edition&gt;2002/02/06&lt;/edition&gt;&lt;keywords&gt;&lt;keyword&gt;Animals&lt;/keyword&gt;&lt;keyword&gt;Electrophoresis, Gel, Two-Dimensional/instrumentation/methods/trends&lt;/keyword&gt;&lt;keyword&gt;Electrophoresis, Polyacrylamide Gel&lt;/keyword&gt;&lt;keyword&gt;Humans&lt;/keyword&gt;&lt;keyword&gt;Proteins/*analysis&lt;/keyword&gt;&lt;keyword&gt;Proteome/analysis&lt;/keyword&gt;&lt;keyword&gt;Specimen Handling&lt;/keyword&gt;&lt;/keywords&gt;&lt;dates&gt;&lt;year&gt;2002&lt;/year&gt;&lt;pub-dates&gt;&lt;date&gt;Feb&lt;/date&gt;&lt;/pub-dates&gt;&lt;/dates&gt;&lt;isbn&gt;1367-5931 (Print)&amp;#xD;1367-5931 (Linking)&lt;/isbn&gt;&lt;accession-num&gt;11827822&lt;/accession-num&gt;&lt;urls&gt;&lt;related-urls&gt;&lt;url&gt;http://www.ncbi.nlm.nih.gov/pubmed/11827822&lt;/url&gt;&lt;/related-urls&gt;&lt;/urls&gt;&lt;electronic-resource-num&gt;S1367593101002757 [pii]&lt;/electronic-resource-num&gt;&lt;language&gt;eng&lt;/language&gt;&lt;/record&gt;&lt;/Cite&gt;&lt;/EndNote&gt;</w:instrText>
      </w:r>
      <w:r w:rsidR="00C34A80">
        <w:rPr>
          <w:color w:val="000000"/>
        </w:rPr>
        <w:fldChar w:fldCharType="separate"/>
      </w:r>
      <w:r w:rsidR="00C34A80">
        <w:rPr>
          <w:noProof/>
          <w:color w:val="000000"/>
        </w:rPr>
        <w:t>(</w:t>
      </w:r>
      <w:hyperlink w:anchor="_ENREF_246" w:tooltip="Lilley, 2002 #5318" w:history="1">
        <w:r w:rsidR="004A784D">
          <w:rPr>
            <w:noProof/>
            <w:color w:val="000000"/>
          </w:rPr>
          <w:t>Lilley et al., 2002</w:t>
        </w:r>
      </w:hyperlink>
      <w:r w:rsidR="00C34A80">
        <w:rPr>
          <w:noProof/>
          <w:color w:val="000000"/>
        </w:rPr>
        <w:t>)</w:t>
      </w:r>
      <w:r w:rsidR="00C34A80">
        <w:rPr>
          <w:color w:val="000000"/>
        </w:rPr>
        <w:fldChar w:fldCharType="end"/>
      </w:r>
      <w:r w:rsidR="00C34A80">
        <w:rPr>
          <w:color w:val="000000"/>
        </w:rPr>
        <w:t xml:space="preserve"> </w:t>
      </w:r>
      <w:r w:rsidRPr="00873C4C">
        <w:rPr>
          <w:color w:val="000000"/>
        </w:rPr>
        <w:t>with the statistical confidence, while controlling for gel-to-gel variation and other varia</w:t>
      </w:r>
      <w:r w:rsidR="001A4A34">
        <w:rPr>
          <w:color w:val="000000"/>
        </w:rPr>
        <w:t xml:space="preserve">tions of non-biological origin </w:t>
      </w:r>
      <w:r w:rsidR="001A4A34">
        <w:rPr>
          <w:color w:val="000000"/>
        </w:rPr>
        <w:fldChar w:fldCharType="begin"/>
      </w:r>
      <w:r w:rsidR="001A4A34">
        <w:rPr>
          <w:color w:val="000000"/>
        </w:rPr>
        <w:instrText xml:space="preserve"> ADDIN EN.CITE &lt;EndNote&gt;&lt;Cite&gt;&lt;Author&gt;Kondo&lt;/Author&gt;&lt;Year&gt;2009&lt;/Year&gt;&lt;RecNum&gt;5237&lt;/RecNum&gt;&lt;DisplayText&gt;(Kondo and Hirohashi, 2009)&lt;/DisplayText&gt;&lt;record&gt;&lt;rec-number&gt;5237&lt;/rec-number&gt;&lt;foreign-keys&gt;&lt;key app="EN" db-id="zf0awxsaczrdd3eft5qvw9wrtxxawdfrvw2a"&gt;5237&lt;/key&gt;&lt;/foreign-keys&gt;&lt;ref-type name="Journal Article"&gt;17&lt;/ref-type&gt;&lt;contributors&gt;&lt;authors&gt;&lt;author&gt;Kondo, T.&lt;/author&gt;&lt;author&gt;Hirohashi, S.&lt;/author&gt;&lt;/authors&gt;&lt;/contributors&gt;&lt;auth-address&gt;National Cancer Center Research Institute, Proteome Bioinformatics Project, Tokyo, Japan.&lt;/auth-address&gt;&lt;titles&gt;&lt;title&gt;Application of 2D-DIGE in cancer proteomics toward personalized medicine&lt;/title&gt;&lt;secondary-title&gt;Methods Mol Biol&lt;/secondary-title&gt;&lt;/titles&gt;&lt;periodical&gt;&lt;full-title&gt;Methods Mol Biol&lt;/full-title&gt;&lt;/periodical&gt;&lt;pages&gt;135-54&lt;/pages&gt;&lt;volume&gt;577&lt;/volume&gt;&lt;edition&gt;2009/09/01&lt;/edition&gt;&lt;keywords&gt;&lt;keyword&gt;Databases, Protein&lt;/keyword&gt;&lt;keyword&gt;Electrophoresis, Gel, Two-Dimensional/*methods&lt;/keyword&gt;&lt;keyword&gt;Fluorescent Dyes&lt;/keyword&gt;&lt;keyword&gt;High-Throughput Screening Assays/methods&lt;/keyword&gt;&lt;keyword&gt;Humans&lt;/keyword&gt;&lt;keyword&gt;Individualized Medicine/methods&lt;/keyword&gt;&lt;keyword&gt;Molecular Biology/methods&lt;/keyword&gt;&lt;keyword&gt;Neoplasm Proteins/*analysis&lt;/keyword&gt;&lt;keyword&gt;Neoplasms/*chemistry&lt;/keyword&gt;&lt;keyword&gt;Proteomics/*methods/statistics &amp;amp; numerical data&lt;/keyword&gt;&lt;keyword&gt;Tumor Markers, Biological/*analysis&lt;/keyword&gt;&lt;/keywords&gt;&lt;dates&gt;&lt;year&gt;2009&lt;/year&gt;&lt;/dates&gt;&lt;isbn&gt;1940-6029 (Electronic)&amp;#xD;1064-3745 (Linking)&lt;/isbn&gt;&lt;accession-num&gt;19718514&lt;/accession-num&gt;&lt;urls&gt;&lt;related-urls&gt;&lt;url&gt;http://www.ncbi.nlm.nih.gov/pubmed/19718514&lt;/url&gt;&lt;/related-urls&gt;&lt;/urls&gt;&lt;electronic-resource-num&gt;10.1007/978-1-60761-232-2_11&lt;/electronic-resource-num&gt;&lt;language&gt;eng&lt;/language&gt;&lt;/record&gt;&lt;/Cite&gt;&lt;/EndNote&gt;</w:instrText>
      </w:r>
      <w:r w:rsidR="001A4A34">
        <w:rPr>
          <w:color w:val="000000"/>
        </w:rPr>
        <w:fldChar w:fldCharType="separate"/>
      </w:r>
      <w:r w:rsidR="001A4A34">
        <w:rPr>
          <w:noProof/>
          <w:color w:val="000000"/>
        </w:rPr>
        <w:t>(</w:t>
      </w:r>
      <w:hyperlink w:anchor="_ENREF_216" w:tooltip="Kondo, 2009 #5237" w:history="1">
        <w:r w:rsidR="004A784D">
          <w:rPr>
            <w:noProof/>
            <w:color w:val="000000"/>
          </w:rPr>
          <w:t>Kondo and Hirohashi, 2009</w:t>
        </w:r>
      </w:hyperlink>
      <w:r w:rsidR="001A4A34">
        <w:rPr>
          <w:noProof/>
          <w:color w:val="000000"/>
        </w:rPr>
        <w:t>)</w:t>
      </w:r>
      <w:r w:rsidR="001A4A34">
        <w:rPr>
          <w:color w:val="000000"/>
        </w:rPr>
        <w:fldChar w:fldCharType="end"/>
      </w:r>
      <w:r w:rsidR="001A4A34">
        <w:rPr>
          <w:color w:val="000000"/>
        </w:rPr>
        <w:t xml:space="preserve">. </w:t>
      </w:r>
      <w:r w:rsidRPr="00873C4C">
        <w:rPr>
          <w:color w:val="000000"/>
        </w:rPr>
        <w:t>2D-DIGE has quickly become the “gold standard” for gel-based proteomics for studying tissues, as well as cell culture and bodily fluids such as serum or plasma</w:t>
      </w:r>
      <w:r w:rsidR="00930156">
        <w:rPr>
          <w:color w:val="000000"/>
        </w:rPr>
        <w:t xml:space="preserve"> </w:t>
      </w:r>
      <w:r w:rsidR="00930156">
        <w:rPr>
          <w:color w:val="000000"/>
        </w:rPr>
        <w:fldChar w:fldCharType="begin">
          <w:fldData xml:space="preserve">PEVuZE5vdGU+PENpdGU+PEF1dGhvcj5Ccm93bjwvQXV0aG9yPjxZZWFyPjIwMDY8L1llYXI+PFJl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</w:fldData>
        </w:fldChar>
      </w:r>
      <w:r w:rsidR="001A4A34">
        <w:rPr>
          <w:color w:val="000000"/>
        </w:rPr>
        <w:instrText xml:space="preserve"> ADDIN EN.CITE </w:instrText>
      </w:r>
      <w:r w:rsidR="001A4A34">
        <w:rPr>
          <w:color w:val="000000"/>
        </w:rPr>
        <w:fldChar w:fldCharType="begin">
          <w:fldData xml:space="preserve">PEVuZE5vdGU+PENpdGU+PEF1dGhvcj5Ccm93bjwvQXV0aG9yPjxZZWFyPjIwMDY8L1llYXI+PFJl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</w:fldData>
        </w:fldChar>
      </w:r>
      <w:r w:rsidR="001A4A34">
        <w:rPr>
          <w:color w:val="000000"/>
        </w:rPr>
        <w:instrText xml:space="preserve"> ADDIN EN.CITE.DATA </w:instrText>
      </w:r>
      <w:r w:rsidR="001A4A34">
        <w:rPr>
          <w:color w:val="000000"/>
        </w:rPr>
      </w:r>
      <w:r w:rsidR="001A4A34">
        <w:rPr>
          <w:color w:val="000000"/>
        </w:rPr>
        <w:fldChar w:fldCharType="end"/>
      </w:r>
      <w:r w:rsidR="00930156">
        <w:rPr>
          <w:color w:val="000000"/>
        </w:rPr>
      </w:r>
      <w:r w:rsidR="00930156">
        <w:rPr>
          <w:color w:val="000000"/>
        </w:rPr>
        <w:fldChar w:fldCharType="separate"/>
      </w:r>
      <w:r w:rsidR="001A4A34">
        <w:rPr>
          <w:noProof/>
          <w:color w:val="000000"/>
        </w:rPr>
        <w:t>(</w:t>
      </w:r>
      <w:hyperlink w:anchor="_ENREF_58" w:tooltip="Brown, 2006 #5293" w:history="1">
        <w:r w:rsidR="004A784D">
          <w:rPr>
            <w:noProof/>
            <w:color w:val="000000"/>
          </w:rPr>
          <w:t>Brown et al., 2006</w:t>
        </w:r>
      </w:hyperlink>
      <w:r w:rsidR="001A4A34">
        <w:rPr>
          <w:noProof/>
          <w:color w:val="000000"/>
        </w:rPr>
        <w:t>)</w:t>
      </w:r>
      <w:r w:rsidR="00930156">
        <w:rPr>
          <w:color w:val="000000"/>
        </w:rPr>
        <w:fldChar w:fldCharType="end"/>
      </w:r>
      <w:r w:rsidRPr="00873C4C">
        <w:rPr>
          <w:color w:val="000000"/>
        </w:rPr>
        <w:t>.</w:t>
      </w:r>
    </w:p>
    <w:p w:rsidR="00C34A80" w:rsidRPr="00873C4C" w:rsidRDefault="00C34A80" w:rsidP="00057B42">
      <w:pPr>
        <w:spacing w:line="360" w:lineRule="auto"/>
        <w:jc w:val="both"/>
        <w:rPr>
          <w:color w:val="000000"/>
        </w:rPr>
      </w:pPr>
    </w:p>
    <w:p w:rsidR="00380AC4" w:rsidRDefault="00FC55CC" w:rsidP="00057B42">
      <w:pPr>
        <w:spacing w:line="360" w:lineRule="auto"/>
        <w:jc w:val="both"/>
        <w:rPr>
          <w:color w:val="000000"/>
        </w:rPr>
      </w:pPr>
      <w:r w:rsidRPr="00873C4C">
        <w:rPr>
          <w:rStyle w:val="small-black"/>
          <w:color w:val="000000"/>
        </w:rPr>
        <w:t>Samples obtained from different sources or groups</w:t>
      </w:r>
      <w:r w:rsidRPr="00873C4C">
        <w:rPr>
          <w:color w:val="000000"/>
        </w:rPr>
        <w:t xml:space="preserve"> (such as serum sample from responder and non-responder to thalidomide) are differentially labelled with spectrally resolvable fluorescent dyes (Cy2, Cy3 and Cy5) and co-resolved on a single 2</w:t>
      </w:r>
      <w:r w:rsidR="00AD5DCA">
        <w:rPr>
          <w:color w:val="000000"/>
        </w:rPr>
        <w:t>D gel for direct quantitation (F</w:t>
      </w:r>
      <w:r w:rsidRPr="00873C4C">
        <w:rPr>
          <w:color w:val="000000"/>
        </w:rPr>
        <w:t xml:space="preserve">igure </w:t>
      </w:r>
      <w:r w:rsidR="00AD5DCA">
        <w:rPr>
          <w:color w:val="000000"/>
        </w:rPr>
        <w:t>1-9</w:t>
      </w:r>
      <w:r w:rsidRPr="00873C4C">
        <w:rPr>
          <w:color w:val="000000"/>
        </w:rPr>
        <w:t xml:space="preserve">). </w:t>
      </w:r>
      <w:r w:rsidRPr="00873C4C">
        <w:rPr>
          <w:color w:val="000000"/>
          <w:lang w:val="en-GB"/>
        </w:rPr>
        <w:t>The proteins in each sample are covalently tagged with these colour fluorescent dyes that are designed to have no effect on the relative migration of proteins during electrophoresis</w:t>
      </w:r>
      <w:r w:rsidR="001A4A34">
        <w:rPr>
          <w:color w:val="000000"/>
          <w:lang w:val="en-GB"/>
        </w:rPr>
        <w:t xml:space="preserve">. </w:t>
      </w:r>
      <w:r w:rsidR="00380AC4" w:rsidRPr="00873C4C">
        <w:rPr>
          <w:color w:val="000000"/>
        </w:rPr>
        <w:t xml:space="preserve">There are currently two types of CyDye labelling chemistries available from Amersham Biosciences </w:t>
      </w:r>
      <w:r w:rsidR="001A4A34" w:rsidRPr="00873C4C">
        <w:rPr>
          <w:color w:val="000000"/>
          <w:lang w:val="en-GB"/>
        </w:rPr>
        <w:fldChar w:fldCharType="begin"/>
      </w:r>
      <w:r w:rsidR="001A4A34">
        <w:rPr>
          <w:color w:val="000000"/>
          <w:lang w:val="en-GB"/>
        </w:rPr>
        <w:instrText xml:space="preserve"> ADDIN EN.CITE &lt;EndNote&gt;&lt;Cite&gt;&lt;Author&gt;Viswanathan&lt;/Author&gt;&lt;Year&gt;2006&lt;/Year&gt;&lt;RecNum&gt;201&lt;/RecNum&gt;&lt;DisplayText&gt;(Viswanathan et al., 2006)&lt;/DisplayText&gt;&lt;record&gt;&lt;rec-number&gt;201&lt;/rec-number&gt;&lt;ref-type name="Journal Article"&gt;17&lt;/ref-type&gt;&lt;contributors&gt;&lt;authors&gt;&lt;author&gt;Viswanathan, S.&lt;/author&gt;&lt;author&gt;Unlu, M.&lt;/author&gt;&lt;author&gt;Minden, J. S.&lt;/author&gt;&lt;/authors&gt;&lt;/contributors&gt;&lt;auth-address&gt;Department of Biological Science, Carnegie Mellon University, Mellon Institute, 4400 Fifth Avenue, Pittsburgh, Pennsylvania 15213, USA.&lt;/auth-address&gt;&lt;titles&gt;&lt;title&gt;Two-dimensional difference gel electrophoresis&lt;/title&gt;&lt;secondary-title&gt;Nat Protoc&lt;/secondary-title&gt;&lt;/titles&gt;&lt;periodical&gt;&lt;full-title&gt;Nat Protoc&lt;/full-title&gt;&lt;/periodical&gt;&lt;pages&gt;1351-8&lt;/pages&gt;&lt;volume&gt;1&lt;/volume&gt;&lt;number&gt;3&lt;/number&gt;&lt;keywords&gt;&lt;keyword&gt;Electrophoresis, Gel, Two-Dimensional/*methods&lt;/keyword&gt;&lt;keyword&gt;Fluorescent Dyes&lt;/keyword&gt;&lt;keyword&gt;Proteins/*analysis&lt;/keyword&gt;&lt;/keywords&gt;&lt;dates&gt;&lt;year&gt;2006&lt;/year&gt;&lt;/dates&gt;&lt;accession-num&gt;17406422&lt;/accession-num&gt;&lt;urls&gt;&lt;related-urls&gt;&lt;url&gt;http://www.ncbi.nlm.nih.gov/entrez/query.fcgi?cmd=Retrieve&amp;amp;db=PubMed&amp;amp;dopt=Citation&amp;amp;list_uids=17406422 &lt;/url&gt;&lt;/related-urls&gt;&lt;/urls&gt;&lt;/record&gt;&lt;/Cite&gt;&lt;/EndNote&gt;</w:instrText>
      </w:r>
      <w:r w:rsidR="001A4A34" w:rsidRPr="00873C4C">
        <w:rPr>
          <w:color w:val="000000"/>
          <w:lang w:val="en-GB"/>
        </w:rPr>
        <w:fldChar w:fldCharType="separate"/>
      </w:r>
      <w:r w:rsidR="001A4A34">
        <w:rPr>
          <w:noProof/>
          <w:color w:val="000000"/>
          <w:lang w:val="en-GB"/>
        </w:rPr>
        <w:t>(</w:t>
      </w:r>
      <w:hyperlink w:anchor="_ENREF_439" w:tooltip="Viswanathan, 2006 #201" w:history="1">
        <w:r w:rsidR="004A784D">
          <w:rPr>
            <w:noProof/>
            <w:color w:val="000000"/>
            <w:lang w:val="en-GB"/>
          </w:rPr>
          <w:t>Viswanathan et al., 2006</w:t>
        </w:r>
      </w:hyperlink>
      <w:r w:rsidR="001A4A34">
        <w:rPr>
          <w:noProof/>
          <w:color w:val="000000"/>
          <w:lang w:val="en-GB"/>
        </w:rPr>
        <w:t>)</w:t>
      </w:r>
      <w:r w:rsidR="001A4A34" w:rsidRPr="00873C4C">
        <w:rPr>
          <w:color w:val="000000"/>
          <w:lang w:val="en-GB"/>
        </w:rPr>
        <w:fldChar w:fldCharType="end"/>
      </w:r>
      <w:r w:rsidR="001A4A34" w:rsidRPr="00873C4C">
        <w:rPr>
          <w:color w:val="000000"/>
          <w:lang w:val="en-GB"/>
        </w:rPr>
        <w:t>.</w:t>
      </w:r>
    </w:p>
    <w:p w:rsidR="002908A3" w:rsidRPr="00873C4C" w:rsidRDefault="002908A3" w:rsidP="00057B42">
      <w:pPr>
        <w:spacing w:line="360" w:lineRule="auto"/>
        <w:jc w:val="both"/>
        <w:rPr>
          <w:color w:val="000000"/>
        </w:rPr>
      </w:pPr>
    </w:p>
    <w:p w:rsidR="00B9365A" w:rsidRDefault="00B9365A" w:rsidP="00057B42">
      <w:pPr>
        <w:spacing w:line="360" w:lineRule="auto"/>
        <w:rPr>
          <w:color w:val="000000"/>
        </w:rPr>
      </w:pPr>
    </w:p>
    <w:p w:rsidR="009A006E" w:rsidRPr="00873C4C" w:rsidRDefault="009A006E" w:rsidP="00057B42">
      <w:pPr>
        <w:spacing w:line="360" w:lineRule="auto"/>
        <w:rPr>
          <w:color w:val="000000"/>
        </w:rPr>
      </w:pPr>
    </w:p>
    <w:p w:rsidR="00380AC4" w:rsidRDefault="00AD5DCA" w:rsidP="00057B42">
      <w:pPr>
        <w:pStyle w:val="Heading5"/>
        <w:spacing w:line="360" w:lineRule="auto"/>
      </w:pPr>
      <w:bookmarkStart w:id="479" w:name="_Toc305759143"/>
      <w:r>
        <w:lastRenderedPageBreak/>
        <w:tab/>
      </w:r>
      <w:r w:rsidR="00380AC4" w:rsidRPr="00873C4C">
        <w:t xml:space="preserve">Minimal </w:t>
      </w:r>
      <w:r w:rsidR="00B9365A" w:rsidRPr="00873C4C">
        <w:t>Labelling</w:t>
      </w:r>
      <w:bookmarkEnd w:id="479"/>
    </w:p>
    <w:p w:rsidR="00C241AC" w:rsidRDefault="00380AC4" w:rsidP="009A006E">
      <w:pPr>
        <w:spacing w:before="240" w:line="360" w:lineRule="auto"/>
        <w:jc w:val="both"/>
        <w:rPr>
          <w:color w:val="000000"/>
        </w:rPr>
      </w:pPr>
      <w:r w:rsidRPr="00873C4C">
        <w:rPr>
          <w:color w:val="000000"/>
        </w:rPr>
        <w:t xml:space="preserve">The most established is the ‘minimal </w:t>
      </w:r>
      <w:r w:rsidR="00EE4F64" w:rsidRPr="00873C4C">
        <w:rPr>
          <w:color w:val="000000"/>
        </w:rPr>
        <w:t>labelling</w:t>
      </w:r>
      <w:r w:rsidRPr="00873C4C">
        <w:rPr>
          <w:color w:val="000000"/>
        </w:rPr>
        <w:t xml:space="preserve">’ method which has been available from this supplier since July 2002.  Here, the CyDyes are supplied with a N-hydroxy succinimidyl ester group which reacts with the epsilon amino group of lysine side chains. </w:t>
      </w:r>
      <w:r w:rsidR="00EE4F64" w:rsidRPr="00873C4C">
        <w:rPr>
          <w:color w:val="000000"/>
        </w:rPr>
        <w:t>Labelling</w:t>
      </w:r>
      <w:r w:rsidRPr="00873C4C">
        <w:rPr>
          <w:color w:val="000000"/>
        </w:rPr>
        <w:t xml:space="preserve"> reactions are engineered such that the stoichiometry of protein to fluor results in only 2-5% of the total number of lysine residues being labelled. It is imperative to keep a low dye</w:t>
      </w:r>
      <w:r w:rsidR="009A006E" w:rsidRPr="00873C4C">
        <w:rPr>
          <w:color w:val="000000"/>
        </w:rPr>
        <w:t>: protein</w:t>
      </w:r>
      <w:r w:rsidRPr="00873C4C">
        <w:rPr>
          <w:color w:val="000000"/>
        </w:rPr>
        <w:t xml:space="preserve"> ratio to avoid multiple dye additions, as these would result in multiple spots being resolved in the second dimension of the DIGE gel</w:t>
      </w:r>
      <w:r w:rsidR="001A4A34">
        <w:rPr>
          <w:color w:val="000000"/>
        </w:rPr>
        <w:t xml:space="preserve"> </w:t>
      </w:r>
      <w:r w:rsidR="001A4A34" w:rsidRPr="00873C4C">
        <w:rPr>
          <w:color w:val="000000"/>
        </w:rPr>
        <w:t>(Lilley, Razzaq et al. 2002)</w:t>
      </w:r>
      <w:r w:rsidRPr="00873C4C">
        <w:rPr>
          <w:color w:val="000000"/>
        </w:rPr>
        <w:t xml:space="preserve">. The typically high lysine content of most proteins makes it challenging to force the labelling reaction to saturation without using excessive amounts of reagent. The fluors carry an intrinsic charge of +1, such that the pI of the protein is preserved upon </w:t>
      </w:r>
      <w:r w:rsidR="00EE4F64" w:rsidRPr="00873C4C">
        <w:rPr>
          <w:color w:val="000000"/>
        </w:rPr>
        <w:t>labelling</w:t>
      </w:r>
      <w:r w:rsidRPr="00873C4C">
        <w:rPr>
          <w:color w:val="000000"/>
        </w:rPr>
        <w:t xml:space="preserve">. The three fluors are also mass matched, each </w:t>
      </w:r>
      <w:r w:rsidR="00EE4F64" w:rsidRPr="00873C4C">
        <w:rPr>
          <w:color w:val="000000"/>
        </w:rPr>
        <w:t>labelling</w:t>
      </w:r>
      <w:r w:rsidRPr="00873C4C">
        <w:rPr>
          <w:color w:val="000000"/>
        </w:rPr>
        <w:t xml:space="preserve"> event adding approximately 500 Da to the mass of the protein. </w:t>
      </w:r>
      <w:r w:rsidR="00EE4F64" w:rsidRPr="00873C4C">
        <w:rPr>
          <w:color w:val="000000"/>
        </w:rPr>
        <w:t>Labelling</w:t>
      </w:r>
      <w:r w:rsidRPr="00873C4C">
        <w:rPr>
          <w:color w:val="000000"/>
        </w:rPr>
        <w:t xml:space="preserve"> with CyDye DIGE Fluors is very sensitive with a detection limit of around 500 pg of a single protein, and a linear response in protein concentration over at least five orders of magnitude</w:t>
      </w:r>
      <w:r w:rsidR="001A4A34">
        <w:rPr>
          <w:color w:val="000000"/>
        </w:rPr>
        <w:t xml:space="preserve"> </w:t>
      </w:r>
      <w:r w:rsidR="001A4A34">
        <w:rPr>
          <w:color w:val="000000"/>
        </w:rPr>
        <w:fldChar w:fldCharType="begin"/>
      </w:r>
      <w:r w:rsidR="001A4A34">
        <w:rPr>
          <w:color w:val="000000"/>
        </w:rPr>
        <w:instrText xml:space="preserve"> ADDIN EN.CITE &lt;EndNote&gt;&lt;Cite&gt;&lt;Author&gt;Shaw&lt;/Author&gt;&lt;Year&gt;2003&lt;/Year&gt;&lt;RecNum&gt;5314&lt;/RecNum&gt;&lt;DisplayText&gt;(Shaw et al., 2003)&lt;/DisplayText&gt;&lt;record&gt;&lt;rec-number&gt;5314&lt;/rec-number&gt;&lt;foreign-keys&gt;&lt;key app="EN" db-id="zf0awxsaczrdd3eft5qvw9wrtxxawdfrvw2a"&gt;5314&lt;/key&gt;&lt;/foreign-keys&gt;&lt;ref-type name="Journal Article"&gt;17&lt;/ref-type&gt;&lt;contributors&gt;&lt;authors&gt;&lt;author&gt;Shaw, J.&lt;/author&gt;&lt;author&gt;Rowlinson, R.&lt;/author&gt;&lt;author&gt;Nickson, J.&lt;/author&gt;&lt;author&gt;Stone, T.&lt;/author&gt;&lt;author&gt;Sweet, A.&lt;/author&gt;&lt;author&gt;Williams, K.&lt;/author&gt;&lt;author&gt;Tonge, R.&lt;/author&gt;&lt;/authors&gt;&lt;/contributors&gt;&lt;auth-address&gt;Global Protein Science &amp;amp; Supply, Enabling Science and Technology (Biology), AstraZeneca, 13S28 Mereside, Alderley Park, Macclesfield, Cheshire SK10 4TG, UK.&lt;/auth-address&gt;&lt;titles&gt;&lt;title&gt;Evaluation of saturation labelling two-dimensional difference gel electrophoresis fluorescent dyes&lt;/title&gt;&lt;secondary-title&gt;Proteomics&lt;/secondary-title&gt;&lt;/titles&gt;&lt;periodical&gt;&lt;full-title&gt;Proteomics&lt;/full-title&gt;&lt;/periodical&gt;&lt;pages&gt;1181-95&lt;/pages&gt;&lt;volume&gt;3&lt;/volume&gt;&lt;number&gt;7&lt;/number&gt;&lt;edition&gt;2003/07/23&lt;/edition&gt;&lt;keywords&gt;&lt;keyword&gt;Animals&lt;/keyword&gt;&lt;keyword&gt;Cysteine/chemistry&lt;/keyword&gt;&lt;keyword&gt;Electrophoresis, Gel, Two-Dimensional/*methods&lt;/keyword&gt;&lt;keyword&gt;Electrophoresis, Polyacrylamide Gel&lt;/keyword&gt;&lt;keyword&gt;Fluorescent Dyes/*pharmacology&lt;/keyword&gt;&lt;keyword&gt;Humans&lt;/keyword&gt;&lt;keyword&gt;Image Processing, Computer-Assisted&lt;/keyword&gt;&lt;keyword&gt;Light&lt;/keyword&gt;&lt;keyword&gt;Liver/metabolism&lt;/keyword&gt;&lt;keyword&gt;Mass Spectrometry&lt;/keyword&gt;&lt;keyword&gt;Mice&lt;/keyword&gt;&lt;keyword&gt;Models, Chemical&lt;/keyword&gt;&lt;keyword&gt;Proteins/chemistry&lt;/keyword&gt;&lt;keyword&gt;Software&lt;/keyword&gt;&lt;keyword&gt;Time Factors&lt;/keyword&gt;&lt;/keywords&gt;&lt;dates&gt;&lt;year&gt;2003&lt;/year&gt;&lt;pub-dates&gt;&lt;date&gt;Jul&lt;/date&gt;&lt;/pub-dates&gt;&lt;/dates&gt;&lt;isbn&gt;1615-9853 (Print)&amp;#xD;1615-9853 (Linking)&lt;/isbn&gt;&lt;accession-num&gt;12872219&lt;/accession-num&gt;&lt;urls&gt;&lt;related-urls&gt;&lt;url&gt;http://www.ncbi.nlm.nih.gov/pubmed/12872219&lt;/url&gt;&lt;/related-urls&gt;&lt;/urls&gt;&lt;electronic-resource-num&gt;10.1002/pmic.200300439&lt;/electronic-resource-num&gt;&lt;language&gt;eng&lt;/language&gt;&lt;/record&gt;&lt;/Cite&gt;&lt;/EndNote&gt;</w:instrText>
      </w:r>
      <w:r w:rsidR="001A4A34">
        <w:rPr>
          <w:color w:val="000000"/>
        </w:rPr>
        <w:fldChar w:fldCharType="separate"/>
      </w:r>
      <w:r w:rsidR="001A4A34">
        <w:rPr>
          <w:noProof/>
          <w:color w:val="000000"/>
        </w:rPr>
        <w:t>(</w:t>
      </w:r>
      <w:hyperlink w:anchor="_ENREF_382" w:tooltip="Shaw, 2003 #5314" w:history="1">
        <w:r w:rsidR="004A784D">
          <w:rPr>
            <w:noProof/>
            <w:color w:val="000000"/>
          </w:rPr>
          <w:t>Shaw et al., 2003</w:t>
        </w:r>
      </w:hyperlink>
      <w:r w:rsidR="001A4A34">
        <w:rPr>
          <w:noProof/>
          <w:color w:val="000000"/>
        </w:rPr>
        <w:t>)</w:t>
      </w:r>
      <w:r w:rsidR="001A4A34">
        <w:rPr>
          <w:color w:val="000000"/>
        </w:rPr>
        <w:fldChar w:fldCharType="end"/>
      </w:r>
      <w:r w:rsidR="001A4A34">
        <w:rPr>
          <w:color w:val="000000"/>
        </w:rPr>
        <w:t>.</w:t>
      </w:r>
      <w:r w:rsidR="00EE4F64" w:rsidRPr="00873C4C">
        <w:rPr>
          <w:color w:val="000000"/>
        </w:rPr>
        <w:t xml:space="preserve"> </w:t>
      </w:r>
    </w:p>
    <w:p w:rsidR="00C241AC" w:rsidRDefault="00C241AC" w:rsidP="00057B42">
      <w:pPr>
        <w:spacing w:line="360" w:lineRule="auto"/>
        <w:jc w:val="both"/>
        <w:rPr>
          <w:color w:val="000000"/>
        </w:rPr>
      </w:pPr>
    </w:p>
    <w:p w:rsidR="00C241AC" w:rsidRDefault="00380AC4" w:rsidP="00057B42">
      <w:pPr>
        <w:spacing w:line="360" w:lineRule="auto"/>
        <w:jc w:val="both"/>
        <w:rPr>
          <w:color w:val="000000"/>
        </w:rPr>
      </w:pPr>
      <w:r w:rsidRPr="00873C4C">
        <w:rPr>
          <w:color w:val="000000"/>
        </w:rPr>
        <w:t xml:space="preserve">In comparison, the limit of detection with silver stain is in the region of 1ng of protein with a dynamic range of no more than two orders of magnitude (Lilley, Razzaq et al. 2002). The </w:t>
      </w:r>
      <w:r w:rsidR="00647448" w:rsidRPr="00873C4C">
        <w:rPr>
          <w:color w:val="000000"/>
        </w:rPr>
        <w:t>labelling</w:t>
      </w:r>
      <w:r w:rsidRPr="00873C4C">
        <w:rPr>
          <w:color w:val="000000"/>
        </w:rPr>
        <w:t xml:space="preserve"> system is compatible with the downstream processing commonly used to identify proteins, which involves the generation of tryptic peptides</w:t>
      </w:r>
      <w:r w:rsidR="001A4A34">
        <w:rPr>
          <w:color w:val="000000"/>
        </w:rPr>
        <w:t xml:space="preserve"> </w:t>
      </w:r>
      <w:r w:rsidR="00665823">
        <w:rPr>
          <w:color w:val="000000"/>
        </w:rPr>
        <w:fldChar w:fldCharType="begin">
          <w:fldData xml:space="preserve">PEVuZE5vdGU+PENpdGU+PEF1dGhvcj5SdWVwcDwvQXV0aG9yPjxZZWFyPjIwMDI8L1llYXI+PFJl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</w:fldData>
        </w:fldChar>
      </w:r>
      <w:r w:rsidR="00665823">
        <w:rPr>
          <w:color w:val="000000"/>
        </w:rPr>
        <w:instrText xml:space="preserve"> ADDIN EN.CITE </w:instrText>
      </w:r>
      <w:r w:rsidR="00665823">
        <w:rPr>
          <w:color w:val="000000"/>
        </w:rPr>
        <w:fldChar w:fldCharType="begin">
          <w:fldData xml:space="preserve">PEVuZE5vdGU+PENpdGU+PEF1dGhvcj5SdWVwcDwvQXV0aG9yPjxZZWFyPjIwMDI8L1llYXI+PFJl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</w:fldData>
        </w:fldChar>
      </w:r>
      <w:r w:rsidR="00665823">
        <w:rPr>
          <w:color w:val="000000"/>
        </w:rPr>
        <w:instrText xml:space="preserve"> ADDIN EN.CITE.DATA </w:instrText>
      </w:r>
      <w:r w:rsidR="00665823">
        <w:rPr>
          <w:color w:val="000000"/>
        </w:rPr>
      </w:r>
      <w:r w:rsidR="00665823">
        <w:rPr>
          <w:color w:val="000000"/>
        </w:rPr>
        <w:fldChar w:fldCharType="end"/>
      </w:r>
      <w:r w:rsidR="00665823">
        <w:rPr>
          <w:color w:val="000000"/>
        </w:rPr>
      </w:r>
      <w:r w:rsidR="00665823">
        <w:rPr>
          <w:color w:val="000000"/>
        </w:rPr>
        <w:fldChar w:fldCharType="separate"/>
      </w:r>
      <w:r w:rsidR="00665823">
        <w:rPr>
          <w:noProof/>
          <w:color w:val="000000"/>
        </w:rPr>
        <w:t>(</w:t>
      </w:r>
      <w:hyperlink w:anchor="_ENREF_357" w:tooltip="Ruepp, 2002 #5316" w:history="1">
        <w:r w:rsidR="004A784D">
          <w:rPr>
            <w:noProof/>
            <w:color w:val="000000"/>
          </w:rPr>
          <w:t>Ruepp et al., 2002</w:t>
        </w:r>
      </w:hyperlink>
      <w:r w:rsidR="00665823">
        <w:rPr>
          <w:noProof/>
          <w:color w:val="000000"/>
        </w:rPr>
        <w:t xml:space="preserve">, </w:t>
      </w:r>
      <w:hyperlink w:anchor="_ENREF_421" w:tooltip="Tonge, 2001 #5317" w:history="1">
        <w:r w:rsidR="004A784D">
          <w:rPr>
            <w:noProof/>
            <w:color w:val="000000"/>
          </w:rPr>
          <w:t>Tonge et al., 2001</w:t>
        </w:r>
      </w:hyperlink>
      <w:r w:rsidR="00665823">
        <w:rPr>
          <w:noProof/>
          <w:color w:val="000000"/>
        </w:rPr>
        <w:t>)</w:t>
      </w:r>
      <w:r w:rsidR="00665823">
        <w:rPr>
          <w:color w:val="000000"/>
        </w:rPr>
        <w:fldChar w:fldCharType="end"/>
      </w:r>
      <w:r w:rsidR="00665823">
        <w:rPr>
          <w:color w:val="000000"/>
        </w:rPr>
        <w:t xml:space="preserve">. </w:t>
      </w:r>
      <w:r w:rsidRPr="00873C4C">
        <w:rPr>
          <w:color w:val="000000"/>
        </w:rPr>
        <w:t xml:space="preserve">Trypsin cleaves the peptide bonds </w:t>
      </w:r>
      <w:r w:rsidR="001E0909">
        <w:rPr>
          <w:color w:val="000000"/>
        </w:rPr>
        <w:t xml:space="preserve">on </w:t>
      </w:r>
      <w:r w:rsidRPr="00873C4C">
        <w:rPr>
          <w:color w:val="000000"/>
        </w:rPr>
        <w:t>the C-terminal side of lysine and arginine residues, but, as so few lysine residues are modified by dye labelling peptide generation is largely unhindered. It is also unlikely that a peptide modified with a CyDye DIGE Fluor would be extracted from a gel piece, hence interference by the fluors in peptide mass fingerprinting and de novo sequencing mass spectrometric techniques is minimal</w:t>
      </w:r>
      <w:r w:rsidR="001A4A34">
        <w:rPr>
          <w:color w:val="000000"/>
        </w:rPr>
        <w:t xml:space="preserve"> </w:t>
      </w:r>
      <w:r w:rsidR="001A4A34">
        <w:rPr>
          <w:color w:val="000000"/>
        </w:rPr>
        <w:fldChar w:fldCharType="begin"/>
      </w:r>
      <w:r w:rsidR="001A4A34">
        <w:rPr>
          <w:color w:val="000000"/>
        </w:rPr>
        <w:instrText xml:space="preserve"> ADDIN EN.CITE &lt;EndNote&gt;&lt;Cite&gt;&lt;Author&gt;Hagner-McWhirter&lt;/Author&gt;&lt;Year&gt;2008&lt;/Year&gt;&lt;RecNum&gt;5313&lt;/RecNum&gt;&lt;DisplayText&gt;(Hagner-McWhirter et al., 2008)&lt;/DisplayText&gt;&lt;record&gt;&lt;rec-number&gt;5313&lt;/rec-number&gt;&lt;foreign-keys&gt;&lt;key app="EN" db-id="zf0awxsaczrdd3eft5qvw9wrtxxawdfrvw2a"&gt;5313&lt;/key&gt;&lt;/foreign-keys&gt;&lt;ref-type name="Journal Article"&gt;17&lt;/ref-type&gt;&lt;contributors&gt;&lt;authors&gt;&lt;author&gt;Hagner-McWhirter, A.&lt;/author&gt;&lt;author&gt;Winkvist, M.&lt;/author&gt;&lt;author&gt;Bourin, S.&lt;/author&gt;&lt;author&gt;Marouga, R.&lt;/author&gt;&lt;/authors&gt;&lt;/contributors&gt;&lt;auth-address&gt;Research &amp;amp; Development, GE Healthcare Bio-Sciences AB. asa.hagner-mcwhirter@ge.com&lt;/auth-address&gt;&lt;titles&gt;&lt;title&gt;Selective labelling of cell-surface proteins using CyDye DIGE Fluor minimal dyes&lt;/title&gt;&lt;secondary-title&gt;J Vis Exp&lt;/secondary-title&gt;&lt;/titles&gt;&lt;periodical&gt;&lt;full-title&gt;J Vis Exp&lt;/full-title&gt;&lt;/periodical&gt;&lt;number&gt;21&lt;/number&gt;&lt;edition&gt;2008/12/11&lt;/edition&gt;&lt;keywords&gt;&lt;keyword&gt;Animals&lt;/keyword&gt;&lt;keyword&gt;CHO Cells&lt;/keyword&gt;&lt;keyword&gt;Cricetinae&lt;/keyword&gt;&lt;keyword&gt;Cricetulus&lt;/keyword&gt;&lt;keyword&gt;Electrophoresis, Gel, Two-Dimensional/*methods&lt;/keyword&gt;&lt;keyword&gt;Fluorescent Dyes/analysis/*chemistry&lt;/keyword&gt;&lt;keyword&gt;Membrane Proteins/*analysis/chemistry&lt;/keyword&gt;&lt;keyword&gt;Staining and Labeling/methods&lt;/keyword&gt;&lt;/keywords&gt;&lt;dates&gt;&lt;year&gt;2008&lt;/year&gt;&lt;/dates&gt;&lt;isbn&gt;1940-087X (Electronic)&amp;#xD;1940-087X (Linking)&lt;/isbn&gt;&lt;accession-num&gt;19066531&lt;/accession-num&gt;&lt;urls&gt;&lt;related-urls&gt;&lt;url&gt;http://www.ncbi.nlm.nih.gov/pubmed/19066531&lt;/url&gt;&lt;/related-urls&gt;&lt;/urls&gt;&lt;custom2&gt;3052270&lt;/custom2&gt;&lt;electronic-resource-num&gt;10.3791/945&amp;#xD;945 [pii]&lt;/electronic-resource-num&gt;&lt;language&gt;eng&lt;/language&gt;&lt;/record&gt;&lt;/Cite&gt;&lt;/EndNote&gt;</w:instrText>
      </w:r>
      <w:r w:rsidR="001A4A34">
        <w:rPr>
          <w:color w:val="000000"/>
        </w:rPr>
        <w:fldChar w:fldCharType="separate"/>
      </w:r>
      <w:r w:rsidR="001A4A34">
        <w:rPr>
          <w:noProof/>
          <w:color w:val="000000"/>
        </w:rPr>
        <w:t>(</w:t>
      </w:r>
      <w:hyperlink w:anchor="_ENREF_157" w:tooltip="Hagner-McWhirter, 2008 #5313" w:history="1">
        <w:r w:rsidR="004A784D">
          <w:rPr>
            <w:noProof/>
            <w:color w:val="000000"/>
          </w:rPr>
          <w:t>Hagner-McWhirter et al., 2008</w:t>
        </w:r>
      </w:hyperlink>
      <w:r w:rsidR="001A4A34">
        <w:rPr>
          <w:noProof/>
          <w:color w:val="000000"/>
        </w:rPr>
        <w:t>)</w:t>
      </w:r>
      <w:r w:rsidR="001A4A34">
        <w:rPr>
          <w:color w:val="000000"/>
        </w:rPr>
        <w:fldChar w:fldCharType="end"/>
      </w:r>
      <w:r w:rsidRPr="00873C4C">
        <w:rPr>
          <w:color w:val="000000"/>
        </w:rPr>
        <w:t xml:space="preserve">. </w:t>
      </w:r>
    </w:p>
    <w:p w:rsidR="00C241AC" w:rsidRDefault="00C241AC" w:rsidP="00057B42">
      <w:pPr>
        <w:spacing w:line="360" w:lineRule="auto"/>
        <w:jc w:val="both"/>
        <w:rPr>
          <w:color w:val="000000"/>
        </w:rPr>
      </w:pPr>
    </w:p>
    <w:p w:rsidR="00EE4F64" w:rsidRDefault="00380AC4" w:rsidP="00057B42">
      <w:pPr>
        <w:spacing w:line="360" w:lineRule="auto"/>
        <w:jc w:val="both"/>
        <w:rPr>
          <w:color w:val="000000"/>
        </w:rPr>
      </w:pPr>
      <w:r w:rsidRPr="00873C4C">
        <w:rPr>
          <w:color w:val="000000"/>
        </w:rPr>
        <w:t>A drawback of this minimal labelling system is the fact that the majority of the protein within a sample remains unlabelled and, in the case of smaller molecular weight species, the labelled portion of the protein may migrate to a slightly different position on a 2D gel</w:t>
      </w:r>
      <w:r w:rsidR="00665823">
        <w:rPr>
          <w:color w:val="000000"/>
        </w:rPr>
        <w:t xml:space="preserve"> </w:t>
      </w:r>
      <w:r w:rsidR="00665823">
        <w:rPr>
          <w:color w:val="000000"/>
        </w:rPr>
        <w:fldChar w:fldCharType="begin"/>
      </w:r>
      <w:r w:rsidR="00665823">
        <w:rPr>
          <w:color w:val="000000"/>
        </w:rPr>
        <w:instrText xml:space="preserve"> ADDIN EN.CITE &lt;EndNote&gt;&lt;Cite&gt;&lt;Author&gt;McNamara&lt;/Author&gt;&lt;Year&gt;2010&lt;/Year&gt;&lt;RecNum&gt;5312&lt;/RecNum&gt;&lt;DisplayText&gt;(McNamara et al., 2010)&lt;/DisplayText&gt;&lt;record&gt;&lt;rec-number&gt;5312&lt;/rec-number&gt;&lt;foreign-keys&gt;&lt;key app="EN" db-id="zf0awxsaczrdd3eft5qvw9wrtxxawdfrvw2a"&gt;5312&lt;/key&gt;&lt;/foreign-keys&gt;&lt;ref-type name="Journal Article"&gt;17&lt;/ref-type&gt;&lt;contributors&gt;&lt;authors&gt;&lt;author&gt;McNamara, L. E.&lt;/author&gt;&lt;author&gt;Dalby, M. J.&lt;/author&gt;&lt;author&gt;Riehle, M. O.&lt;/author&gt;&lt;author&gt;Burchmore, R.&lt;/author&gt;&lt;/authors&gt;&lt;/contributors&gt;&lt;auth-address&gt;Centre for Cell Engineering, University of Glasgow, Glasgow G12 8QQ, UK. l.mcnamara.1@research.gla.ac.uk&lt;/auth-address&gt;&lt;titles&gt;&lt;title&gt;Fluorescence two-dimensional difference gel electrophoresis for biomaterial applications&lt;/title&gt;&lt;secondary-title&gt;J R Soc Interface&lt;/secondary-title&gt;&lt;/titles&gt;&lt;periodical&gt;&lt;full-title&gt;J R Soc Interface&lt;/full-title&gt;&lt;/periodical&gt;&lt;pages&gt;S107-18&lt;/pages&gt;&lt;volume&gt;7 Suppl 1&lt;/volume&gt;&lt;edition&gt;2009/07/03&lt;/edition&gt;&lt;keywords&gt;&lt;keyword&gt;Biocompatible Materials/*chemistry&lt;/keyword&gt;&lt;keyword&gt;Electrophoresis, Gel, Two-Dimensional/*methods&lt;/keyword&gt;&lt;keyword&gt;*Fluorescence&lt;/keyword&gt;&lt;keyword&gt;Proteins/*isolation &amp;amp; purification&lt;/keyword&gt;&lt;keyword&gt;Proteomics/*methods&lt;/keyword&gt;&lt;keyword&gt;Staining and Labeling/methods&lt;/keyword&gt;&lt;/keywords&gt;&lt;dates&gt;&lt;year&gt;2010&lt;/year&gt;&lt;pub-dates&gt;&lt;date&gt;Feb 6&lt;/date&gt;&lt;/pub-dates&gt;&lt;/dates&gt;&lt;isbn&gt;1742-5662 (Electronic)&amp;#xD;1742-5662 (Linking)&lt;/isbn&gt;&lt;accession-num&gt;19570793&lt;/accession-num&gt;&lt;urls&gt;&lt;related-urls&gt;&lt;url&gt;http://www.ncbi.nlm.nih.gov/pubmed/19570793&lt;/url&gt;&lt;/related-urls&gt;&lt;/urls&gt;&lt;custom2&gt;2843984&lt;/custom2&gt;&lt;electronic-resource-num&gt;rsif.2009.0177.focus [pii]&amp;#xD;10.1098/rsif.2009.0177.focus&lt;/electronic-resource-num&gt;&lt;language&gt;eng&lt;/language&gt;&lt;/record&gt;&lt;/Cite&gt;&lt;/EndNote&gt;</w:instrText>
      </w:r>
      <w:r w:rsidR="00665823">
        <w:rPr>
          <w:color w:val="000000"/>
        </w:rPr>
        <w:fldChar w:fldCharType="separate"/>
      </w:r>
      <w:r w:rsidR="00665823">
        <w:rPr>
          <w:noProof/>
          <w:color w:val="000000"/>
        </w:rPr>
        <w:t>(</w:t>
      </w:r>
      <w:hyperlink w:anchor="_ENREF_269" w:tooltip="McNamara, 2010 #5312" w:history="1">
        <w:r w:rsidR="004A784D">
          <w:rPr>
            <w:noProof/>
            <w:color w:val="000000"/>
          </w:rPr>
          <w:t>McNamara et al., 2010</w:t>
        </w:r>
      </w:hyperlink>
      <w:r w:rsidR="00665823">
        <w:rPr>
          <w:noProof/>
          <w:color w:val="000000"/>
        </w:rPr>
        <w:t>)</w:t>
      </w:r>
      <w:r w:rsidR="00665823">
        <w:rPr>
          <w:color w:val="000000"/>
        </w:rPr>
        <w:fldChar w:fldCharType="end"/>
      </w:r>
      <w:r w:rsidR="00665823">
        <w:rPr>
          <w:color w:val="000000"/>
        </w:rPr>
        <w:t>.</w:t>
      </w:r>
      <w:r w:rsidRPr="00873C4C">
        <w:rPr>
          <w:color w:val="000000"/>
        </w:rPr>
        <w:t xml:space="preserve">  To ensure that the maximum amount </w:t>
      </w:r>
      <w:r w:rsidRPr="00873C4C">
        <w:rPr>
          <w:color w:val="000000"/>
        </w:rPr>
        <w:lastRenderedPageBreak/>
        <w:t>of protein is excised for downstream processing, minimally labelled DIGE gels are often post-stained with a total protein stain such as SyproRuby</w:t>
      </w:r>
      <w:r w:rsidR="00EE4F64" w:rsidRPr="00873C4C">
        <w:rPr>
          <w:color w:val="000000"/>
        </w:rPr>
        <w:t xml:space="preserve"> </w:t>
      </w:r>
      <w:r w:rsidR="00C34A80">
        <w:rPr>
          <w:color w:val="000000"/>
        </w:rPr>
        <w:fldChar w:fldCharType="begin"/>
      </w:r>
      <w:r w:rsidR="00C34A80">
        <w:rPr>
          <w:color w:val="000000"/>
        </w:rPr>
        <w:instrText xml:space="preserve"> ADDIN EN.CITE &lt;EndNote&gt;&lt;Cite&gt;&lt;Author&gt;Lilley&lt;/Author&gt;&lt;Year&gt;2002&lt;/Year&gt;&lt;RecNum&gt;5318&lt;/RecNum&gt;&lt;DisplayText&gt;(Lilley et al., 2002)&lt;/DisplayText&gt;&lt;record&gt;&lt;rec-number&gt;5318&lt;/rec-number&gt;&lt;foreign-keys&gt;&lt;key app="EN" db-id="zf0awxsaczrdd3eft5qvw9wrtxxawdfrvw2a"&gt;5318&lt;/key&gt;&lt;/foreign-keys&gt;&lt;ref-type name="Journal Article"&gt;17&lt;/ref-type&gt;&lt;contributors&gt;&lt;authors&gt;&lt;author&gt;Lilley, K. S.&lt;/author&gt;&lt;author&gt;Razzaq, A.&lt;/author&gt;&lt;author&gt;Dupree, P.&lt;/author&gt;&lt;/authors&gt;&lt;/contributors&gt;&lt;auth-address&gt;Department of Biochemistry, University of Cambridge, Building O, Downing Site, Cambridge CB2 1QW, UK.&lt;/auth-address&gt;&lt;titles&gt;&lt;title&gt;Two-dimensional gel electrophoresis: recent advances in sample preparation, detection and quantitation&lt;/title&gt;&lt;secondary-title&gt;Curr Opin Chem Biol&lt;/secondary-title&gt;&lt;/titles&gt;&lt;periodical&gt;&lt;full-title&gt;Curr Opin Chem Biol&lt;/full-title&gt;&lt;/periodical&gt;&lt;pages&gt;46-50&lt;/pages&gt;&lt;volume&gt;6&lt;/volume&gt;&lt;number&gt;1&lt;/number&gt;&lt;edition&gt;2002/02/06&lt;/edition&gt;&lt;keywords&gt;&lt;keyword&gt;Animals&lt;/keyword&gt;&lt;keyword&gt;Electrophoresis, Gel, Two-Dimensional/instrumentation/methods/trends&lt;/keyword&gt;&lt;keyword&gt;Electrophoresis, Polyacrylamide Gel&lt;/keyword&gt;&lt;keyword&gt;Humans&lt;/keyword&gt;&lt;keyword&gt;Proteins/*analysis&lt;/keyword&gt;&lt;keyword&gt;Proteome/analysis&lt;/keyword&gt;&lt;keyword&gt;Specimen Handling&lt;/keyword&gt;&lt;/keywords&gt;&lt;dates&gt;&lt;year&gt;2002&lt;/year&gt;&lt;pub-dates&gt;&lt;date&gt;Feb&lt;/date&gt;&lt;/pub-dates&gt;&lt;/dates&gt;&lt;isbn&gt;1367-5931 (Print)&amp;#xD;1367-5931 (Linking)&lt;/isbn&gt;&lt;accession-num&gt;11827822&lt;/accession-num&gt;&lt;urls&gt;&lt;related-urls&gt;&lt;url&gt;http://www.ncbi.nlm.nih.gov/pubmed/11827822&lt;/url&gt;&lt;/related-urls&gt;&lt;/urls&gt;&lt;electronic-resource-num&gt;S1367593101002757 [pii]&lt;/electronic-resource-num&gt;&lt;language&gt;eng&lt;/language&gt;&lt;/record&gt;&lt;/Cite&gt;&lt;/EndNote&gt;</w:instrText>
      </w:r>
      <w:r w:rsidR="00C34A80">
        <w:rPr>
          <w:color w:val="000000"/>
        </w:rPr>
        <w:fldChar w:fldCharType="separate"/>
      </w:r>
      <w:r w:rsidR="00C34A80">
        <w:rPr>
          <w:noProof/>
          <w:color w:val="000000"/>
        </w:rPr>
        <w:t>(</w:t>
      </w:r>
      <w:hyperlink w:anchor="_ENREF_246" w:tooltip="Lilley, 2002 #5318" w:history="1">
        <w:r w:rsidR="004A784D">
          <w:rPr>
            <w:noProof/>
            <w:color w:val="000000"/>
          </w:rPr>
          <w:t>Lilley et al., 2002</w:t>
        </w:r>
      </w:hyperlink>
      <w:r w:rsidR="00C34A80">
        <w:rPr>
          <w:noProof/>
          <w:color w:val="000000"/>
        </w:rPr>
        <w:t>)</w:t>
      </w:r>
      <w:r w:rsidR="00C34A80">
        <w:rPr>
          <w:color w:val="000000"/>
        </w:rPr>
        <w:fldChar w:fldCharType="end"/>
      </w:r>
      <w:r w:rsidR="00C34A80">
        <w:rPr>
          <w:color w:val="000000"/>
        </w:rPr>
        <w:t>.</w:t>
      </w:r>
      <w:r w:rsidRPr="00873C4C">
        <w:rPr>
          <w:color w:val="000000"/>
        </w:rPr>
        <w:t xml:space="preserve"> </w:t>
      </w:r>
    </w:p>
    <w:p w:rsidR="00057B42" w:rsidRDefault="00057B42" w:rsidP="00057B42">
      <w:pPr>
        <w:spacing w:line="360" w:lineRule="auto"/>
        <w:jc w:val="both"/>
        <w:rPr>
          <w:color w:val="000000"/>
        </w:rPr>
      </w:pPr>
    </w:p>
    <w:p w:rsidR="00380AC4" w:rsidRPr="00873C4C" w:rsidRDefault="00EE4F64" w:rsidP="00057B42">
      <w:pPr>
        <w:pStyle w:val="Heading5"/>
        <w:spacing w:line="360" w:lineRule="auto"/>
      </w:pPr>
      <w:r w:rsidRPr="00873C4C">
        <w:tab/>
      </w:r>
      <w:bookmarkStart w:id="480" w:name="_Toc305759144"/>
      <w:r w:rsidR="00380AC4" w:rsidRPr="00873C4C">
        <w:t>Saturation Labelling</w:t>
      </w:r>
      <w:bookmarkEnd w:id="480"/>
    </w:p>
    <w:p w:rsidR="00C241AC" w:rsidRDefault="00380AC4" w:rsidP="009A006E">
      <w:pPr>
        <w:spacing w:before="240" w:line="360" w:lineRule="auto"/>
        <w:jc w:val="both"/>
        <w:rPr>
          <w:color w:val="000000"/>
        </w:rPr>
      </w:pPr>
      <w:r w:rsidRPr="00873C4C">
        <w:rPr>
          <w:color w:val="000000"/>
        </w:rPr>
        <w:t>The second more recent chemistry was released by Amersham Biosciences in July 2003 and is designed for use in situations where sample abundance is limited.  This differs from the original N-hydroxy succinimidyl chemistry in that CyDyes with no intrinsic charge are supplied with a thiol reactive maleimide group. These ‘saturation’ dyes are utilised in such a way to bring about labelling of every cysteine residues within a protein. The saturation labelling is much more sensitive as more fluorophor is introduced into each protein species, Shaw et al reporting an order of magnitude increase in sensitivity</w:t>
      </w:r>
      <w:r w:rsidR="00665823">
        <w:rPr>
          <w:color w:val="000000"/>
        </w:rPr>
        <w:t xml:space="preserve"> over the original minimal dyes </w:t>
      </w:r>
      <w:r w:rsidR="00665823">
        <w:rPr>
          <w:color w:val="000000"/>
        </w:rPr>
        <w:fldChar w:fldCharType="begin"/>
      </w:r>
      <w:r w:rsidR="00665823">
        <w:rPr>
          <w:color w:val="000000"/>
        </w:rPr>
        <w:instrText xml:space="preserve"> ADDIN EN.CITE &lt;EndNote&gt;&lt;Cite&gt;&lt;Author&gt;Shaw&lt;/Author&gt;&lt;Year&gt;2003&lt;/Year&gt;&lt;RecNum&gt;5315&lt;/RecNum&gt;&lt;DisplayText&gt;(Shaw et al., 2003)&lt;/DisplayText&gt;&lt;record&gt;&lt;rec-number&gt;5315&lt;/rec-number&gt;&lt;foreign-keys&gt;&lt;key app="EN" db-id="zf0awxsaczrdd3eft5qvw9wrtxxawdfrvw2a"&gt;5315&lt;/key&gt;&lt;/foreign-keys&gt;&lt;ref-type name="Journal Article"&gt;17&lt;/ref-type&gt;&lt;contributors&gt;&lt;authors&gt;&lt;author&gt;Shaw, J.&lt;/author&gt;&lt;author&gt;Rowlinson, R.&lt;/author&gt;&lt;author&gt;Nickson, J.&lt;/author&gt;&lt;author&gt;Stone, T.&lt;/author&gt;&lt;author&gt;Sweet, A.&lt;/author&gt;&lt;author&gt;Williams, K.&lt;/author&gt;&lt;author&gt;Tonge, R.&lt;/author&gt;&lt;/authors&gt;&lt;/contributors&gt;&lt;auth-address&gt;Global Protein Science &amp;amp; Supply, Enabling Science and Technology (Biology), AstraZeneca, 13S28 Mereside, Alderley Park, Macclesfield, Cheshire SK10 4TG, UK.&lt;/auth-address&gt;&lt;titles&gt;&lt;title&gt;Evaluation of saturation labelling two-dimensional difference gel electrophoresis fluorescent dyes&lt;/title&gt;&lt;secondary-title&gt;Proteomics&lt;/secondary-title&gt;&lt;/titles&gt;&lt;periodical&gt;&lt;full-title&gt;Proteomics&lt;/full-title&gt;&lt;/periodical&gt;&lt;pages&gt;1181-95&lt;/pages&gt;&lt;volume&gt;3&lt;/volume&gt;&lt;number&gt;7&lt;/number&gt;&lt;edition&gt;2003/07/23&lt;/edition&gt;&lt;keywords&gt;&lt;keyword&gt;Animals&lt;/keyword&gt;&lt;keyword&gt;Cysteine/chemistry&lt;/keyword&gt;&lt;keyword&gt;Electrophoresis, Gel, Two-Dimensional/*methods&lt;/keyword&gt;&lt;keyword&gt;Electrophoresis, Polyacrylamide Gel&lt;/keyword&gt;&lt;keyword&gt;Fluorescent Dyes/*pharmacology&lt;/keyword&gt;&lt;keyword&gt;Humans&lt;/keyword&gt;&lt;keyword&gt;Image Processing, Computer-Assisted&lt;/keyword&gt;&lt;keyword&gt;Light&lt;/keyword&gt;&lt;keyword&gt;Liver/metabolism&lt;/keyword&gt;&lt;keyword&gt;Mass Spectrometry&lt;/keyword&gt;&lt;keyword&gt;Mice&lt;/keyword&gt;&lt;keyword&gt;Models, Chemical&lt;/keyword&gt;&lt;keyword&gt;Proteins/chemistry&lt;/keyword&gt;&lt;keyword&gt;Software&lt;/keyword&gt;&lt;keyword&gt;Time Factors&lt;/keyword&gt;&lt;/keywords&gt;&lt;dates&gt;&lt;year&gt;2003&lt;/year&gt;&lt;pub-dates&gt;&lt;date&gt;Jul&lt;/date&gt;&lt;/pub-dates&gt;&lt;/dates&gt;&lt;isbn&gt;1615-9853 (Print)&amp;#xD;1615-9853 (Linking)&lt;/isbn&gt;&lt;accession-num&gt;12872219&lt;/accession-num&gt;&lt;urls&gt;&lt;related-urls&gt;&lt;url&gt;http://www.ncbi.nlm.nih.gov/pubmed/12872219&lt;/url&gt;&lt;/related-urls&gt;&lt;/urls&gt;&lt;electronic-resource-num&gt;10.1002/pmic.200300439&lt;/electronic-resource-num&gt;&lt;language&gt;eng&lt;/language&gt;&lt;/record&gt;&lt;/Cite&gt;&lt;/EndNote&gt;</w:instrText>
      </w:r>
      <w:r w:rsidR="00665823">
        <w:rPr>
          <w:color w:val="000000"/>
        </w:rPr>
        <w:fldChar w:fldCharType="separate"/>
      </w:r>
      <w:r w:rsidR="00665823">
        <w:rPr>
          <w:noProof/>
          <w:color w:val="000000"/>
        </w:rPr>
        <w:t>(</w:t>
      </w:r>
      <w:hyperlink w:anchor="_ENREF_382" w:tooltip="Shaw, 2003 #5314" w:history="1">
        <w:r w:rsidR="004A784D">
          <w:rPr>
            <w:noProof/>
            <w:color w:val="000000"/>
          </w:rPr>
          <w:t>Shaw et al., 2003</w:t>
        </w:r>
      </w:hyperlink>
      <w:r w:rsidR="00665823">
        <w:rPr>
          <w:noProof/>
          <w:color w:val="000000"/>
        </w:rPr>
        <w:t>)</w:t>
      </w:r>
      <w:r w:rsidR="00665823">
        <w:rPr>
          <w:color w:val="000000"/>
        </w:rPr>
        <w:fldChar w:fldCharType="end"/>
      </w:r>
      <w:r w:rsidR="00665823">
        <w:rPr>
          <w:color w:val="000000"/>
        </w:rPr>
        <w:t xml:space="preserve">. </w:t>
      </w:r>
      <w:r w:rsidRPr="00873C4C">
        <w:rPr>
          <w:color w:val="000000"/>
        </w:rPr>
        <w:t>Whilst the added sensitivity that these dyes provide is desirable, their use is technically more challenging</w:t>
      </w:r>
      <w:r w:rsidR="00B5499B">
        <w:rPr>
          <w:color w:val="000000"/>
        </w:rPr>
        <w:t xml:space="preserve"> </w:t>
      </w:r>
      <w:r w:rsidR="00B5499B">
        <w:rPr>
          <w:color w:val="000000"/>
        </w:rPr>
        <w:fldChar w:fldCharType="begin"/>
      </w:r>
      <w:r w:rsidR="00B5499B">
        <w:rPr>
          <w:color w:val="000000"/>
        </w:rPr>
        <w:instrText xml:space="preserve"> ADDIN EN.CITE &lt;EndNote&gt;&lt;Cite&gt;&lt;Author&gt;Alban&lt;/Author&gt;&lt;Year&gt;2003&lt;/Year&gt;&lt;RecNum&gt;5322&lt;/RecNum&gt;&lt;DisplayText&gt;(Alban et al., 2003)&lt;/DisplayText&gt;&lt;record&gt;&lt;rec-number&gt;5322&lt;/rec-number&gt;&lt;foreign-keys&gt;&lt;key app="EN" db-id="zf0awxsaczrdd3eft5qvw9wrtxxawdfrvw2a"&gt;5322&lt;/key&gt;&lt;/foreign-keys&gt;&lt;ref-type name="Journal Article"&gt;17&lt;/ref-type&gt;&lt;contributors&gt;&lt;authors&gt;&lt;author&gt;Alban, A.&lt;/author&gt;&lt;author&gt;David, S. O.&lt;/author&gt;&lt;author&gt;Bjorkesten, L.&lt;/author&gt;&lt;author&gt;Andersson, C.&lt;/author&gt;&lt;author&gt;Sloge, E.&lt;/author&gt;&lt;author&gt;Lewis, S.&lt;/author&gt;&lt;author&gt;Currie, I.&lt;/author&gt;&lt;/authors&gt;&lt;/contributors&gt;&lt;auth-address&gt;Amersham Biosciences UK, Little Chalfont, Bucks, UK. andrew.alban@uk.amershambiosciences.com&lt;/auth-address&gt;&lt;titles&gt;&lt;title&gt;A novel experimental design for comparative two-dimensional gel analysis: two-dimensional difference gel electrophoresis incorporating a pooled internal standard&lt;/title&gt;&lt;secondary-title&gt;Proteomics&lt;/secondary-title&gt;&lt;/titles&gt;&lt;periodical&gt;&lt;full-title&gt;Proteomics&lt;/full-title&gt;&lt;/periodical&gt;&lt;pages&gt;36-44&lt;/pages&gt;&lt;volume&gt;3&lt;/volume&gt;&lt;number&gt;1&lt;/number&gt;&lt;edition&gt;2003/01/28&lt;/edition&gt;&lt;keywords&gt;&lt;keyword&gt;Electrophoresis, Gel, Two-Dimensional/*methods/*standards&lt;/keyword&gt;&lt;keyword&gt;Escherichia coli Proteins/genetics/isolation &amp;amp; purification&lt;/keyword&gt;&lt;keyword&gt;Image Processing, Computer-Assisted&lt;/keyword&gt;&lt;keyword&gt;Protein Array Analysis&lt;/keyword&gt;&lt;keyword&gt;Proteomics/*methods/*standards&lt;/keyword&gt;&lt;keyword&gt;Reference Standards&lt;/keyword&gt;&lt;/keywords&gt;&lt;dates&gt;&lt;year&gt;2003&lt;/year&gt;&lt;pub-dates&gt;&lt;date&gt;Jan&lt;/date&gt;&lt;/pub-dates&gt;&lt;/dates&gt;&lt;isbn&gt;1615-9853 (Print)&amp;#xD;1615-9853 (Linking)&lt;/isbn&gt;&lt;accession-num&gt;12548632&lt;/accession-num&gt;&lt;urls&gt;&lt;related-urls&gt;&lt;url&gt;http://www.ncbi.nlm.nih.gov/pubmed/12548632&lt;/url&gt;&lt;/related-urls&gt;&lt;/urls&gt;&lt;electronic-resource-num&gt;10.1002/pmic.200390006&lt;/electronic-resource-num&gt;&lt;language&gt;eng&lt;/language&gt;&lt;/record&gt;&lt;/Cite&gt;&lt;/EndNote&gt;</w:instrText>
      </w:r>
      <w:r w:rsidR="00B5499B">
        <w:rPr>
          <w:color w:val="000000"/>
        </w:rPr>
        <w:fldChar w:fldCharType="separate"/>
      </w:r>
      <w:r w:rsidR="00B5499B">
        <w:rPr>
          <w:noProof/>
          <w:color w:val="000000"/>
        </w:rPr>
        <w:t>(</w:t>
      </w:r>
      <w:hyperlink w:anchor="_ENREF_10" w:tooltip="Alban, 2003 #5322" w:history="1">
        <w:r w:rsidR="004A784D">
          <w:rPr>
            <w:noProof/>
            <w:color w:val="000000"/>
          </w:rPr>
          <w:t>Alban et al., 2003</w:t>
        </w:r>
      </w:hyperlink>
      <w:r w:rsidR="00B5499B">
        <w:rPr>
          <w:noProof/>
          <w:color w:val="000000"/>
        </w:rPr>
        <w:t>)</w:t>
      </w:r>
      <w:r w:rsidR="00B5499B">
        <w:rPr>
          <w:color w:val="000000"/>
        </w:rPr>
        <w:fldChar w:fldCharType="end"/>
      </w:r>
      <w:r w:rsidRPr="00873C4C">
        <w:rPr>
          <w:color w:val="000000"/>
        </w:rPr>
        <w:t xml:space="preserve">.  </w:t>
      </w:r>
    </w:p>
    <w:p w:rsidR="00C241AC" w:rsidRDefault="00C241AC" w:rsidP="00057B42">
      <w:pPr>
        <w:spacing w:line="360" w:lineRule="auto"/>
        <w:jc w:val="both"/>
        <w:rPr>
          <w:color w:val="000000"/>
        </w:rPr>
      </w:pPr>
    </w:p>
    <w:p w:rsidR="00757FDC" w:rsidRDefault="00380AC4" w:rsidP="00057B42">
      <w:pPr>
        <w:spacing w:line="360" w:lineRule="auto"/>
        <w:jc w:val="both"/>
        <w:rPr>
          <w:color w:val="000000"/>
        </w:rPr>
      </w:pPr>
      <w:r w:rsidRPr="00873C4C">
        <w:rPr>
          <w:color w:val="000000"/>
        </w:rPr>
        <w:t xml:space="preserve">The reaction conditions have to be carefully optimised for each type of sample to ensure complete reduction of cysteine residues and a protein:dye ratio sufficient for stoichiometric labelling.  Sub-stoichiometric labelling will lead to multiple spots in the second dimension, whereas the use of too much dye may lead to unwanted addition reactions with lysine residues, resulting in the formation of charge trains in the first dimension. </w:t>
      </w:r>
    </w:p>
    <w:p w:rsidR="00757FDC" w:rsidRDefault="00757FDC" w:rsidP="00057B42">
      <w:pPr>
        <w:spacing w:line="360" w:lineRule="auto"/>
        <w:jc w:val="both"/>
        <w:rPr>
          <w:color w:val="000000"/>
        </w:rPr>
      </w:pPr>
    </w:p>
    <w:p w:rsidR="00C241AC" w:rsidRDefault="00380AC4" w:rsidP="00057B42">
      <w:pPr>
        <w:spacing w:line="360" w:lineRule="auto"/>
        <w:jc w:val="both"/>
        <w:rPr>
          <w:color w:val="000000"/>
        </w:rPr>
      </w:pPr>
      <w:r w:rsidRPr="00873C4C">
        <w:rPr>
          <w:color w:val="000000"/>
        </w:rPr>
        <w:t xml:space="preserve"> It is also impossible to compare the 2D spot maps between samples labelled with the two chemistries. Proteins containing multiple cysteine residues may appear as larger molecular weight species when labelled with the saturation dyes.   For studies where identification by mass spectrometric techniques is required, a preparative gel with increased protein loading will be required to produce a 2D protein map.  In situations where the amount of sample is very small this technique at best can be considered of diagnostic value</w:t>
      </w:r>
      <w:r w:rsidR="00C34A80">
        <w:rPr>
          <w:color w:val="000000"/>
        </w:rPr>
        <w:t xml:space="preserve"> </w:t>
      </w:r>
      <w:r w:rsidR="00C34A80">
        <w:rPr>
          <w:color w:val="000000"/>
        </w:rPr>
        <w:fldChar w:fldCharType="begin"/>
      </w:r>
      <w:r w:rsidR="00C34A80">
        <w:rPr>
          <w:color w:val="000000"/>
        </w:rPr>
        <w:instrText xml:space="preserve"> ADDIN EN.CITE &lt;EndNote&gt;&lt;Cite&gt;&lt;Author&gt;Lilley&lt;/Author&gt;&lt;Year&gt;2002&lt;/Year&gt;&lt;RecNum&gt;5318&lt;/RecNum&gt;&lt;DisplayText&gt;(Lilley et al., 2002)&lt;/DisplayText&gt;&lt;record&gt;&lt;rec-number&gt;5318&lt;/rec-number&gt;&lt;foreign-keys&gt;&lt;key app="EN" db-id="zf0awxsaczrdd3eft5qvw9wrtxxawdfrvw2a"&gt;5318&lt;/key&gt;&lt;/foreign-keys&gt;&lt;ref-type name="Journal Article"&gt;17&lt;/ref-type&gt;&lt;contributors&gt;&lt;authors&gt;&lt;author&gt;Lilley, K. S.&lt;/author&gt;&lt;author&gt;Razzaq, A.&lt;/author&gt;&lt;author&gt;Dupree, P.&lt;/author&gt;&lt;/authors&gt;&lt;/contributors&gt;&lt;auth-address&gt;Department of Biochemistry, University of Cambridge, Building O, Downing Site, Cambridge CB2 1QW, UK.&lt;/auth-address&gt;&lt;titles&gt;&lt;title&gt;Two-dimensional gel electrophoresis: recent advances in sample preparation, detection and quantitation&lt;/title&gt;&lt;secondary-title&gt;Curr Opin Chem Biol&lt;/secondary-title&gt;&lt;/titles&gt;&lt;periodical&gt;&lt;full-title&gt;Curr Opin Chem Biol&lt;/full-title&gt;&lt;/periodical&gt;&lt;pages&gt;46-50&lt;/pages&gt;&lt;volume&gt;6&lt;/volume&gt;&lt;number&gt;1&lt;/number&gt;&lt;edition&gt;2002/02/06&lt;/edition&gt;&lt;keywords&gt;&lt;keyword&gt;Animals&lt;/keyword&gt;&lt;keyword&gt;Electrophoresis, Gel, Two-Dimensional/instrumentation/methods/trends&lt;/keyword&gt;&lt;keyword&gt;Electrophoresis, Polyacrylamide Gel&lt;/keyword&gt;&lt;keyword&gt;Humans&lt;/keyword&gt;&lt;keyword&gt;Proteins/*analysis&lt;/keyword&gt;&lt;keyword&gt;Proteome/analysis&lt;/keyword&gt;&lt;keyword&gt;Specimen Handling&lt;/keyword&gt;&lt;/keywords&gt;&lt;dates&gt;&lt;year&gt;2002&lt;/year&gt;&lt;pub-dates&gt;&lt;date&gt;Feb&lt;/date&gt;&lt;/pub-dates&gt;&lt;/dates&gt;&lt;isbn&gt;1367-5931 (Print)&amp;#xD;1367-5931 (Linking)&lt;/isbn&gt;&lt;accession-num&gt;11827822&lt;/accession-num&gt;&lt;urls&gt;&lt;related-urls&gt;&lt;url&gt;http://www.ncbi.nlm.nih.gov/pubmed/11827822&lt;/url&gt;&lt;/related-urls&gt;&lt;/urls&gt;&lt;electronic-resource-num&gt;S1367593101002757 [pii]&lt;/electronic-resource-num&gt;&lt;language&gt;eng&lt;/language&gt;&lt;/record&gt;&lt;/Cite&gt;&lt;/EndNote&gt;</w:instrText>
      </w:r>
      <w:r w:rsidR="00C34A80">
        <w:rPr>
          <w:color w:val="000000"/>
        </w:rPr>
        <w:fldChar w:fldCharType="separate"/>
      </w:r>
      <w:r w:rsidR="00C34A80">
        <w:rPr>
          <w:noProof/>
          <w:color w:val="000000"/>
        </w:rPr>
        <w:t>(</w:t>
      </w:r>
      <w:hyperlink w:anchor="_ENREF_246" w:tooltip="Lilley, 2002 #5318" w:history="1">
        <w:r w:rsidR="004A784D">
          <w:rPr>
            <w:noProof/>
            <w:color w:val="000000"/>
          </w:rPr>
          <w:t>Lilley et al., 2002</w:t>
        </w:r>
      </w:hyperlink>
      <w:r w:rsidR="00C34A80">
        <w:rPr>
          <w:noProof/>
          <w:color w:val="000000"/>
        </w:rPr>
        <w:t>)</w:t>
      </w:r>
      <w:r w:rsidR="00C34A80">
        <w:rPr>
          <w:color w:val="000000"/>
        </w:rPr>
        <w:fldChar w:fldCharType="end"/>
      </w:r>
      <w:r w:rsidRPr="00873C4C">
        <w:rPr>
          <w:color w:val="000000"/>
        </w:rPr>
        <w:t xml:space="preserve">. </w:t>
      </w:r>
    </w:p>
    <w:p w:rsidR="00C241AC" w:rsidRDefault="00C241AC" w:rsidP="00057B42">
      <w:pPr>
        <w:spacing w:line="360" w:lineRule="auto"/>
        <w:jc w:val="both"/>
        <w:rPr>
          <w:color w:val="000000"/>
        </w:rPr>
      </w:pPr>
    </w:p>
    <w:p w:rsidR="002908A3" w:rsidRDefault="00380AC4" w:rsidP="00057B42">
      <w:pPr>
        <w:spacing w:line="360" w:lineRule="auto"/>
        <w:jc w:val="both"/>
        <w:rPr>
          <w:color w:val="000000"/>
        </w:rPr>
      </w:pPr>
      <w:r w:rsidRPr="00873C4C">
        <w:rPr>
          <w:color w:val="000000"/>
        </w:rPr>
        <w:t xml:space="preserve">The use of these saturation dyes is not well established and the maleimide dyes are currently only available for Cy3 and Cy5. </w:t>
      </w:r>
      <w:r w:rsidR="00F334EE" w:rsidRPr="00873C4C">
        <w:rPr>
          <w:color w:val="000000"/>
        </w:rPr>
        <w:t xml:space="preserve">The CyDye technique is a sensitive </w:t>
      </w:r>
      <w:r w:rsidR="00F334EE" w:rsidRPr="00873C4C">
        <w:rPr>
          <w:color w:val="000000"/>
        </w:rPr>
        <w:lastRenderedPageBreak/>
        <w:t>method for the detection of proteins from numerous sample types including bio fluids, cell culture lysates/conditioned media and laser-</w:t>
      </w:r>
      <w:r w:rsidR="00647448" w:rsidRPr="00873C4C">
        <w:rPr>
          <w:color w:val="000000"/>
        </w:rPr>
        <w:t>micro dissected</w:t>
      </w:r>
      <w:r w:rsidR="00F334EE" w:rsidRPr="00873C4C">
        <w:rPr>
          <w:color w:val="000000"/>
        </w:rPr>
        <w:t xml:space="preserve"> tissue </w:t>
      </w:r>
      <w:r w:rsidR="00F334EE" w:rsidRPr="00873C4C">
        <w:rPr>
          <w:color w:val="000000"/>
        </w:rPr>
        <w:fldChar w:fldCharType="begin">
          <w:fldData xml:space="preserve">PEVuZE5vdGU+PENpdGU+PEF1dGhvcj5Eb3dsaW5nPC9BdXRob3I+PFllYXI+MjAwNzwvWWVhcj48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</w:fldData>
        </w:fldChar>
      </w:r>
      <w:r w:rsidR="00930156">
        <w:rPr>
          <w:color w:val="000000"/>
        </w:rPr>
        <w:instrText xml:space="preserve"> ADDIN EN.CITE </w:instrText>
      </w:r>
      <w:r w:rsidR="00930156">
        <w:rPr>
          <w:color w:val="000000"/>
        </w:rPr>
        <w:fldChar w:fldCharType="begin">
          <w:fldData xml:space="preserve">PEVuZE5vdGU+PENpdGU+PEF1dGhvcj5Eb3dsaW5nPC9BdXRob3I+PFllYXI+MjAwNzwvWWVhcj48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</w:fldData>
        </w:fldChar>
      </w:r>
      <w:r w:rsidR="00930156">
        <w:rPr>
          <w:color w:val="000000"/>
        </w:rPr>
        <w:instrText xml:space="preserve"> ADDIN EN.CITE.DATA </w:instrText>
      </w:r>
      <w:r w:rsidR="00930156">
        <w:rPr>
          <w:color w:val="000000"/>
        </w:rPr>
      </w:r>
      <w:r w:rsidR="00930156">
        <w:rPr>
          <w:color w:val="000000"/>
        </w:rPr>
        <w:fldChar w:fldCharType="end"/>
      </w:r>
      <w:r w:rsidR="00F334EE" w:rsidRPr="00873C4C">
        <w:rPr>
          <w:color w:val="000000"/>
        </w:rPr>
      </w:r>
      <w:r w:rsidR="00F334EE" w:rsidRPr="00873C4C">
        <w:rPr>
          <w:color w:val="000000"/>
        </w:rPr>
        <w:fldChar w:fldCharType="separate"/>
      </w:r>
      <w:r w:rsidR="006F41FE">
        <w:rPr>
          <w:noProof/>
          <w:color w:val="000000"/>
        </w:rPr>
        <w:t>(</w:t>
      </w:r>
      <w:hyperlink w:anchor="_ENREF_107" w:tooltip="Dowling, 2007 #5267" w:history="1">
        <w:r w:rsidR="004A784D">
          <w:rPr>
            <w:noProof/>
            <w:color w:val="000000"/>
          </w:rPr>
          <w:t>Dowling et al., 2007b</w:t>
        </w:r>
      </w:hyperlink>
      <w:r w:rsidR="006F41FE">
        <w:rPr>
          <w:noProof/>
          <w:color w:val="000000"/>
        </w:rPr>
        <w:t>)</w:t>
      </w:r>
      <w:r w:rsidR="00F334EE" w:rsidRPr="00873C4C">
        <w:rPr>
          <w:color w:val="000000"/>
        </w:rPr>
        <w:fldChar w:fldCharType="end"/>
      </w:r>
      <w:r w:rsidR="00F334EE" w:rsidRPr="00873C4C">
        <w:rPr>
          <w:color w:val="000000"/>
        </w:rPr>
        <w:t xml:space="preserve">  </w:t>
      </w:r>
      <w:r w:rsidR="00F334EE" w:rsidRPr="00873C4C">
        <w:rPr>
          <w:color w:val="000000"/>
        </w:rPr>
        <w:fldChar w:fldCharType="begin"/>
      </w:r>
      <w:r w:rsidR="006F41FE">
        <w:rPr>
          <w:color w:val="000000"/>
        </w:rPr>
        <w:instrText xml:space="preserve"> ADDIN EN.CITE &lt;EndNote&gt;&lt;Cite&gt;&lt;Author&gt;Kirana&lt;/Author&gt;&lt;Year&gt;2009&lt;/Year&gt;&lt;RecNum&gt;1&lt;/RecNum&gt;&lt;DisplayText&gt;(Kirana et al., 2009)&lt;/DisplayText&gt;&lt;record&gt;&lt;rec-number&gt;1&lt;/rec-number&gt;&lt;ref-type name="Journal Article"&gt;17&lt;/ref-type&gt;&lt;contributors&gt;&lt;authors&gt;&lt;author&gt;Kirana, C.&lt;/author&gt;&lt;author&gt;Ward, T.&lt;/author&gt;&lt;author&gt;Jordan, T. W.&lt;/author&gt;&lt;author&gt;Rawson, P.&lt;/author&gt;&lt;author&gt;Royds, J.&lt;/author&gt;&lt;author&gt;Shi, H. J.&lt;/author&gt;&lt;author&gt;Stubbs, R.&lt;/author&gt;&lt;author&gt;Hood, K.&lt;/author&gt;&lt;/authors&gt;&lt;/contributors&gt;&lt;auth-address&gt;Wakefield Gastroenterology Research Institute, Wakefield Hospital, Wellington, New Zealand.&lt;/auth-address&gt;&lt;titles&gt;&lt;title&gt;Compatibility of toluidine blue with laser microdissection and saturation labeling DIGE&lt;/title&gt;&lt;secondary-title&gt;Proteomics&lt;/secondary-title&gt;&lt;/titles&gt;&lt;pages&gt;485-90&lt;/pages&gt;&lt;volume&gt;9&lt;/volume&gt;&lt;number&gt;2&lt;/number&gt;&lt;dates&gt;&lt;year&gt;2009&lt;/year&gt;&lt;pub-dates&gt;&lt;date&gt;Jan&lt;/date&gt;&lt;/pub-dates&gt;&lt;/dates&gt;&lt;accession-num&gt;19086099&lt;/accession-num&gt;&lt;urls&gt;&lt;related-urls&gt;&lt;url&gt;http://www.ncbi.nlm.nih.gov/entrez/query.fcgi?cmd=Retrieve&amp;amp;db=PubMed&amp;amp;dopt=Citation&amp;amp;list_uids=19086099 &lt;/url&gt;&lt;/related-urls&gt;&lt;/urls&gt;&lt;/record&gt;&lt;/Cite&gt;&lt;/EndNote&gt;</w:instrText>
      </w:r>
      <w:r w:rsidR="00F334EE" w:rsidRPr="00873C4C">
        <w:rPr>
          <w:color w:val="000000"/>
        </w:rPr>
        <w:fldChar w:fldCharType="separate"/>
      </w:r>
      <w:r w:rsidR="006F41FE">
        <w:rPr>
          <w:noProof/>
          <w:color w:val="000000"/>
        </w:rPr>
        <w:t>(</w:t>
      </w:r>
      <w:hyperlink w:anchor="_ENREF_211" w:tooltip="Kirana, 2009 #1" w:history="1">
        <w:r w:rsidR="004A784D">
          <w:rPr>
            <w:noProof/>
            <w:color w:val="000000"/>
          </w:rPr>
          <w:t>Kirana et al., 2009</w:t>
        </w:r>
      </w:hyperlink>
      <w:r w:rsidR="006F41FE">
        <w:rPr>
          <w:noProof/>
          <w:color w:val="000000"/>
        </w:rPr>
        <w:t>)</w:t>
      </w:r>
      <w:r w:rsidR="00F334EE" w:rsidRPr="00873C4C">
        <w:rPr>
          <w:color w:val="000000"/>
        </w:rPr>
        <w:fldChar w:fldCharType="end"/>
      </w:r>
      <w:r w:rsidRPr="00873C4C">
        <w:rPr>
          <w:color w:val="000000"/>
        </w:rPr>
        <w:t>.</w:t>
      </w:r>
      <w:r w:rsidR="00EE4F64" w:rsidRPr="00873C4C">
        <w:rPr>
          <w:color w:val="000000"/>
        </w:rPr>
        <w:t xml:space="preserve"> In addition in case of the minimal dyes, a system bias at low spot volumes is observed owing to the different fluorescence characteristics of acrylamide at the different wavelengths of excitation for Cy2, Cy3 and Cy5. This system bias can be greatly reduced by employing a dye swap approach; several replicate gels are run where each sample appears with the opposite labelling, i.e. gel 1 would contain pooled sample in Cy2 channel, wild type in Cy3 channel and mutant in Cy5; gel 2 would contain pooled sample Cy2 channel, mutant in the Cy3 channel and wild type in Cy5 channel) (Karp, Kreil et al. 2004).</w:t>
      </w:r>
    </w:p>
    <w:p w:rsidR="00380AC4" w:rsidRPr="00873C4C" w:rsidRDefault="00EE4F64" w:rsidP="00057B42">
      <w:pPr>
        <w:spacing w:line="360" w:lineRule="auto"/>
        <w:jc w:val="both"/>
        <w:rPr>
          <w:color w:val="000000"/>
        </w:rPr>
      </w:pPr>
      <w:r w:rsidRPr="00873C4C">
        <w:rPr>
          <w:color w:val="000000"/>
        </w:rPr>
        <w:t xml:space="preserve"> </w:t>
      </w:r>
      <w:r w:rsidR="00380AC4" w:rsidRPr="00873C4C">
        <w:rPr>
          <w:color w:val="000000"/>
        </w:rPr>
        <w:t xml:space="preserve"> </w:t>
      </w:r>
    </w:p>
    <w:p w:rsidR="00380AC4" w:rsidRDefault="00EE4F64" w:rsidP="00645687">
      <w:pPr>
        <w:pStyle w:val="Heading4"/>
      </w:pPr>
      <w:r w:rsidRPr="00873C4C">
        <w:tab/>
      </w:r>
      <w:bookmarkStart w:id="481" w:name="_Toc305759145"/>
      <w:bookmarkStart w:id="482" w:name="_Toc306570571"/>
      <w:bookmarkStart w:id="483" w:name="_Toc307067636"/>
      <w:bookmarkStart w:id="484" w:name="_Toc312169202"/>
      <w:bookmarkStart w:id="485" w:name="_Toc312172129"/>
      <w:bookmarkStart w:id="486" w:name="_Toc312257678"/>
      <w:r w:rsidR="00380AC4" w:rsidRPr="00873C4C">
        <w:t>Experimental design</w:t>
      </w:r>
      <w:bookmarkEnd w:id="481"/>
      <w:bookmarkEnd w:id="482"/>
      <w:bookmarkEnd w:id="483"/>
      <w:bookmarkEnd w:id="484"/>
      <w:bookmarkEnd w:id="485"/>
      <w:bookmarkEnd w:id="486"/>
    </w:p>
    <w:p w:rsidR="00FC55CC" w:rsidRDefault="00380AC4" w:rsidP="009A006E">
      <w:pPr>
        <w:spacing w:before="240" w:line="360" w:lineRule="auto"/>
        <w:jc w:val="both"/>
        <w:rPr>
          <w:color w:val="000000"/>
        </w:rPr>
      </w:pPr>
      <w:r w:rsidRPr="00873C4C">
        <w:rPr>
          <w:color w:val="000000"/>
        </w:rPr>
        <w:t>DIGE is a particularly powerful approach to study the changes in protein abundance in experimental studies involving comparison of multiple samples. In such studies involving the use of minimal dyes, it is desirable to label samples with either Cy3 or Cy5 minimal dyes, whereas Cy2 is used to label a pooled sample comprising equal amounts of each of the samples within the study, a</w:t>
      </w:r>
      <w:r w:rsidR="008D148E">
        <w:rPr>
          <w:color w:val="000000"/>
        </w:rPr>
        <w:t>nd acts as an internal standard</w:t>
      </w:r>
      <w:r w:rsidR="00C34A80">
        <w:rPr>
          <w:color w:val="000000"/>
        </w:rPr>
        <w:t xml:space="preserve"> </w:t>
      </w:r>
      <w:r w:rsidR="00C34A80">
        <w:rPr>
          <w:color w:val="000000"/>
        </w:rPr>
        <w:fldChar w:fldCharType="begin">
          <w:fldData xml:space="preserve">PEVuZE5vdGU+PENpdGU+PEF1dGhvcj5DYWlybnM8L0F1dGhvcj48WWVhcj4yMDExPC9ZZWFyPjxS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</w:fldData>
        </w:fldChar>
      </w:r>
      <w:r w:rsidR="00C34A80">
        <w:rPr>
          <w:color w:val="000000"/>
        </w:rPr>
        <w:instrText xml:space="preserve"> ADDIN EN.CITE </w:instrText>
      </w:r>
      <w:r w:rsidR="00C34A80">
        <w:rPr>
          <w:color w:val="000000"/>
        </w:rPr>
        <w:fldChar w:fldCharType="begin">
          <w:fldData xml:space="preserve">PEVuZE5vdGU+PENpdGU+PEF1dGhvcj5DYWlybnM8L0F1dGhvcj48WWVhcj4yMDExPC9ZZWFyPjxS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</w:fldData>
        </w:fldChar>
      </w:r>
      <w:r w:rsidR="00C34A80">
        <w:rPr>
          <w:color w:val="000000"/>
        </w:rPr>
        <w:instrText xml:space="preserve"> ADDIN EN.CITE.DATA </w:instrText>
      </w:r>
      <w:r w:rsidR="00C34A80">
        <w:rPr>
          <w:color w:val="000000"/>
        </w:rPr>
      </w:r>
      <w:r w:rsidR="00C34A80">
        <w:rPr>
          <w:color w:val="000000"/>
        </w:rPr>
        <w:fldChar w:fldCharType="end"/>
      </w:r>
      <w:r w:rsidR="00C34A80">
        <w:rPr>
          <w:color w:val="000000"/>
        </w:rPr>
      </w:r>
      <w:r w:rsidR="00C34A80">
        <w:rPr>
          <w:color w:val="000000"/>
        </w:rPr>
        <w:fldChar w:fldCharType="separate"/>
      </w:r>
      <w:r w:rsidR="00C34A80">
        <w:rPr>
          <w:noProof/>
          <w:color w:val="000000"/>
        </w:rPr>
        <w:t>(</w:t>
      </w:r>
      <w:hyperlink w:anchor="_ENREF_63" w:tooltip="Cairns, 2011 #5319" w:history="1">
        <w:r w:rsidR="004A784D">
          <w:rPr>
            <w:noProof/>
            <w:color w:val="000000"/>
          </w:rPr>
          <w:t>Cairns, 2011</w:t>
        </w:r>
      </w:hyperlink>
      <w:r w:rsidR="00C34A80">
        <w:rPr>
          <w:noProof/>
          <w:color w:val="000000"/>
        </w:rPr>
        <w:t xml:space="preserve">, </w:t>
      </w:r>
      <w:hyperlink w:anchor="_ENREF_201" w:tooltip="Karp, 2005 #5321" w:history="1">
        <w:r w:rsidR="004A784D">
          <w:rPr>
            <w:noProof/>
            <w:color w:val="000000"/>
          </w:rPr>
          <w:t>Karp and Lilley, 2005</w:t>
        </w:r>
      </w:hyperlink>
      <w:r w:rsidR="00C34A80">
        <w:rPr>
          <w:noProof/>
          <w:color w:val="000000"/>
        </w:rPr>
        <w:t>)</w:t>
      </w:r>
      <w:r w:rsidR="00C34A80">
        <w:rPr>
          <w:color w:val="000000"/>
        </w:rPr>
        <w:fldChar w:fldCharType="end"/>
      </w:r>
      <w:r w:rsidR="008D148E">
        <w:rPr>
          <w:color w:val="000000"/>
        </w:rPr>
        <w:t>.</w:t>
      </w:r>
      <w:r w:rsidRPr="00873C4C">
        <w:rPr>
          <w:color w:val="000000"/>
        </w:rPr>
        <w:t xml:space="preserve">  This ensures that all proteins present in the samples are represented, allowing both inter- and intra-gel matching. Variation in spot volumes due to gel-specific experimental factors, for example protein loss during sample entry into the immobilized pH gradient strip, will be the same for each sample within a single gel</w:t>
      </w:r>
      <w:r w:rsidR="00B5499B">
        <w:rPr>
          <w:color w:val="000000"/>
        </w:rPr>
        <w:t xml:space="preserve"> </w:t>
      </w:r>
      <w:r w:rsidR="00B5499B">
        <w:rPr>
          <w:color w:val="000000"/>
        </w:rPr>
        <w:fldChar w:fldCharType="begin"/>
      </w:r>
      <w:r w:rsidR="00B5499B">
        <w:rPr>
          <w:color w:val="000000"/>
        </w:rPr>
        <w:instrText xml:space="preserve"> ADDIN EN.CITE &lt;EndNote&gt;&lt;Cite&gt;&lt;Author&gt;Alban&lt;/Author&gt;&lt;Year&gt;2003&lt;/Year&gt;&lt;RecNum&gt;5322&lt;/RecNum&gt;&lt;DisplayText&gt;(Alban et al., 2003)&lt;/DisplayText&gt;&lt;record&gt;&lt;rec-number&gt;5322&lt;/rec-number&gt;&lt;foreign-keys&gt;&lt;key app="EN" db-id="zf0awxsaczrdd3eft5qvw9wrtxxawdfrvw2a"&gt;5322&lt;/key&gt;&lt;/foreign-keys&gt;&lt;ref-type name="Journal Article"&gt;17&lt;/ref-type&gt;&lt;contributors&gt;&lt;authors&gt;&lt;author&gt;Alban, A.&lt;/author&gt;&lt;author&gt;David, S. O.&lt;/author&gt;&lt;author&gt;Bjorkesten, L.&lt;/author&gt;&lt;author&gt;Andersson, C.&lt;/author&gt;&lt;author&gt;Sloge, E.&lt;/author&gt;&lt;author&gt;Lewis, S.&lt;/author&gt;&lt;author&gt;Currie, I.&lt;/author&gt;&lt;/authors&gt;&lt;/contributors&gt;&lt;auth-address&gt;Amersham Biosciences UK, Little Chalfont, Bucks, UK. andrew.alban@uk.amershambiosciences.com&lt;/auth-address&gt;&lt;titles&gt;&lt;title&gt;A novel experimental design for comparative two-dimensional gel analysis: two-dimensional difference gel electrophoresis incorporating a pooled internal standard&lt;/title&gt;&lt;secondary-title&gt;Proteomics&lt;/secondary-title&gt;&lt;/titles&gt;&lt;periodical&gt;&lt;full-title&gt;Proteomics&lt;/full-title&gt;&lt;/periodical&gt;&lt;pages&gt;36-44&lt;/pages&gt;&lt;volume&gt;3&lt;/volume&gt;&lt;number&gt;1&lt;/number&gt;&lt;edition&gt;2003/01/28&lt;/edition&gt;&lt;keywords&gt;&lt;keyword&gt;Electrophoresis, Gel, Two-Dimensional/*methods/*standards&lt;/keyword&gt;&lt;keyword&gt;Escherichia coli Proteins/genetics/isolation &amp;amp; purification&lt;/keyword&gt;&lt;keyword&gt;Image Processing, Computer-Assisted&lt;/keyword&gt;&lt;keyword&gt;Protein Array Analysis&lt;/keyword&gt;&lt;keyword&gt;Proteomics/*methods/*standards&lt;/keyword&gt;&lt;keyword&gt;Reference Standards&lt;/keyword&gt;&lt;/keywords&gt;&lt;dates&gt;&lt;year&gt;2003&lt;/year&gt;&lt;pub-dates&gt;&lt;date&gt;Jan&lt;/date&gt;&lt;/pub-dates&gt;&lt;/dates&gt;&lt;isbn&gt;1615-9853 (Print)&amp;#xD;1615-9853 (Linking)&lt;/isbn&gt;&lt;accession-num&gt;12548632&lt;/accession-num&gt;&lt;urls&gt;&lt;related-urls&gt;&lt;url&gt;http://www.ncbi.nlm.nih.gov/pubmed/12548632&lt;/url&gt;&lt;/related-urls&gt;&lt;/urls&gt;&lt;electronic-resource-num&gt;10.1002/pmic.200390006&lt;/electronic-resource-num&gt;&lt;language&gt;eng&lt;/language&gt;&lt;/record&gt;&lt;/Cite&gt;&lt;/EndNote&gt;</w:instrText>
      </w:r>
      <w:r w:rsidR="00B5499B">
        <w:rPr>
          <w:color w:val="000000"/>
        </w:rPr>
        <w:fldChar w:fldCharType="separate"/>
      </w:r>
      <w:r w:rsidR="00B5499B">
        <w:rPr>
          <w:noProof/>
          <w:color w:val="000000"/>
        </w:rPr>
        <w:t>(</w:t>
      </w:r>
      <w:hyperlink w:anchor="_ENREF_10" w:tooltip="Alban, 2003 #5322" w:history="1">
        <w:r w:rsidR="004A784D">
          <w:rPr>
            <w:noProof/>
            <w:color w:val="000000"/>
          </w:rPr>
          <w:t>Alban et al., 2003</w:t>
        </w:r>
      </w:hyperlink>
      <w:r w:rsidR="00B5499B">
        <w:rPr>
          <w:noProof/>
          <w:color w:val="000000"/>
        </w:rPr>
        <w:t>)</w:t>
      </w:r>
      <w:r w:rsidR="00B5499B">
        <w:rPr>
          <w:color w:val="000000"/>
        </w:rPr>
        <w:fldChar w:fldCharType="end"/>
      </w:r>
      <w:r w:rsidRPr="00873C4C">
        <w:rPr>
          <w:color w:val="000000"/>
        </w:rPr>
        <w:t>. Consequently, the relative amount of a protein in a gel in one sample compared with another will be unaffected</w:t>
      </w:r>
      <w:r w:rsidR="00C34A80">
        <w:rPr>
          <w:color w:val="000000"/>
        </w:rPr>
        <w:t xml:space="preserve"> </w:t>
      </w:r>
      <w:r w:rsidR="00C34A80">
        <w:rPr>
          <w:color w:val="000000"/>
        </w:rPr>
        <w:fldChar w:fldCharType="begin"/>
      </w:r>
      <w:r w:rsidR="00C34A80">
        <w:rPr>
          <w:color w:val="000000"/>
        </w:rPr>
        <w:instrText xml:space="preserve"> ADDIN EN.CITE &lt;EndNote&gt;&lt;Cite&gt;&lt;Author&gt;Kikuta&lt;/Author&gt;&lt;Year&gt;2010&lt;/Year&gt;&lt;RecNum&gt;5320&lt;/RecNum&gt;&lt;DisplayText&gt;(Kikuta et al., 2010)&lt;/DisplayText&gt;&lt;record&gt;&lt;rec-number&gt;5320&lt;/rec-number&gt;&lt;foreign-keys&gt;&lt;key app="EN" db-id="zf0awxsaczrdd3eft5qvw9wrtxxawdfrvw2a"&gt;5320&lt;/key&gt;&lt;/foreign-keys&gt;&lt;ref-type name="Journal Article"&gt;17&lt;/ref-type&gt;&lt;contributors&gt;&lt;authors&gt;&lt;author&gt;Kikuta, K.&lt;/author&gt;&lt;author&gt;Tochigi, N.&lt;/author&gt;&lt;author&gt;Saito, S.&lt;/author&gt;&lt;author&gt;Shimoda, T.&lt;/author&gt;&lt;author&gt;Morioka, H.&lt;/author&gt;&lt;author&gt;Toyama, Y.&lt;/author&gt;&lt;author&gt;Hosono, A.&lt;/author&gt;&lt;author&gt;Suehara, Y.&lt;/author&gt;&lt;author&gt;Beppu, Y.&lt;/author&gt;&lt;author&gt;Kawai, A.&lt;/author&gt;&lt;author&gt;Hirohashi, S.&lt;/author&gt;&lt;author&gt;Kondo, T.&lt;/author&gt;&lt;/authors&gt;&lt;/contributors&gt;&lt;auth-address&gt;Proteome Bioinformatics Project, National Cancer Center Research Institute, Tokyo, Japan.&lt;/auth-address&gt;&lt;titles&gt;&lt;title&gt;Peroxiredoxin 2 as a chemotherapy responsiveness biomarker candidate in osteosarcoma revealed by proteomics&lt;/title&gt;&lt;secondary-title&gt;Proteomics Clin Appl&lt;/secondary-title&gt;&lt;/titles&gt;&lt;periodical&gt;&lt;full-title&gt;Proteomics Clin Appl&lt;/full-title&gt;&lt;/periodical&gt;&lt;pages&gt;560-7&lt;/pages&gt;&lt;volume&gt;4&lt;/volume&gt;&lt;number&gt;5&lt;/number&gt;&lt;edition&gt;2010/12/08&lt;/edition&gt;&lt;keywords&gt;&lt;keyword&gt;Adolescent&lt;/keyword&gt;&lt;keyword&gt;Adult&lt;/keyword&gt;&lt;keyword&gt;Bone Neoplasms/*drug therapy/metabolism&lt;/keyword&gt;&lt;keyword&gt;Child&lt;/keyword&gt;&lt;keyword&gt;Female&lt;/keyword&gt;&lt;keyword&gt;Gene Expression Profiling&lt;/keyword&gt;&lt;keyword&gt;Humans&lt;/keyword&gt;&lt;keyword&gt;Male&lt;/keyword&gt;&lt;keyword&gt;Osteosarcoma/*drug therapy/metabolism&lt;/keyword&gt;&lt;keyword&gt;Peroxiredoxins/*metabolism&lt;/keyword&gt;&lt;keyword&gt;Prognosis&lt;/keyword&gt;&lt;keyword&gt;Proteomics/methods&lt;/keyword&gt;&lt;keyword&gt;Tumor Markers, Biological/metabolism&lt;/keyword&gt;&lt;/keywords&gt;&lt;dates&gt;&lt;year&gt;2010&lt;/year&gt;&lt;pub-dates&gt;&lt;date&gt;May&lt;/date&gt;&lt;/pub-dates&gt;&lt;/dates&gt;&lt;isbn&gt;1862-8354 (Electronic)&amp;#xD;1862-8346 (Linking)&lt;/isbn&gt;&lt;accession-num&gt;21137073&lt;/accession-num&gt;&lt;urls&gt;&lt;related-urls&gt;&lt;url&gt;http://www.ncbi.nlm.nih.gov/pubmed/21137073&lt;/url&gt;&lt;/related-urls&gt;&lt;/urls&gt;&lt;electronic-resource-num&gt;10.1002/prca.200900172&lt;/electronic-resource-num&gt;&lt;language&gt;eng&lt;/language&gt;&lt;/record&gt;&lt;/Cite&gt;&lt;/EndNote&gt;</w:instrText>
      </w:r>
      <w:r w:rsidR="00C34A80">
        <w:rPr>
          <w:color w:val="000000"/>
        </w:rPr>
        <w:fldChar w:fldCharType="separate"/>
      </w:r>
      <w:r w:rsidR="00C34A80">
        <w:rPr>
          <w:noProof/>
          <w:color w:val="000000"/>
        </w:rPr>
        <w:t>(</w:t>
      </w:r>
      <w:hyperlink w:anchor="_ENREF_209" w:tooltip="Kikuta, 2010 #5320" w:history="1">
        <w:r w:rsidR="004A784D">
          <w:rPr>
            <w:noProof/>
            <w:color w:val="000000"/>
          </w:rPr>
          <w:t>Kikuta et al., 2010</w:t>
        </w:r>
      </w:hyperlink>
      <w:r w:rsidR="00C34A80">
        <w:rPr>
          <w:noProof/>
          <w:color w:val="000000"/>
        </w:rPr>
        <w:t>)</w:t>
      </w:r>
      <w:r w:rsidR="00C34A80">
        <w:rPr>
          <w:color w:val="000000"/>
        </w:rPr>
        <w:fldChar w:fldCharType="end"/>
      </w:r>
      <w:r w:rsidRPr="00873C4C">
        <w:rPr>
          <w:color w:val="000000"/>
        </w:rPr>
        <w:t>.  The spot volumes are normalized for dye discrepancy, arising from differences in laser intensities, fluorescence, and filter transmittance, using a method based on the assumption that the majority of protein spots have not changed in expression level</w:t>
      </w:r>
      <w:r w:rsidR="00B5499B">
        <w:rPr>
          <w:color w:val="000000"/>
        </w:rPr>
        <w:t xml:space="preserve"> </w:t>
      </w:r>
      <w:r w:rsidR="00B5499B">
        <w:rPr>
          <w:color w:val="000000"/>
        </w:rPr>
        <w:fldChar w:fldCharType="begin"/>
      </w:r>
      <w:r w:rsidR="00B5499B">
        <w:rPr>
          <w:color w:val="000000"/>
        </w:rPr>
        <w:instrText xml:space="preserve"> ADDIN EN.CITE &lt;EndNote&gt;&lt;Cite&gt;&lt;Author&gt;Alban&lt;/Author&gt;&lt;Year&gt;2003&lt;/Year&gt;&lt;RecNum&gt;5322&lt;/RecNum&gt;&lt;DisplayText&gt;(Alban et al., 2003)&lt;/DisplayText&gt;&lt;record&gt;&lt;rec-number&gt;5322&lt;/rec-number&gt;&lt;foreign-keys&gt;&lt;key app="EN" db-id="zf0awxsaczrdd3eft5qvw9wrtxxawdfrvw2a"&gt;5322&lt;/key&gt;&lt;/foreign-keys&gt;&lt;ref-type name="Journal Article"&gt;17&lt;/ref-type&gt;&lt;contributors&gt;&lt;authors&gt;&lt;author&gt;Alban, A.&lt;/author&gt;&lt;author&gt;David, S. O.&lt;/author&gt;&lt;author&gt;Bjorkesten, L.&lt;/author&gt;&lt;author&gt;Andersson, C.&lt;/author&gt;&lt;author&gt;Sloge, E.&lt;/author&gt;&lt;author&gt;Lewis, S.&lt;/author&gt;&lt;author&gt;Currie, I.&lt;/author&gt;&lt;/authors&gt;&lt;/contributors&gt;&lt;auth-address&gt;Amersham Biosciences UK, Little Chalfont, Bucks, UK. andrew.alban@uk.amershambiosciences.com&lt;/auth-address&gt;&lt;titles&gt;&lt;title&gt;A novel experimental design for comparative two-dimensional gel analysis: two-dimensional difference gel electrophoresis incorporating a pooled internal standard&lt;/title&gt;&lt;secondary-title&gt;Proteomics&lt;/secondary-title&gt;&lt;/titles&gt;&lt;periodical&gt;&lt;full-title&gt;Proteomics&lt;/full-title&gt;&lt;/periodical&gt;&lt;pages&gt;36-44&lt;/pages&gt;&lt;volume&gt;3&lt;/volume&gt;&lt;number&gt;1&lt;/number&gt;&lt;edition&gt;2003/01/28&lt;/edition&gt;&lt;keywords&gt;&lt;keyword&gt;Electrophoresis, Gel, Two-Dimensional/*methods/*standards&lt;/keyword&gt;&lt;keyword&gt;Escherichia coli Proteins/genetics/isolation &amp;amp; purification&lt;/keyword&gt;&lt;keyword&gt;Image Processing, Computer-Assisted&lt;/keyword&gt;&lt;keyword&gt;Protein Array Analysis&lt;/keyword&gt;&lt;keyword&gt;Proteomics/*methods/*standards&lt;/keyword&gt;&lt;keyword&gt;Reference Standards&lt;/keyword&gt;&lt;/keywords&gt;&lt;dates&gt;&lt;year&gt;2003&lt;/year&gt;&lt;pub-dates&gt;&lt;date&gt;Jan&lt;/date&gt;&lt;/pub-dates&gt;&lt;/dates&gt;&lt;isbn&gt;1615-9853 (Print)&amp;#xD;1615-9853 (Linking)&lt;/isbn&gt;&lt;accession-num&gt;12548632&lt;/accession-num&gt;&lt;urls&gt;&lt;related-urls&gt;&lt;url&gt;http://www.ncbi.nlm.nih.gov/pubmed/12548632&lt;/url&gt;&lt;/related-urls&gt;&lt;/urls&gt;&lt;electronic-resource-num&gt;10.1002/pmic.200390006&lt;/electronic-resource-num&gt;&lt;language&gt;eng&lt;/language&gt;&lt;/record&gt;&lt;/Cite&gt;&lt;/EndNote&gt;</w:instrText>
      </w:r>
      <w:r w:rsidR="00B5499B">
        <w:rPr>
          <w:color w:val="000000"/>
        </w:rPr>
        <w:fldChar w:fldCharType="separate"/>
      </w:r>
      <w:r w:rsidR="00B5499B">
        <w:rPr>
          <w:noProof/>
          <w:color w:val="000000"/>
        </w:rPr>
        <w:t>(</w:t>
      </w:r>
      <w:hyperlink w:anchor="_ENREF_10" w:tooltip="Alban, 2003 #5322" w:history="1">
        <w:r w:rsidR="004A784D">
          <w:rPr>
            <w:noProof/>
            <w:color w:val="000000"/>
          </w:rPr>
          <w:t>Alban et al., 2003</w:t>
        </w:r>
      </w:hyperlink>
      <w:r w:rsidR="00B5499B">
        <w:rPr>
          <w:noProof/>
          <w:color w:val="000000"/>
        </w:rPr>
        <w:t>)</w:t>
      </w:r>
      <w:r w:rsidR="00B5499B">
        <w:rPr>
          <w:color w:val="000000"/>
        </w:rPr>
        <w:fldChar w:fldCharType="end"/>
      </w:r>
      <w:r w:rsidR="00B5499B">
        <w:rPr>
          <w:color w:val="000000"/>
        </w:rPr>
        <w:t>.</w:t>
      </w: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9A006E" w:rsidRDefault="009A006E" w:rsidP="00057B42">
      <w:pPr>
        <w:spacing w:line="360" w:lineRule="auto"/>
        <w:jc w:val="both"/>
        <w:rPr>
          <w:color w:val="000000"/>
        </w:rPr>
      </w:pPr>
    </w:p>
    <w:p w:rsidR="00757FDC" w:rsidRPr="00873C4C" w:rsidRDefault="00757FDC" w:rsidP="00057B42">
      <w:pPr>
        <w:spacing w:line="360" w:lineRule="auto"/>
        <w:jc w:val="both"/>
        <w:rPr>
          <w:color w:val="000000"/>
        </w:rPr>
      </w:pPr>
    </w:p>
    <w:p w:rsidR="00FC55CC" w:rsidRDefault="008D148E" w:rsidP="009A006E">
      <w:pPr>
        <w:pStyle w:val="Heading5"/>
        <w:tabs>
          <w:tab w:val="left" w:pos="1418"/>
        </w:tabs>
        <w:spacing w:line="360" w:lineRule="auto"/>
        <w:ind w:left="0" w:firstLine="0"/>
      </w:pPr>
      <w:r>
        <w:lastRenderedPageBreak/>
        <w:tab/>
      </w:r>
      <w:r w:rsidR="00FC55CC" w:rsidRPr="00873C4C">
        <w:t>DeCyder software for the DIGE system</w:t>
      </w:r>
    </w:p>
    <w:p w:rsidR="002908A3" w:rsidRDefault="00380AC4" w:rsidP="009A006E">
      <w:pPr>
        <w:spacing w:before="240" w:line="360" w:lineRule="auto"/>
        <w:jc w:val="both"/>
        <w:rPr>
          <w:color w:val="000000"/>
          <w:lang w:val="en"/>
        </w:rPr>
      </w:pPr>
      <w:r w:rsidRPr="00873C4C">
        <w:rPr>
          <w:color w:val="000000"/>
        </w:rPr>
        <w:t xml:space="preserve">The spot volumes from the labelled samples are compared to the internal standard giving standardised abundances, which allows the variation in spot running success to be taken into consideration. For the analysis, software developed for the DIGE system (DeCyderTM by Amersham Bioscience, Sweden) is typically used. This software has a co-detection algorithm that simultaneously detects labelled protein spots from images that arise from the same gel and increases accuracy in the quantification of standardized abundance (Alban, David et al. 2003). The recent addition of DeCyder Extended Data Analysis (EDA) software now allows </w:t>
      </w:r>
      <w:r w:rsidRPr="00873C4C">
        <w:rPr>
          <w:color w:val="000000"/>
          <w:lang w:val="en"/>
        </w:rPr>
        <w:t xml:space="preserve">multivariate analysis and sophisticated clustering methods to uncover patterns in protein expression data derived from </w:t>
      </w:r>
      <w:r w:rsidR="002968BA">
        <w:rPr>
          <w:color w:val="000000"/>
          <w:lang w:val="en"/>
        </w:rPr>
        <w:t>2D-DIGE</w:t>
      </w:r>
      <w:r w:rsidRPr="00873C4C">
        <w:rPr>
          <w:color w:val="000000"/>
          <w:lang w:val="en"/>
        </w:rPr>
        <w:t xml:space="preserve"> experiments</w:t>
      </w:r>
      <w:r w:rsidR="008D148E">
        <w:rPr>
          <w:color w:val="000000"/>
          <w:lang w:val="en"/>
        </w:rPr>
        <w:t>.</w:t>
      </w:r>
      <w:r w:rsidR="00EE4F64" w:rsidRPr="00873C4C">
        <w:rPr>
          <w:color w:val="000000"/>
          <w:lang w:val="en"/>
        </w:rPr>
        <w:t xml:space="preserve"> </w:t>
      </w:r>
    </w:p>
    <w:p w:rsidR="002908A3" w:rsidRDefault="002908A3" w:rsidP="00057B42">
      <w:pPr>
        <w:spacing w:line="360" w:lineRule="auto"/>
        <w:jc w:val="both"/>
        <w:rPr>
          <w:color w:val="000000"/>
          <w:lang w:val="en"/>
        </w:rPr>
      </w:pPr>
    </w:p>
    <w:p w:rsidR="00380AC4" w:rsidRPr="00873C4C" w:rsidRDefault="00380AC4" w:rsidP="00057B42">
      <w:pPr>
        <w:spacing w:line="360" w:lineRule="auto"/>
        <w:jc w:val="both"/>
        <w:rPr>
          <w:color w:val="000000"/>
        </w:rPr>
      </w:pPr>
      <w:r w:rsidRPr="00873C4C">
        <w:rPr>
          <w:color w:val="000000"/>
        </w:rPr>
        <w:t xml:space="preserve">The standardised abundances can then be compared across groups to detect changes in protein expression. In the case of the saturation dyes, where a Cy2 label is not available, the internal standard is labelled with one of the dyes and individual samples appear on separate gels labelled with the other dyes. This approach reduces the extent of multiplexing and increases the number of gels within a comparative experiment. (Shaw, Rowlinson et al. 2003) </w:t>
      </w:r>
    </w:p>
    <w:p w:rsidR="00C241AC" w:rsidRDefault="00C241AC" w:rsidP="00057B42">
      <w:pPr>
        <w:spacing w:line="360" w:lineRule="auto"/>
        <w:jc w:val="both"/>
        <w:rPr>
          <w:color w:val="000000"/>
        </w:rPr>
      </w:pPr>
    </w:p>
    <w:p w:rsidR="00057B42" w:rsidRDefault="00380AC4" w:rsidP="00057B42">
      <w:pPr>
        <w:spacing w:line="360" w:lineRule="auto"/>
        <w:jc w:val="both"/>
        <w:rPr>
          <w:color w:val="000000"/>
        </w:rPr>
      </w:pPr>
      <w:r w:rsidRPr="00873C4C">
        <w:rPr>
          <w:color w:val="000000"/>
        </w:rPr>
        <w:t>The design of a protein profiling analysis experiment using DIGE is crucial to the amount of statistical significance</w:t>
      </w:r>
      <w:r w:rsidR="00FC55CC" w:rsidRPr="00873C4C">
        <w:rPr>
          <w:color w:val="000000"/>
        </w:rPr>
        <w:t xml:space="preserve"> that can be placed on the data</w:t>
      </w:r>
      <w:r w:rsidRPr="00873C4C">
        <w:rPr>
          <w:color w:val="000000"/>
        </w:rPr>
        <w:t xml:space="preserve">. Consideration must be given to methods employed to assess both biological and experimental noise within the system being studied and ample biological and technical replicates must be processed. </w:t>
      </w:r>
    </w:p>
    <w:p w:rsidR="00057B42" w:rsidRDefault="00057B42" w:rsidP="00057B42">
      <w:pPr>
        <w:spacing w:line="360" w:lineRule="auto"/>
        <w:jc w:val="both"/>
        <w:rPr>
          <w:color w:val="000000"/>
        </w:rPr>
      </w:pPr>
    </w:p>
    <w:p w:rsidR="00FC55CC" w:rsidRPr="00873C4C" w:rsidRDefault="00380AC4" w:rsidP="00057B42">
      <w:pPr>
        <w:spacing w:line="360" w:lineRule="auto"/>
        <w:jc w:val="both"/>
        <w:rPr>
          <w:color w:val="000000"/>
        </w:rPr>
      </w:pPr>
      <w:r w:rsidRPr="00873C4C">
        <w:rPr>
          <w:color w:val="000000"/>
        </w:rPr>
        <w:t xml:space="preserve">It is essential to measure the experimental variation in the DIGE process for any new set of samples. This can be achieved by running sets of gels where the same sample is labelled with all dyes to be used, loaded onto one gel and fully analysed. This will also give an indication of the inherent error of the system and suggest the threshold of significance or a fold change above which true changes in expression can be measured. </w:t>
      </w:r>
    </w:p>
    <w:p w:rsidR="00511B10" w:rsidRPr="00873C4C" w:rsidRDefault="00ED7D82" w:rsidP="00057B42">
      <w:pPr>
        <w:keepNext/>
        <w:spacing w:line="360" w:lineRule="auto"/>
        <w:jc w:val="center"/>
        <w:rPr>
          <w:color w:val="000000"/>
        </w:rPr>
      </w:pPr>
      <w:r>
        <w:rPr>
          <w:noProof/>
          <w:color w:val="000000"/>
          <w:lang w:eastAsia="en-IE"/>
        </w:rPr>
        <w:lastRenderedPageBreak/>
        <w:drawing>
          <wp:inline distT="0" distB="0" distL="0" distR="0" wp14:anchorId="5AB84D21" wp14:editId="6B73C4E6">
            <wp:extent cx="2527300" cy="27432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7300" cy="2743200"/>
                    </a:xfrm>
                    <a:prstGeom prst="rect">
                      <a:avLst/>
                    </a:prstGeom>
                    <a:noFill/>
                    <a:ln>
                      <a:noFill/>
                    </a:ln>
                  </pic:spPr>
                </pic:pic>
              </a:graphicData>
            </a:graphic>
          </wp:inline>
        </w:drawing>
      </w:r>
    </w:p>
    <w:p w:rsidR="00FC55CC" w:rsidRDefault="00511B10" w:rsidP="00057B42">
      <w:pPr>
        <w:pStyle w:val="Caption"/>
        <w:pBdr>
          <w:bottom w:val="single" w:sz="12" w:space="1" w:color="auto"/>
        </w:pBdr>
        <w:jc w:val="both"/>
        <w:rPr>
          <w:color w:val="000000"/>
          <w:szCs w:val="24"/>
        </w:rPr>
      </w:pPr>
      <w:bookmarkStart w:id="487" w:name="_Toc260927160"/>
      <w:bookmarkStart w:id="488" w:name="_Toc304195968"/>
      <w:r w:rsidRPr="00873C4C">
        <w:rPr>
          <w:color w:val="000000"/>
        </w:rPr>
        <w:t xml:space="preserve">Figure </w:t>
      </w:r>
      <w:r w:rsidR="008A68DC">
        <w:rPr>
          <w:color w:val="000000"/>
        </w:rPr>
        <w:fldChar w:fldCharType="begin"/>
      </w:r>
      <w:r w:rsidR="008A68DC">
        <w:rPr>
          <w:color w:val="000000"/>
        </w:rPr>
        <w:instrText xml:space="preserve"> STYLEREF 1 \s </w:instrText>
      </w:r>
      <w:r w:rsidR="008A68DC">
        <w:rPr>
          <w:color w:val="000000"/>
        </w:rPr>
        <w:fldChar w:fldCharType="separate"/>
      </w:r>
      <w:r w:rsidR="0081644B">
        <w:rPr>
          <w:noProof/>
          <w:color w:val="000000"/>
        </w:rPr>
        <w:t>1</w:t>
      </w:r>
      <w:r w:rsidR="008A68DC">
        <w:rPr>
          <w:color w:val="000000"/>
        </w:rPr>
        <w:fldChar w:fldCharType="end"/>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10</w:t>
      </w:r>
      <w:r w:rsidR="008A68DC">
        <w:rPr>
          <w:color w:val="000000"/>
        </w:rPr>
        <w:fldChar w:fldCharType="end"/>
      </w:r>
      <w:r w:rsidRPr="00873C4C">
        <w:rPr>
          <w:color w:val="000000"/>
        </w:rPr>
        <w:t xml:space="preserve"> </w:t>
      </w:r>
      <w:r w:rsidRPr="00873C4C">
        <w:rPr>
          <w:color w:val="000000"/>
          <w:szCs w:val="24"/>
        </w:rPr>
        <w:t xml:space="preserve">showing labelling of sample with spectrally resolvable fluorescent dyes Cy2, Cy3 and Cy5. This diagram is </w:t>
      </w:r>
      <w:r w:rsidR="00786E08" w:rsidRPr="00873C4C">
        <w:rPr>
          <w:color w:val="000000"/>
          <w:szCs w:val="24"/>
        </w:rPr>
        <w:t>adopted</w:t>
      </w:r>
      <w:r w:rsidRPr="00873C4C">
        <w:rPr>
          <w:color w:val="000000"/>
          <w:szCs w:val="24"/>
        </w:rPr>
        <w:t xml:space="preserve"> from</w:t>
      </w:r>
      <w:r w:rsidR="009F5E22">
        <w:rPr>
          <w:color w:val="000000"/>
          <w:szCs w:val="24"/>
        </w:rPr>
        <w:t xml:space="preserve"> </w:t>
      </w:r>
      <w:r w:rsidR="009F5E22" w:rsidRPr="009F5E22">
        <w:rPr>
          <w:color w:val="000000"/>
          <w:szCs w:val="24"/>
        </w:rPr>
        <w:t>Principles and Methods; GE Healthcare</w:t>
      </w:r>
      <w:r w:rsidRPr="00873C4C">
        <w:rPr>
          <w:color w:val="000000"/>
          <w:szCs w:val="24"/>
        </w:rPr>
        <w:t xml:space="preserve"> website.</w:t>
      </w:r>
      <w:bookmarkEnd w:id="487"/>
      <w:bookmarkEnd w:id="488"/>
      <w:r w:rsidR="009F5E22">
        <w:rPr>
          <w:color w:val="000000"/>
          <w:szCs w:val="24"/>
        </w:rPr>
        <w:t xml:space="preserve"> </w:t>
      </w:r>
      <w:r w:rsidR="00C46C49" w:rsidRPr="00D74982">
        <w:t>(</w:t>
      </w:r>
      <w:hyperlink r:id="rId22" w:history="1">
        <w:r w:rsidR="00C46C49" w:rsidRPr="00D74982">
          <w:rPr>
            <w:rStyle w:val="Hyperlink"/>
          </w:rPr>
          <w:t>http://</w:t>
        </w:r>
        <w:r w:rsidR="009F5E22" w:rsidRPr="009F5E22">
          <w:t xml:space="preserve"> </w:t>
        </w:r>
        <w:r w:rsidR="009F5E22" w:rsidRPr="009F5E22">
          <w:rPr>
            <w:rStyle w:val="Hyperlink"/>
          </w:rPr>
          <w:t>www.gelifescience.com</w:t>
        </w:r>
      </w:hyperlink>
      <w:r w:rsidR="00C46C49" w:rsidRPr="00D74982">
        <w:t>).</w:t>
      </w:r>
      <w:r w:rsidRPr="00873C4C">
        <w:rPr>
          <w:color w:val="000000"/>
          <w:szCs w:val="24"/>
        </w:rPr>
        <w:t xml:space="preserve"> </w:t>
      </w:r>
    </w:p>
    <w:p w:rsidR="00057B42" w:rsidRDefault="00057B42" w:rsidP="00057B42"/>
    <w:p w:rsidR="00057B42" w:rsidRPr="00057B42" w:rsidRDefault="00057B42" w:rsidP="00057B42"/>
    <w:p w:rsidR="00E210A3" w:rsidRPr="00873C4C" w:rsidRDefault="00E210A3" w:rsidP="00057B42">
      <w:pPr>
        <w:spacing w:line="360" w:lineRule="auto"/>
        <w:jc w:val="both"/>
        <w:rPr>
          <w:color w:val="000000"/>
          <w:lang w:val="en-GB"/>
        </w:rPr>
      </w:pPr>
      <w:r w:rsidRPr="00873C4C">
        <w:rPr>
          <w:color w:val="000000"/>
        </w:rPr>
        <w:t>2D-DIGE is capable of resolving thousands of protein spot features in a single separation</w:t>
      </w:r>
      <w:r w:rsidRPr="00873C4C">
        <w:rPr>
          <w:color w:val="000000"/>
        </w:rPr>
        <w:fldChar w:fldCharType="begin"/>
      </w:r>
      <w:r w:rsidR="006F41FE">
        <w:rPr>
          <w:color w:val="000000"/>
        </w:rPr>
        <w:instrText xml:space="preserve"> ADDIN EN.CITE &lt;EndNote&gt;&lt;Cite&gt;&lt;Author&gt;Von Eggeling&lt;/Author&gt;&lt;Year&gt;2001&lt;/Year&gt;&lt;RecNum&gt;277&lt;/RecNum&gt;&lt;DisplayText&gt;(Von Eggeling et al., 2001)&lt;/DisplayText&gt;&lt;record&gt;&lt;rec-number&gt;277&lt;/rec-number&gt;&lt;ref-type name="Journal Article"&gt;17&lt;/ref-type&gt;&lt;contributors&gt;&lt;authors&gt;&lt;author&gt;Von Eggeling, F.&lt;/author&gt;&lt;author&gt;Gawriljuk, A.&lt;/author&gt;&lt;author&gt;Fiedler, W.&lt;/author&gt;&lt;author&gt;Ernst, G.&lt;/author&gt;&lt;author&gt;Claussen, U.&lt;/author&gt;&lt;author&gt;Klose, J.&lt;/author&gt;&lt;author&gt;Romer, I.&lt;/author&gt;&lt;/authors&gt;&lt;/contributors&gt;&lt;auth-address&gt;Institut fur Humangenetik und Anthropologie, Kollegiengasse 10, D-07740 Jena, Germany. fegg@mti-n.uni-jena.de&lt;/auth-address&gt;&lt;titles&gt;&lt;title&gt;Fluorescent dual colour 2D-protein gel electrophoresis for rapid detection of differences in protein pattern with standard image analysis software&lt;/title&gt;&lt;secondary-title&gt;Int J Mol Med&lt;/secondary-title&gt;&lt;/titles&gt;&lt;periodical&gt;&lt;full-title&gt;Int J Mol Med&lt;/full-title&gt;&lt;/periodical&gt;&lt;pages&gt;373-7&lt;/pages&gt;&lt;volume&gt;8&lt;/volume&gt;&lt;number&gt;4&lt;/number&gt;&lt;keywords&gt;&lt;keyword&gt;Electrophoresis, Gel, Two-Dimensional/*methods&lt;/keyword&gt;&lt;keyword&gt;*Fluorescent Dyes&lt;/keyword&gt;&lt;keyword&gt;Humans&lt;/keyword&gt;&lt;keyword&gt;Image Processing, Computer-Assisted&lt;/keyword&gt;&lt;keyword&gt;Proteins/*analysis&lt;/keyword&gt;&lt;keyword&gt;Sensitivity and Specificity&lt;/keyword&gt;&lt;keyword&gt;*Software&lt;/keyword&gt;&lt;keyword&gt;Tumor Cells, Cultured&lt;/keyword&gt;&lt;/keywords&gt;&lt;dates&gt;&lt;year&gt;2001&lt;/year&gt;&lt;pub-dates&gt;&lt;date&gt;Oct&lt;/date&gt;&lt;/pub-dates&gt;&lt;/dates&gt;&lt;accession-num&gt;11562774&lt;/accession-num&gt;&lt;urls&gt;&lt;related-urls&gt;&lt;url&gt;http://www.ncbi.nlm.nih.gov/entrez/query.fcgi?cmd=Retrieve&amp;amp;db=PubMed&amp;amp;dopt=Citation&amp;amp;list_uids=11562774 &lt;/url&gt;&lt;/related-urls&gt;&lt;/urls&gt;&lt;/record&gt;&lt;/Cite&gt;&lt;/EndNote&gt;</w:instrText>
      </w:r>
      <w:r w:rsidRPr="00873C4C">
        <w:rPr>
          <w:color w:val="000000"/>
        </w:rPr>
        <w:fldChar w:fldCharType="separate"/>
      </w:r>
      <w:r w:rsidR="006F41FE">
        <w:rPr>
          <w:noProof/>
          <w:color w:val="000000"/>
        </w:rPr>
        <w:t>(</w:t>
      </w:r>
      <w:hyperlink w:anchor="_ENREF_441" w:tooltip="Von Eggeling, 2001 #277" w:history="1">
        <w:r w:rsidR="004A784D">
          <w:rPr>
            <w:noProof/>
            <w:color w:val="000000"/>
          </w:rPr>
          <w:t>Von Eggeling et al., 2001</w:t>
        </w:r>
      </w:hyperlink>
      <w:r w:rsidR="006F41FE">
        <w:rPr>
          <w:noProof/>
          <w:color w:val="000000"/>
        </w:rPr>
        <w:t>)</w:t>
      </w:r>
      <w:r w:rsidRPr="00873C4C">
        <w:rPr>
          <w:color w:val="000000"/>
        </w:rPr>
        <w:fldChar w:fldCharType="end"/>
      </w:r>
      <w:r w:rsidRPr="00873C4C">
        <w:rPr>
          <w:color w:val="000000"/>
        </w:rPr>
        <w:t xml:space="preserve">. </w:t>
      </w:r>
      <w:r w:rsidRPr="00873C4C">
        <w:rPr>
          <w:color w:val="000000"/>
          <w:lang w:val="en-GB"/>
        </w:rPr>
        <w:t>Proteins that are common to the samples appear as 'spots' with a fixed ratio of fluorescent signals, whereas proteins that differ between the samples have different fluor</w:t>
      </w:r>
      <w:r w:rsidR="00CA4D66">
        <w:rPr>
          <w:color w:val="000000"/>
          <w:lang w:val="en-GB"/>
        </w:rPr>
        <w:t>escence ratios. With the appropriate imaging system,</w:t>
      </w:r>
      <w:r w:rsidRPr="00873C4C">
        <w:rPr>
          <w:color w:val="000000"/>
          <w:lang w:val="en-GB"/>
        </w:rPr>
        <w:t xml:space="preserve"> </w:t>
      </w:r>
      <w:r w:rsidRPr="00873C4C">
        <w:rPr>
          <w:color w:val="000000"/>
        </w:rPr>
        <w:t xml:space="preserve">2D-DIGE </w:t>
      </w:r>
      <w:r w:rsidRPr="00873C4C">
        <w:rPr>
          <w:color w:val="000000"/>
          <w:lang w:val="en-GB"/>
        </w:rPr>
        <w:t xml:space="preserve">is capable of reliably detecting as little as 0.5 </w:t>
      </w:r>
      <w:r w:rsidR="00CA4D66">
        <w:rPr>
          <w:rStyle w:val="st"/>
        </w:rPr>
        <w:t>femtomole</w:t>
      </w:r>
      <w:r w:rsidRPr="00873C4C">
        <w:rPr>
          <w:color w:val="000000"/>
          <w:lang w:val="en-GB"/>
        </w:rPr>
        <w:t xml:space="preserve"> of protein, and protein differences down to +/- 15%, over a &gt;10,000-fold protein concentration range. </w:t>
      </w:r>
      <w:r w:rsidR="002968BA">
        <w:rPr>
          <w:color w:val="000000"/>
          <w:lang w:val="en-GB"/>
        </w:rPr>
        <w:t>2D-DIGE</w:t>
      </w:r>
      <w:r w:rsidRPr="00873C4C">
        <w:rPr>
          <w:color w:val="000000"/>
          <w:lang w:val="en-GB"/>
        </w:rPr>
        <w:t xml:space="preserve"> combined with digital image analysis greatly improves the statistical assessment of proteome variation</w:t>
      </w:r>
      <w:r w:rsidRPr="00873C4C">
        <w:rPr>
          <w:color w:val="000000"/>
          <w:lang w:val="en-GB"/>
        </w:rPr>
        <w:fldChar w:fldCharType="begin"/>
      </w:r>
      <w:r w:rsidR="006F41FE">
        <w:rPr>
          <w:color w:val="000000"/>
          <w:lang w:val="en-GB"/>
        </w:rPr>
        <w:instrText xml:space="preserve"> ADDIN EN.CITE &lt;EndNote&gt;&lt;Cite&gt;&lt;Author&gt;Viswanathan&lt;/Author&gt;&lt;Year&gt;2006&lt;/Year&gt;&lt;RecNum&gt;201&lt;/RecNum&gt;&lt;DisplayText&gt;(Viswanathan et al., 2006)&lt;/DisplayText&gt;&lt;record&gt;&lt;rec-number&gt;201&lt;/rec-number&gt;&lt;ref-type name="Journal Article"&gt;17&lt;/ref-type&gt;&lt;contributors&gt;&lt;authors&gt;&lt;author&gt;Viswanathan, S.&lt;/author&gt;&lt;author&gt;Unlu, M.&lt;/author&gt;&lt;author&gt;Minden, J. S.&lt;/author&gt;&lt;/authors&gt;&lt;/contributors&gt;&lt;auth-address&gt;Department of Biological Science, Carnegie Mellon University, Mellon Institute, 4400 Fifth Avenue, Pittsburgh, Pennsylvania 15213, USA.&lt;/auth-address&gt;&lt;titles&gt;&lt;title&gt;Two-dimensional difference gel electrophoresis&lt;/title&gt;&lt;secondary-title&gt;Nat Protoc&lt;/secondary-title&gt;&lt;/titles&gt;&lt;periodical&gt;&lt;full-title&gt;Nat Protoc&lt;/full-title&gt;&lt;/periodical&gt;&lt;pages&gt;1351-8&lt;/pages&gt;&lt;volume&gt;1&lt;/volume&gt;&lt;number&gt;3&lt;/number&gt;&lt;keywords&gt;&lt;keyword&gt;Electrophoresis, Gel, Two-Dimensional/*methods&lt;/keyword&gt;&lt;keyword&gt;Fluorescent Dyes&lt;/keyword&gt;&lt;keyword&gt;Proteins/*analysis&lt;/keyword&gt;&lt;/keywords&gt;&lt;dates&gt;&lt;year&gt;2006&lt;/year&gt;&lt;/dates&gt;&lt;accession-num&gt;17406422&lt;/accession-num&gt;&lt;urls&gt;&lt;related-urls&gt;&lt;url&gt;http://www.ncbi.nlm.nih.gov/entrez/query.fcgi?cmd=Retrieve&amp;amp;db=PubMed&amp;amp;dopt=Citation&amp;amp;list_uids=17406422 &lt;/url&gt;&lt;/related-urls&gt;&lt;/urls&gt;&lt;/record&gt;&lt;/Cite&gt;&lt;/EndNote&gt;</w:instrText>
      </w:r>
      <w:r w:rsidRPr="00873C4C">
        <w:rPr>
          <w:color w:val="000000"/>
          <w:lang w:val="en-GB"/>
        </w:rPr>
        <w:fldChar w:fldCharType="separate"/>
      </w:r>
      <w:r w:rsidR="006F41FE">
        <w:rPr>
          <w:noProof/>
          <w:color w:val="000000"/>
          <w:lang w:val="en-GB"/>
        </w:rPr>
        <w:t>(</w:t>
      </w:r>
      <w:hyperlink w:anchor="_ENREF_439" w:tooltip="Viswanathan, 2006 #201" w:history="1">
        <w:r w:rsidR="004A784D">
          <w:rPr>
            <w:noProof/>
            <w:color w:val="000000"/>
            <w:lang w:val="en-GB"/>
          </w:rPr>
          <w:t>Viswanathan et al., 2006</w:t>
        </w:r>
      </w:hyperlink>
      <w:r w:rsidR="006F41FE">
        <w:rPr>
          <w:noProof/>
          <w:color w:val="000000"/>
          <w:lang w:val="en-GB"/>
        </w:rPr>
        <w:t>)</w:t>
      </w:r>
      <w:r w:rsidRPr="00873C4C">
        <w:rPr>
          <w:color w:val="000000"/>
          <w:lang w:val="en-GB"/>
        </w:rPr>
        <w:fldChar w:fldCharType="end"/>
      </w:r>
      <w:r w:rsidRPr="00873C4C">
        <w:rPr>
          <w:color w:val="000000"/>
          <w:lang w:val="en-GB"/>
        </w:rPr>
        <w:t xml:space="preserve">. </w:t>
      </w:r>
    </w:p>
    <w:p w:rsidR="00CA4D66" w:rsidRDefault="00CA4D66" w:rsidP="00057B42">
      <w:pPr>
        <w:spacing w:line="360" w:lineRule="auto"/>
        <w:jc w:val="both"/>
        <w:rPr>
          <w:color w:val="000000"/>
          <w:lang w:val="en-GB"/>
        </w:rPr>
      </w:pPr>
    </w:p>
    <w:p w:rsidR="00E210A3" w:rsidRPr="00873C4C" w:rsidRDefault="00E210A3" w:rsidP="00057B42">
      <w:pPr>
        <w:spacing w:line="360" w:lineRule="auto"/>
        <w:jc w:val="both"/>
        <w:rPr>
          <w:color w:val="000000"/>
          <w:lang w:val="en-GB"/>
        </w:rPr>
      </w:pPr>
      <w:r w:rsidRPr="00873C4C">
        <w:rPr>
          <w:color w:val="000000"/>
          <w:lang w:val="en-GB"/>
        </w:rPr>
        <w:t>This is mainly due to the fact that the generated images from the two different fluorescent channels could be superimposed by standard image analysis, so that changes in the protein pattern could be easily detected either by a different colour or by comparing grey values of corresponding spots</w:t>
      </w:r>
      <w:r w:rsidRPr="00873C4C">
        <w:rPr>
          <w:color w:val="000000"/>
          <w:lang w:val="en-GB"/>
        </w:rPr>
        <w:fldChar w:fldCharType="begin"/>
      </w:r>
      <w:r w:rsidR="006F41FE">
        <w:rPr>
          <w:color w:val="000000"/>
          <w:lang w:val="en-GB"/>
        </w:rPr>
        <w:instrText xml:space="preserve"> ADDIN EN.CITE &lt;EndNote&gt;&lt;Cite&gt;&lt;Author&gt;Von Eggeling&lt;/Author&gt;&lt;Year&gt;2001&lt;/Year&gt;&lt;RecNum&gt;277&lt;/RecNum&gt;&lt;DisplayText&gt;(Von Eggeling et al., 2001)&lt;/DisplayText&gt;&lt;record&gt;&lt;rec-number&gt;277&lt;/rec-number&gt;&lt;ref-type name="Journal Article"&gt;17&lt;/ref-type&gt;&lt;contributors&gt;&lt;authors&gt;&lt;author&gt;Von Eggeling, F.&lt;/author&gt;&lt;author&gt;Gawriljuk, A.&lt;/author&gt;&lt;author&gt;Fiedler, W.&lt;/author&gt;&lt;author&gt;Ernst, G.&lt;/author&gt;&lt;author&gt;Claussen, U.&lt;/author&gt;&lt;author&gt;Klose, J.&lt;/author&gt;&lt;author&gt;Romer, I.&lt;/author&gt;&lt;/authors&gt;&lt;/contributors&gt;&lt;auth-address&gt;Institut fur Humangenetik und Anthropologie, Kollegiengasse 10, D-07740 Jena, Germany. fegg@mti-n.uni-jena.de&lt;/auth-address&gt;&lt;titles&gt;&lt;title&gt;Fluorescent dual colour 2D-protein gel electrophoresis for rapid detection of differences in protein pattern with standard image analysis software&lt;/title&gt;&lt;secondary-title&gt;Int J Mol Med&lt;/secondary-title&gt;&lt;/titles&gt;&lt;periodical&gt;&lt;full-title&gt;Int J Mol Med&lt;/full-title&gt;&lt;/periodical&gt;&lt;pages&gt;373-7&lt;/pages&gt;&lt;volume&gt;8&lt;/volume&gt;&lt;number&gt;4&lt;/number&gt;&lt;keywords&gt;&lt;keyword&gt;Electrophoresis, Gel, Two-Dimensional/*methods&lt;/keyword&gt;&lt;keyword&gt;*Fluorescent Dyes&lt;/keyword&gt;&lt;keyword&gt;Humans&lt;/keyword&gt;&lt;keyword&gt;Image Processing, Computer-Assisted&lt;/keyword&gt;&lt;keyword&gt;Proteins/*analysis&lt;/keyword&gt;&lt;keyword&gt;Sensitivity and Specificity&lt;/keyword&gt;&lt;keyword&gt;*Software&lt;/keyword&gt;&lt;keyword&gt;Tumor Cells, Cultured&lt;/keyword&gt;&lt;/keywords&gt;&lt;dates&gt;&lt;year&gt;2001&lt;/year&gt;&lt;pub-dates&gt;&lt;date&gt;Oct&lt;/date&gt;&lt;/pub-dates&gt;&lt;/dates&gt;&lt;accession-num&gt;11562774&lt;/accession-num&gt;&lt;urls&gt;&lt;related-urls&gt;&lt;url&gt;http://www.ncbi.nlm.nih.gov/entrez/query.fcgi?cmd=Retrieve&amp;amp;db=PubMed&amp;amp;dopt=Citation&amp;amp;list_uids=11562774 &lt;/url&gt;&lt;/related-urls&gt;&lt;/urls&gt;&lt;/record&gt;&lt;/Cite&gt;&lt;/EndNote&gt;</w:instrText>
      </w:r>
      <w:r w:rsidRPr="00873C4C">
        <w:rPr>
          <w:color w:val="000000"/>
          <w:lang w:val="en-GB"/>
        </w:rPr>
        <w:fldChar w:fldCharType="separate"/>
      </w:r>
      <w:r w:rsidR="006F41FE">
        <w:rPr>
          <w:noProof/>
          <w:color w:val="000000"/>
          <w:lang w:val="en-GB"/>
        </w:rPr>
        <w:t>(</w:t>
      </w:r>
      <w:hyperlink w:anchor="_ENREF_441" w:tooltip="Von Eggeling, 2001 #277" w:history="1">
        <w:r w:rsidR="004A784D">
          <w:rPr>
            <w:noProof/>
            <w:color w:val="000000"/>
            <w:lang w:val="en-GB"/>
          </w:rPr>
          <w:t>Von Eggeling et al., 2001</w:t>
        </w:r>
      </w:hyperlink>
      <w:r w:rsidR="006F41FE">
        <w:rPr>
          <w:noProof/>
          <w:color w:val="000000"/>
          <w:lang w:val="en-GB"/>
        </w:rPr>
        <w:t>)</w:t>
      </w:r>
      <w:r w:rsidRPr="00873C4C">
        <w:rPr>
          <w:color w:val="000000"/>
          <w:lang w:val="en-GB"/>
        </w:rPr>
        <w:fldChar w:fldCharType="end"/>
      </w:r>
      <w:r w:rsidRPr="00873C4C">
        <w:rPr>
          <w:color w:val="000000"/>
          <w:lang w:val="en-GB"/>
        </w:rPr>
        <w:t xml:space="preserve">. This method will be especially helpful in comparing proteins from two different biological or clinical </w:t>
      </w:r>
      <w:r w:rsidR="00647448" w:rsidRPr="00873C4C">
        <w:rPr>
          <w:color w:val="000000"/>
          <w:lang w:val="en-GB"/>
        </w:rPr>
        <w:t>groups</w:t>
      </w:r>
      <w:r w:rsidRPr="00873C4C">
        <w:rPr>
          <w:color w:val="000000"/>
          <w:lang w:val="en-GB"/>
        </w:rPr>
        <w:t xml:space="preserve"> such as responder and </w:t>
      </w:r>
      <w:r w:rsidR="00AD5DCA" w:rsidRPr="00873C4C">
        <w:rPr>
          <w:color w:val="000000"/>
          <w:lang w:val="en-GB"/>
        </w:rPr>
        <w:t>non-responders</w:t>
      </w:r>
      <w:r w:rsidRPr="00873C4C">
        <w:rPr>
          <w:color w:val="000000"/>
          <w:lang w:val="en-GB"/>
        </w:rPr>
        <w:t xml:space="preserve"> to thalidomide in multiple myeloma</w:t>
      </w:r>
      <w:r w:rsidR="00B5499B">
        <w:rPr>
          <w:color w:val="000000"/>
          <w:lang w:val="en-GB"/>
        </w:rPr>
        <w:t xml:space="preserve"> </w:t>
      </w:r>
      <w:r w:rsidRPr="00873C4C">
        <w:rPr>
          <w:color w:val="000000"/>
          <w:lang w:val="en-GB"/>
        </w:rPr>
        <w:fldChar w:fldCharType="begin">
          <w:fldData xml:space="preserve">PEVuZE5vdGU+PENpdGU+PEF1dGhvcj5IZW5rZWw8L0F1dGhvcj48WWVhcj4yMDA1PC9ZZWFyPjxS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</w:fldData>
        </w:fldChar>
      </w:r>
      <w:r w:rsidR="00930156">
        <w:rPr>
          <w:color w:val="000000"/>
          <w:lang w:val="en-GB"/>
        </w:rPr>
        <w:instrText xml:space="preserve"> ADDIN EN.CITE </w:instrText>
      </w:r>
      <w:r w:rsidR="00930156">
        <w:rPr>
          <w:color w:val="000000"/>
          <w:lang w:val="en-GB"/>
        </w:rPr>
        <w:fldChar w:fldCharType="begin">
          <w:fldData xml:space="preserve">PEVuZE5vdGU+PENpdGU+PEF1dGhvcj5IZW5rZWw8L0F1dGhvcj48WWVhcj4yMDA1PC9ZZWFyPjxS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</w:fldData>
        </w:fldChar>
      </w:r>
      <w:r w:rsidR="00930156">
        <w:rPr>
          <w:color w:val="000000"/>
          <w:lang w:val="en-GB"/>
        </w:rPr>
        <w:instrText xml:space="preserve"> ADDIN EN.CITE.DATA </w:instrText>
      </w:r>
      <w:r w:rsidR="00930156">
        <w:rPr>
          <w:color w:val="000000"/>
          <w:lang w:val="en-GB"/>
        </w:rPr>
      </w:r>
      <w:r w:rsidR="00930156">
        <w:rPr>
          <w:color w:val="000000"/>
          <w:lang w:val="en-GB"/>
        </w:rPr>
        <w:fldChar w:fldCharType="end"/>
      </w:r>
      <w:r w:rsidRPr="00873C4C">
        <w:rPr>
          <w:color w:val="000000"/>
          <w:lang w:val="en-GB"/>
        </w:rPr>
      </w:r>
      <w:r w:rsidRPr="00873C4C">
        <w:rPr>
          <w:color w:val="000000"/>
          <w:lang w:val="en-GB"/>
        </w:rPr>
        <w:fldChar w:fldCharType="separate"/>
      </w:r>
      <w:r w:rsidR="006F41FE">
        <w:rPr>
          <w:noProof/>
          <w:color w:val="000000"/>
          <w:lang w:val="en-GB"/>
        </w:rPr>
        <w:t>(</w:t>
      </w:r>
      <w:hyperlink w:anchor="_ENREF_168" w:tooltip="Henkel, 2005 #5306" w:history="1">
        <w:r w:rsidR="004A784D">
          <w:rPr>
            <w:noProof/>
            <w:color w:val="000000"/>
            <w:lang w:val="en-GB"/>
          </w:rPr>
          <w:t>Henkel et al., 2005</w:t>
        </w:r>
      </w:hyperlink>
      <w:r w:rsidR="006F41FE">
        <w:rPr>
          <w:noProof/>
          <w:color w:val="000000"/>
          <w:lang w:val="en-GB"/>
        </w:rPr>
        <w:t>)</w:t>
      </w:r>
      <w:r w:rsidRPr="00873C4C">
        <w:rPr>
          <w:color w:val="000000"/>
          <w:lang w:val="en-GB"/>
        </w:rPr>
        <w:fldChar w:fldCharType="end"/>
      </w:r>
      <w:r w:rsidRPr="00873C4C">
        <w:rPr>
          <w:color w:val="000000"/>
          <w:lang w:val="en-GB"/>
        </w:rPr>
        <w:t xml:space="preserve">. </w:t>
      </w:r>
    </w:p>
    <w:p w:rsidR="00E210A3" w:rsidRPr="00873C4C" w:rsidRDefault="00E210A3" w:rsidP="00057B42">
      <w:pPr>
        <w:spacing w:line="360" w:lineRule="auto"/>
        <w:jc w:val="both"/>
        <w:rPr>
          <w:color w:val="000000"/>
          <w:lang w:val="en-GB"/>
        </w:rPr>
      </w:pPr>
    </w:p>
    <w:p w:rsidR="00E210A3" w:rsidRPr="00873C4C" w:rsidRDefault="00E210A3" w:rsidP="00645687">
      <w:pPr>
        <w:pStyle w:val="Heading4"/>
      </w:pPr>
      <w:r w:rsidRPr="00873C4C">
        <w:lastRenderedPageBreak/>
        <w:tab/>
      </w:r>
      <w:bookmarkStart w:id="489" w:name="_Toc305759147"/>
      <w:bookmarkStart w:id="490" w:name="_Toc306570572"/>
      <w:bookmarkStart w:id="491" w:name="_Toc307067637"/>
      <w:bookmarkStart w:id="492" w:name="_Toc312169203"/>
      <w:bookmarkStart w:id="493" w:name="_Toc312172130"/>
      <w:bookmarkStart w:id="494" w:name="_Toc312257679"/>
      <w:r w:rsidRPr="00873C4C">
        <w:t>Multiplexing the samples</w:t>
      </w:r>
      <w:bookmarkEnd w:id="489"/>
      <w:bookmarkEnd w:id="490"/>
      <w:bookmarkEnd w:id="491"/>
      <w:bookmarkEnd w:id="492"/>
      <w:bookmarkEnd w:id="493"/>
      <w:bookmarkEnd w:id="494"/>
      <w:r w:rsidRPr="00873C4C">
        <w:t xml:space="preserve"> </w:t>
      </w:r>
    </w:p>
    <w:p w:rsidR="00E210A3" w:rsidRPr="00873C4C" w:rsidRDefault="002968BA" w:rsidP="003661CB">
      <w:pPr>
        <w:spacing w:before="240" w:line="360" w:lineRule="auto"/>
        <w:jc w:val="both"/>
        <w:rPr>
          <w:color w:val="000000"/>
        </w:rPr>
      </w:pPr>
      <w:r>
        <w:rPr>
          <w:color w:val="000000"/>
          <w:lang w:val="en-GB"/>
        </w:rPr>
        <w:t>2D-DIGE</w:t>
      </w:r>
      <w:r w:rsidR="00E210A3" w:rsidRPr="00873C4C">
        <w:rPr>
          <w:color w:val="000000"/>
        </w:rPr>
        <w:t xml:space="preserve"> technology can co-resolve multiple samples in a single gel which allows for direct relative quantification for a given protein without interference from gel-to-gel variation. Inclusion of a pooled-sample mixture as an internal standard (for a series of coordinated DIGE gels) further allows for a more complex and statistically powerful experimental design that can, not only, accommodate gel-to-gel variation, but also provide increased statistical confidence using Student’s t-test or ANOVA. </w:t>
      </w:r>
    </w:p>
    <w:p w:rsidR="00E210A3" w:rsidRPr="00873C4C" w:rsidRDefault="00E210A3" w:rsidP="00057B42">
      <w:pPr>
        <w:spacing w:line="360" w:lineRule="auto"/>
        <w:ind w:left="1080"/>
        <w:jc w:val="both"/>
        <w:rPr>
          <w:color w:val="000000"/>
        </w:rPr>
      </w:pPr>
    </w:p>
    <w:p w:rsidR="00E210A3" w:rsidRDefault="00E210A3" w:rsidP="00057B42">
      <w:pPr>
        <w:spacing w:line="360" w:lineRule="auto"/>
        <w:jc w:val="both"/>
        <w:rPr>
          <w:color w:val="000000"/>
        </w:rPr>
      </w:pPr>
      <w:r w:rsidRPr="00873C4C">
        <w:rPr>
          <w:color w:val="000000"/>
        </w:rPr>
        <w:t xml:space="preserve">The results of the Analytical </w:t>
      </w:r>
      <w:r w:rsidR="002968BA">
        <w:rPr>
          <w:color w:val="000000"/>
          <w:lang w:val="en-GB"/>
        </w:rPr>
        <w:t>2D-DIGE</w:t>
      </w:r>
      <w:r w:rsidRPr="00873C4C">
        <w:rPr>
          <w:color w:val="000000"/>
        </w:rPr>
        <w:t xml:space="preserve"> experiment can be used only to direct Peptide Mass Fingerprint experiments to identify proteins of interest using Liquid chromatography-mass spectrometry (LC-MS)</w:t>
      </w:r>
      <w:r w:rsidR="00B5499B">
        <w:rPr>
          <w:color w:val="000000"/>
        </w:rPr>
        <w:t xml:space="preserve"> </w:t>
      </w:r>
      <w:r w:rsidR="00B5499B">
        <w:rPr>
          <w:color w:val="000000"/>
        </w:rPr>
        <w:fldChar w:fldCharType="begin"/>
      </w:r>
      <w:r w:rsidR="00B5499B">
        <w:rPr>
          <w:color w:val="000000"/>
        </w:rPr>
        <w:instrText xml:space="preserve"> ADDIN EN.CITE &lt;EndNote&gt;&lt;Cite&gt;&lt;Author&gt;Rodland&lt;/Author&gt;&lt;Year&gt;2004&lt;/Year&gt;&lt;RecNum&gt;5335&lt;/RecNum&gt;&lt;DisplayText&gt;(Rodland, 2004)&lt;/DisplayText&gt;&lt;record&gt;&lt;rec-number&gt;5335&lt;/rec-number&gt;&lt;foreign-keys&gt;&lt;key app="EN" db-id="zf0awxsaczrdd3eft5qvw9wrtxxawdfrvw2a"&gt;5335&lt;/key&gt;&lt;/foreign-keys&gt;&lt;ref-type name="Journal Article"&gt;17&lt;/ref-type&gt;&lt;contributors&gt;&lt;authors&gt;&lt;author&gt;Rodland, K. D.&lt;/author&gt;&lt;/authors&gt;&lt;/contributors&gt;&lt;auth-address&gt;Biological Sciences Division, Pacific Northwest National Laboratory, Richland, WA 99352, USA. karin.rodland@pnl.gov&lt;/auth-address&gt;&lt;titles&gt;&lt;title&gt;Proteomics and cancer diagnosis: the potential of mass spectrometry&lt;/title&gt;&lt;secondary-title&gt;Clin Biochem&lt;/secondary-title&gt;&lt;/titles&gt;&lt;periodical&gt;&lt;full-title&gt;Clin Biochem&lt;/full-title&gt;&lt;/periodical&gt;&lt;pages&gt;579-83&lt;/pages&gt;&lt;volume&gt;37&lt;/volume&gt;&lt;number&gt;7&lt;/number&gt;&lt;edition&gt;2004/07/06&lt;/edition&gt;&lt;keywords&gt;&lt;keyword&gt;Algorithms&lt;/keyword&gt;&lt;keyword&gt;Chromatography, Affinity&lt;/keyword&gt;&lt;keyword&gt;Computational Biology&lt;/keyword&gt;&lt;keyword&gt;Electrophoresis, Gel, Two-Dimensional&lt;/keyword&gt;&lt;keyword&gt;Forecasting&lt;/keyword&gt;&lt;keyword&gt;Humans&lt;/keyword&gt;&lt;keyword&gt;*Mass Spectrometry&lt;/keyword&gt;&lt;keyword&gt;Neoplasms/*diagnosis&lt;/keyword&gt;&lt;keyword&gt;Proteins/metabolism&lt;/keyword&gt;&lt;keyword&gt;Proteomics/*methods&lt;/keyword&gt;&lt;keyword&gt;Spectrometry, Mass, Matrix-Assisted Laser Desorption-Ionization&lt;/keyword&gt;&lt;keyword&gt;Tumor Markers, Biological/analysis&lt;/keyword&gt;&lt;/keywords&gt;&lt;dates&gt;&lt;year&gt;2004&lt;/year&gt;&lt;pub-dates&gt;&lt;date&gt;Jul&lt;/date&gt;&lt;/pub-dates&gt;&lt;/dates&gt;&lt;isbn&gt;0009-9120 (Print)&amp;#xD;0009-9120 (Linking)&lt;/isbn&gt;&lt;accession-num&gt;15234239&lt;/accession-num&gt;&lt;urls&gt;&lt;related-urls&gt;&lt;url&gt;http://www.ncbi.nlm.nih.gov/pubmed/15234239&lt;/url&gt;&lt;/related-urls&gt;&lt;/urls&gt;&lt;electronic-resource-num&gt;10.1016/j.clinbiochem.2004.05.011&amp;#xD;S000991200400133X [pii]&lt;/electronic-resource-num&gt;&lt;language&gt;eng&lt;/language&gt;&lt;/record&gt;&lt;/Cite&gt;&lt;/EndNote&gt;</w:instrText>
      </w:r>
      <w:r w:rsidR="00B5499B">
        <w:rPr>
          <w:color w:val="000000"/>
        </w:rPr>
        <w:fldChar w:fldCharType="separate"/>
      </w:r>
      <w:r w:rsidR="00B5499B">
        <w:rPr>
          <w:noProof/>
          <w:color w:val="000000"/>
        </w:rPr>
        <w:t>(</w:t>
      </w:r>
      <w:hyperlink w:anchor="_ENREF_349" w:tooltip="Rodland, 2004 #5335" w:history="1">
        <w:r w:rsidR="004A784D">
          <w:rPr>
            <w:noProof/>
            <w:color w:val="000000"/>
          </w:rPr>
          <w:t>Rodland, 2004</w:t>
        </w:r>
      </w:hyperlink>
      <w:r w:rsidR="00B5499B">
        <w:rPr>
          <w:noProof/>
          <w:color w:val="000000"/>
        </w:rPr>
        <w:t>)</w:t>
      </w:r>
      <w:r w:rsidR="00B5499B">
        <w:rPr>
          <w:color w:val="000000"/>
        </w:rPr>
        <w:fldChar w:fldCharType="end"/>
      </w:r>
      <w:r w:rsidRPr="00873C4C">
        <w:rPr>
          <w:color w:val="000000"/>
        </w:rPr>
        <w:t>. Protein spots in the “pick” gel can be excised manually or robotically and processed using standardized in-gel digestion methods to obtain peptide mass fingerprints that can then be submitted to public databases for protein identification</w:t>
      </w:r>
      <w:r w:rsidR="00B5499B">
        <w:rPr>
          <w:color w:val="000000"/>
        </w:rPr>
        <w:t xml:space="preserve"> </w:t>
      </w:r>
      <w:r w:rsidRPr="00873C4C">
        <w:rPr>
          <w:color w:val="000000"/>
        </w:rPr>
        <w:fldChar w:fldCharType="begin"/>
      </w:r>
      <w:r w:rsidR="006F41FE">
        <w:rPr>
          <w:color w:val="000000"/>
        </w:rPr>
        <w:instrText xml:space="preserve"> ADDIN EN.CITE &lt;EndNote&gt;&lt;Cite&gt;&lt;Author&gt;Asara&lt;/Author&gt;&lt;Year&gt;2006&lt;/Year&gt;&lt;RecNum&gt;243&lt;/RecNum&gt;&lt;DisplayText&gt;(Asara et al., 2006)&lt;/DisplayText&gt;&lt;record&gt;&lt;rec-number&gt;243&lt;/rec-number&gt;&lt;ref-type name="Journal Article"&gt;17&lt;/ref-type&gt;&lt;contributors&gt;&lt;authors&gt;&lt;author&gt;Asara, J. M.&lt;/author&gt;&lt;author&gt;Zhang, X.&lt;/author&gt;&lt;author&gt;Zheng, B.&lt;/author&gt;&lt;author&gt;Christofk, H. H.&lt;/author&gt;&lt;author&gt;Wu, N.&lt;/author&gt;&lt;author&gt;Cantley, L. C.&lt;/author&gt;&lt;/authors&gt;&lt;/contributors&gt;&lt;auth-address&gt;Division of Signal Transduction, Beth Israel Deaconess Medical Center, Boston, Massachusetts 02115, USA. jasara@bidmc.harvard.edu&lt;/auth-address&gt;&lt;titles&gt;&lt;title&gt;In-Gel Stable-Isotope Labeling (ISIL): a strategy for mass spectrometry-based relative quantification&lt;/title&gt;&lt;secondary-title&gt;J Proteome Res&lt;/secondary-title&gt;&lt;/titles&gt;&lt;periodical&gt;&lt;full-title&gt;J Proteome Res&lt;/full-title&gt;&lt;/periodical&gt;&lt;pages&gt;155-63&lt;/pages&gt;&lt;volume&gt;5&lt;/volume&gt;&lt;number&gt;1&lt;/number&gt;&lt;keywords&gt;&lt;keyword&gt;Chromatography, Liquid&lt;/keyword&gt;&lt;keyword&gt;Electrophoresis, Gel, Two-Dimensional/*methods&lt;/keyword&gt;&lt;keyword&gt;Isotope Labeling/*methods&lt;/keyword&gt;&lt;keyword&gt;Mass Spectrometry&lt;/keyword&gt;&lt;keyword&gt;Peptides/*analysis&lt;/keyword&gt;&lt;keyword&gt;Phosphopeptides&lt;/keyword&gt;&lt;keyword&gt;Phosphorylation&lt;/keyword&gt;&lt;keyword&gt;Proteomics/*methods&lt;/keyword&gt;&lt;/keywords&gt;&lt;dates&gt;&lt;year&gt;2006&lt;/year&gt;&lt;pub-dates&gt;&lt;date&gt;Jan&lt;/date&gt;&lt;/pub-dates&gt;&lt;/dates&gt;&lt;accession-num&gt;16396506&lt;/accession-num&gt;&lt;urls&gt;&lt;related-urls&gt;&lt;url&gt;http://www.ncbi.nlm.nih.gov/entrez/query.fcgi?cmd=Retrieve&amp;amp;db=PubMed&amp;amp;dopt=Citation&amp;amp;list_uids=16396506 &lt;/url&gt;&lt;/related-urls&gt;&lt;/urls&gt;&lt;/record&gt;&lt;/Cite&gt;&lt;/EndNote&gt;</w:instrText>
      </w:r>
      <w:r w:rsidRPr="00873C4C">
        <w:rPr>
          <w:color w:val="000000"/>
        </w:rPr>
        <w:fldChar w:fldCharType="separate"/>
      </w:r>
      <w:r w:rsidR="006F41FE">
        <w:rPr>
          <w:noProof/>
          <w:color w:val="000000"/>
        </w:rPr>
        <w:t>(</w:t>
      </w:r>
      <w:hyperlink w:anchor="_ENREF_27" w:tooltip="Asara, 2006 #243" w:history="1">
        <w:r w:rsidR="004A784D">
          <w:rPr>
            <w:noProof/>
            <w:color w:val="000000"/>
          </w:rPr>
          <w:t>Asara et al., 2006</w:t>
        </w:r>
      </w:hyperlink>
      <w:r w:rsidR="006F41FE">
        <w:rPr>
          <w:noProof/>
          <w:color w:val="000000"/>
        </w:rPr>
        <w:t>)</w:t>
      </w:r>
      <w:r w:rsidRPr="00873C4C">
        <w:rPr>
          <w:color w:val="000000"/>
        </w:rPr>
        <w:fldChar w:fldCharType="end"/>
      </w:r>
      <w:r w:rsidR="003661CB">
        <w:rPr>
          <w:color w:val="000000"/>
        </w:rPr>
        <w:t>.</w:t>
      </w:r>
    </w:p>
    <w:p w:rsidR="002D63A8" w:rsidRDefault="002D63A8" w:rsidP="00057B42">
      <w:pPr>
        <w:spacing w:line="360" w:lineRule="auto"/>
        <w:jc w:val="both"/>
        <w:rPr>
          <w:color w:val="000000"/>
        </w:rPr>
      </w:pPr>
    </w:p>
    <w:p w:rsidR="00511B10" w:rsidRPr="00873C4C" w:rsidRDefault="00EC2846" w:rsidP="00645687">
      <w:pPr>
        <w:pStyle w:val="Heading4"/>
      </w:pPr>
      <w:r w:rsidRPr="00873C4C">
        <w:t xml:space="preserve"> </w:t>
      </w:r>
      <w:r w:rsidRPr="00873C4C">
        <w:tab/>
      </w:r>
      <w:bookmarkStart w:id="495" w:name="_Toc306570573"/>
      <w:bookmarkStart w:id="496" w:name="_Toc307067638"/>
      <w:bookmarkStart w:id="497" w:name="_Toc312169204"/>
      <w:bookmarkStart w:id="498" w:name="_Toc312172131"/>
      <w:bookmarkStart w:id="499" w:name="_Toc312257680"/>
      <w:r w:rsidR="00511B10" w:rsidRPr="00873C4C">
        <w:t>Protein quantitation</w:t>
      </w:r>
      <w:bookmarkEnd w:id="495"/>
      <w:bookmarkEnd w:id="496"/>
      <w:bookmarkEnd w:id="497"/>
      <w:bookmarkEnd w:id="498"/>
      <w:bookmarkEnd w:id="499"/>
    </w:p>
    <w:p w:rsidR="00F334EE" w:rsidRDefault="00F334EE" w:rsidP="003661CB">
      <w:pPr>
        <w:spacing w:before="240" w:line="360" w:lineRule="auto"/>
        <w:jc w:val="both"/>
        <w:rPr>
          <w:color w:val="000000"/>
        </w:rPr>
      </w:pPr>
      <w:r w:rsidRPr="00873C4C">
        <w:rPr>
          <w:color w:val="000000"/>
        </w:rPr>
        <w:t xml:space="preserve">Gel free proteomics technologies are very suitable for the analysis of proteins with low abundance in complex samples. </w:t>
      </w:r>
      <w:r w:rsidR="00511B10" w:rsidRPr="00873C4C">
        <w:rPr>
          <w:color w:val="000000"/>
        </w:rPr>
        <w:t xml:space="preserve">In addition, the </w:t>
      </w:r>
      <w:r w:rsidRPr="00873C4C">
        <w:rPr>
          <w:color w:val="000000"/>
        </w:rPr>
        <w:t xml:space="preserve">Liquid chromatography (LC) systems are </w:t>
      </w:r>
      <w:r w:rsidR="00511B10" w:rsidRPr="00873C4C">
        <w:rPr>
          <w:color w:val="000000"/>
        </w:rPr>
        <w:t xml:space="preserve">also </w:t>
      </w:r>
      <w:r w:rsidRPr="00873C4C">
        <w:rPr>
          <w:color w:val="000000"/>
        </w:rPr>
        <w:t xml:space="preserve">very efficient and reproducible at separating proteins/peptides in complex samples. Modern mass spectrometry (MS) systems produce quality protein identifications, accurate protein quantitation together with information on protein modification sites and structures. Accurate protein quantitation using differential </w:t>
      </w:r>
      <w:r w:rsidR="00676041" w:rsidRPr="00873C4C">
        <w:rPr>
          <w:color w:val="000000"/>
        </w:rPr>
        <w:t>labelling</w:t>
      </w:r>
      <w:r w:rsidRPr="00873C4C">
        <w:rPr>
          <w:color w:val="000000"/>
        </w:rPr>
        <w:t xml:space="preserve"> technologies, such as iTRAQ (isobaric tag for relative and absolute quantitation) and SILAC (Stable Isotope </w:t>
      </w:r>
      <w:r w:rsidR="00676041" w:rsidRPr="00873C4C">
        <w:rPr>
          <w:color w:val="000000"/>
        </w:rPr>
        <w:t>Labelling</w:t>
      </w:r>
      <w:r w:rsidRPr="00873C4C">
        <w:rPr>
          <w:color w:val="000000"/>
        </w:rPr>
        <w:t xml:space="preserve"> with Amino acids in Cell culture), are ideal for determining relative changes in protein expression in sets of samples leading to the discovery of potential biomarkers </w:t>
      </w:r>
      <w:r w:rsidRPr="00873C4C">
        <w:rPr>
          <w:color w:val="000000"/>
        </w:rPr>
        <w:fldChar w:fldCharType="begin"/>
      </w:r>
      <w:r w:rsidR="006F41FE">
        <w:rPr>
          <w:color w:val="000000"/>
        </w:rPr>
        <w:instrText xml:space="preserve"> ADDIN EN.CITE &lt;EndNote&gt;&lt;Cite&gt;&lt;Author&gt;Bouchal&lt;/Author&gt;&lt;Year&gt;2009&lt;/Year&gt;&lt;RecNum&gt;1&lt;/RecNum&gt;&lt;DisplayText&gt;(Bouchal et al., 2009)&lt;/DisplayText&gt;&lt;record&gt;&lt;rec-number&gt;1&lt;/rec-number&gt;&lt;ref-type name="Journal Article"&gt;17&lt;/ref-type&gt;&lt;contributors&gt;&lt;authors&gt;&lt;author&gt;Bouchal, P.&lt;/author&gt;&lt;author&gt;Roumeliotis, T.&lt;/author&gt;&lt;author&gt;Hrstka, R.&lt;/author&gt;&lt;author&gt;Nenutil, R.&lt;/author&gt;&lt;author&gt;Vojtesek, B.&lt;/author&gt;&lt;author&gt;Garbis, S. D.&lt;/author&gt;&lt;/authors&gt;&lt;/contributors&gt;&lt;auth-address&gt;Department of Oncological and Experimental Pathology, Masaryk Memorial Cancer Institute, Zluty kopec 7, 65653 Brno, Czech Republic.&lt;/auth-address&gt;&lt;titles&gt;&lt;title&gt;Biomarker discovery in low-grade breast cancer using isobaric stable isotope tags and two-dimensional liquid chromatography-tandem mass spectrometry (iTRAQ-2DLC-MS/MS) based quantitative proteomic analysis&lt;/title&gt;&lt;secondary-title&gt;J Proteome Res&lt;/secondary-title&gt;&lt;/titles&gt;&lt;pages&gt;362-73&lt;/pages&gt;&lt;volume&gt;8&lt;/volume&gt;&lt;number&gt;1&lt;/number&gt;&lt;keywords&gt;&lt;keyword&gt;Biopsy&lt;/keyword&gt;&lt;keyword&gt;Breast Neoplasms/*metabolism&lt;/keyword&gt;&lt;keyword&gt;Cations&lt;/keyword&gt;&lt;keyword&gt;Chromatography, Ion Exchange/methods&lt;/keyword&gt;&lt;keyword&gt;Chromatography, Liquid/*methods&lt;/keyword&gt;&lt;keyword&gt;Early Detection of Cancer&lt;/keyword&gt;&lt;keyword&gt;Humans&lt;/keyword&gt;&lt;keyword&gt;Lymphatic Metastasis&lt;/keyword&gt;&lt;keyword&gt;Molecular Weight&lt;/keyword&gt;&lt;keyword&gt;Neoplasm Metastasis&lt;/keyword&gt;&lt;keyword&gt;Proteome&lt;/keyword&gt;&lt;keyword&gt;Proteomics/*methods&lt;/keyword&gt;&lt;keyword&gt;Salts/chemistry&lt;/keyword&gt;&lt;keyword&gt;Tandem Mass Spectrometry/*methods&lt;/keyword&gt;&lt;keyword&gt;Tumor Markers, Biological/*metabolism&lt;/keyword&gt;&lt;/keywords&gt;&lt;dates&gt;&lt;year&gt;2009&lt;/year&gt;&lt;pub-dates&gt;&lt;date&gt;Jan&lt;/date&gt;&lt;/pub-dates&gt;&lt;/dates&gt;&lt;accession-num&gt;19053527&lt;/accession-num&gt;&lt;urls&gt;&lt;related-urls&gt;&lt;url&gt;http://www.ncbi.nlm.nih.gov/entrez/query.fcgi?cmd=Retrieve&amp;amp;db=PubMed&amp;amp;dopt=Citation&amp;amp;list_uids=19053527 &lt;/url&gt;&lt;/related-urls&gt;&lt;/urls&gt;&lt;/record&gt;&lt;/Cite&gt;&lt;/EndNote&gt;</w:instrText>
      </w:r>
      <w:r w:rsidRPr="00873C4C">
        <w:rPr>
          <w:color w:val="000000"/>
        </w:rPr>
        <w:fldChar w:fldCharType="separate"/>
      </w:r>
      <w:r w:rsidR="006F41FE">
        <w:rPr>
          <w:noProof/>
          <w:color w:val="000000"/>
        </w:rPr>
        <w:t>(</w:t>
      </w:r>
      <w:hyperlink w:anchor="_ENREF_49" w:tooltip="Bouchal, 2009 #1" w:history="1">
        <w:r w:rsidR="004A784D">
          <w:rPr>
            <w:noProof/>
            <w:color w:val="000000"/>
          </w:rPr>
          <w:t>Bouchal et al., 2009</w:t>
        </w:r>
      </w:hyperlink>
      <w:r w:rsidR="006F41FE">
        <w:rPr>
          <w:noProof/>
          <w:color w:val="000000"/>
        </w:rPr>
        <w:t>)</w:t>
      </w:r>
      <w:r w:rsidRPr="00873C4C">
        <w:rPr>
          <w:color w:val="000000"/>
        </w:rPr>
        <w:fldChar w:fldCharType="end"/>
      </w:r>
      <w:r w:rsidRPr="00873C4C">
        <w:rPr>
          <w:color w:val="000000"/>
        </w:rPr>
        <w:t xml:space="preserve"> Label-free relative quantitative proteomics is also a powerful tool to determine changes in protein level, an area that has significantly benefited from advancements made in LC and MS systems</w:t>
      </w:r>
      <w:r w:rsidR="00B5499B">
        <w:rPr>
          <w:color w:val="000000"/>
        </w:rPr>
        <w:t xml:space="preserve"> </w:t>
      </w:r>
      <w:r w:rsidR="00B5499B" w:rsidRPr="00873C4C">
        <w:rPr>
          <w:color w:val="000000"/>
        </w:rPr>
        <w:fldChar w:fldCharType="begin"/>
      </w:r>
      <w:r w:rsidR="00B5499B">
        <w:rPr>
          <w:color w:val="000000"/>
        </w:rPr>
        <w:instrText xml:space="preserve"> ADDIN EN.CITE &lt;EndNote&gt;&lt;Cite&gt;&lt;Author&gt;Sun&lt;/Author&gt;&lt;Year&gt;2008&lt;/Year&gt;&lt;RecNum&gt;3&lt;/RecNum&gt;&lt;DisplayText&gt;(Sun et al., 2008)&lt;/DisplayText&gt;&lt;record&gt;&lt;rec-number&gt;3&lt;/rec-number&gt;&lt;ref-type name="Journal Article"&gt;17&lt;/ref-type&gt;&lt;contributors&gt;&lt;authors&gt;&lt;author&gt;Sun, Y.&lt;/author&gt;&lt;author&gt;Mi, W.&lt;/author&gt;&lt;author&gt;Cai, J.&lt;/author&gt;&lt;author&gt;Ying, W.&lt;/author&gt;&lt;author&gt;Liu, F.&lt;/author&gt;&lt;author&gt;Lu, H.&lt;/author&gt;&lt;author&gt;Qiao, Y.&lt;/author&gt;&lt;author&gt;Jia, W.&lt;/author&gt;&lt;author&gt;Bi, X.&lt;/author&gt;&lt;author&gt;Lu, N.&lt;/author&gt;&lt;author&gt;Liu, S.&lt;/author&gt;&lt;author&gt;Qian, X.&lt;/author&gt;&lt;author&gt;Zhao, X.&lt;/author&gt;&lt;/authors&gt;&lt;/contributors&gt;&lt;auth-address&gt;State Key Laboratory of Molecular Oncology, Department of Abdominal Surgery, Cancer Institute &amp;amp; Hospital, Chinese Academy of Medical Sciences &amp;amp; Peking Union Medical College, Beijing, 100021 P. R. China.&lt;/auth-address&gt;&lt;titles&gt;&lt;title&gt;Quantitative proteomic signature of liver cancer cells: tissue transglutaminase 2 could be a novel protein candidate of human hepatocellular carcinoma&lt;/title&gt;&lt;secondary-title&gt;J Proteome Res&lt;/secondary-title&gt;&lt;/titles&gt;&lt;pages&gt;3847-59&lt;/pages&gt;&lt;volume&gt;7&lt;/volume&gt;&lt;number&gt;9&lt;/number&gt;&lt;keywords&gt;&lt;keyword&gt;Amino Acid Sequence&lt;/keyword&gt;&lt;keyword&gt;Base Sequence&lt;/keyword&gt;&lt;keyword&gt;Blotting, Western&lt;/keyword&gt;&lt;keyword&gt;Carcinoma, Hepatocellular/*metabolism&lt;/keyword&gt;&lt;keyword&gt;Gene Expression Profiling&lt;/keyword&gt;&lt;keyword&gt;Humans&lt;/keyword&gt;&lt;keyword&gt;Immunohistochemistry&lt;/keyword&gt;&lt;keyword&gt;Liver Neoplasms/*metabolism&lt;/keyword&gt;&lt;keyword&gt;Molecular Sequence Data&lt;/keyword&gt;&lt;keyword&gt;*Proteomics&lt;/keyword&gt;&lt;keyword&gt;RNA, Small Interfering&lt;/keyword&gt;&lt;keyword&gt;Reverse Transcriptase Polymerase Chain Reaction&lt;/keyword&gt;&lt;/keywords&gt;&lt;dates&gt;&lt;year&gt;2008&lt;/year&gt;&lt;pub-dates&gt;&lt;date&gt;Sep&lt;/date&gt;&lt;/pub-dates&gt;&lt;/dates&gt;&lt;accession-num&gt;18646787&lt;/accession-num&gt;&lt;urls&gt;&lt;related-urls&gt;&lt;url&gt;http://www.ncbi.nlm.nih.gov/entrez/query.fcgi?cmd=Retrieve&amp;amp;db=PubMed&amp;amp;dopt=Citation&amp;amp;list_uids=18646787 &lt;/url&gt;&lt;/related-urls&gt;&lt;/urls&gt;&lt;/record&gt;&lt;/Cite&gt;&lt;/EndNote&gt;</w:instrText>
      </w:r>
      <w:r w:rsidR="00B5499B" w:rsidRPr="00873C4C">
        <w:rPr>
          <w:color w:val="000000"/>
        </w:rPr>
        <w:fldChar w:fldCharType="separate"/>
      </w:r>
      <w:r w:rsidR="00B5499B">
        <w:rPr>
          <w:noProof/>
          <w:color w:val="000000"/>
        </w:rPr>
        <w:t>(</w:t>
      </w:r>
      <w:hyperlink w:anchor="_ENREF_407" w:tooltip="Sun, 2008 #3" w:history="1">
        <w:r w:rsidR="004A784D">
          <w:rPr>
            <w:noProof/>
            <w:color w:val="000000"/>
          </w:rPr>
          <w:t>Sun et al., 2008</w:t>
        </w:r>
      </w:hyperlink>
      <w:r w:rsidR="00B5499B">
        <w:rPr>
          <w:noProof/>
          <w:color w:val="000000"/>
        </w:rPr>
        <w:t>)</w:t>
      </w:r>
      <w:r w:rsidR="00B5499B" w:rsidRPr="00873C4C">
        <w:rPr>
          <w:color w:val="000000"/>
        </w:rPr>
        <w:fldChar w:fldCharType="end"/>
      </w:r>
      <w:r w:rsidRPr="00873C4C">
        <w:rPr>
          <w:color w:val="000000"/>
        </w:rPr>
        <w:t>.</w:t>
      </w:r>
    </w:p>
    <w:p w:rsidR="00CA4D66" w:rsidRDefault="00F334EE" w:rsidP="00057B42">
      <w:pPr>
        <w:spacing w:line="360" w:lineRule="auto"/>
        <w:jc w:val="both"/>
        <w:rPr>
          <w:color w:val="000000"/>
          <w:lang w:val="en"/>
        </w:rPr>
      </w:pPr>
      <w:r w:rsidRPr="00873C4C">
        <w:rPr>
          <w:color w:val="000000"/>
        </w:rPr>
        <w:t xml:space="preserve">Surface-enhanced laser desorption/ionization time-of-flight mass spectrometric (SELDI-TOF-MS) is an adaptation of matrix-assisted laser desorption/ionization (MALDI) that uses chromatographic surfaces such as CM10 (weak-positive ion </w:t>
      </w:r>
      <w:r w:rsidRPr="00873C4C">
        <w:rPr>
          <w:color w:val="000000"/>
        </w:rPr>
        <w:lastRenderedPageBreak/>
        <w:t xml:space="preserve">exchange) and </w:t>
      </w:r>
      <w:r w:rsidRPr="00873C4C">
        <w:rPr>
          <w:color w:val="000000"/>
          <w:lang w:val="en"/>
        </w:rPr>
        <w:t>IMAC30 (metal-binding surface) to fractionate complex mixtures, attaining a subset of proteins that are easier to analyze</w:t>
      </w:r>
      <w:r w:rsidR="00ED6496" w:rsidRPr="00873C4C">
        <w:rPr>
          <w:color w:val="000000"/>
          <w:lang w:val="en"/>
        </w:rPr>
        <w:t xml:space="preserve">. </w:t>
      </w:r>
      <w:r w:rsidRPr="00873C4C">
        <w:rPr>
          <w:color w:val="000000"/>
          <w:lang w:val="en"/>
        </w:rPr>
        <w:t xml:space="preserve">SELDI-TOF-MS has disadvantages but this technology has undoubtedly helped expand the biomarker catalog and generate a greater understanding of many cancers </w:t>
      </w:r>
      <w:r w:rsidRPr="00873C4C">
        <w:rPr>
          <w:color w:val="000000"/>
          <w:lang w:val="en"/>
        </w:rPr>
        <w:fldChar w:fldCharType="begin"/>
      </w:r>
      <w:r w:rsidR="006F41FE">
        <w:rPr>
          <w:color w:val="000000"/>
          <w:lang w:val="en"/>
        </w:rPr>
        <w:instrText xml:space="preserve"> ADDIN EN.CITE &lt;EndNote&gt;&lt;Cite&gt;&lt;Author&gt;Shirai&lt;/Author&gt;&lt;Year&gt;2008&lt;/Year&gt;&lt;RecNum&gt;1&lt;/RecNum&gt;&lt;DisplayText&gt;(Shirai et al., 2008)&lt;/DisplayText&gt;&lt;record&gt;&lt;rec-number&gt;1&lt;/rec-number&gt;&lt;ref-type name="Journal Article"&gt;17&lt;/ref-type&gt;&lt;contributors&gt;&lt;authors&gt;&lt;author&gt;Shirai, Y.&lt;/author&gt;&lt;author&gt;Sogawa, K.&lt;/author&gt;&lt;author&gt;Yamaguchi, T.&lt;/author&gt;&lt;author&gt;Sudo, K.&lt;/author&gt;&lt;author&gt;Nakagawa, A.&lt;/author&gt;&lt;author&gt;Sakai, Y.&lt;/author&gt;&lt;author&gt;Ishihara, T.&lt;/author&gt;&lt;author&gt;Sunaga, M.&lt;/author&gt;&lt;author&gt;Nezu, M.&lt;/author&gt;&lt;author&gt;Tomonaga, T.&lt;/author&gt;&lt;author&gt;Miyazaki, M.&lt;/author&gt;&lt;author&gt;Saisho, H.&lt;/author&gt;&lt;author&gt;Nomura, F.&lt;/author&gt;&lt;/authors&gt;&lt;/contributors&gt;&lt;auth-address&gt;Department of Medicine and Clinical Oncology, Graduate School of Medicine, Chiba University 1-8-1 Inohana, Chuo-ku, Chiba 260-8670, Japan. chiba0500@yahoo.co.jp&lt;/auth-address&gt;&lt;titles&gt;&lt;title&gt;Protein profiling in pancreatic juice for detection of intraductal papillary mucinous neoplasm of the pancreas&lt;/title&gt;&lt;secondary-title&gt;Hepatogastroenterology&lt;/secondary-title&gt;&lt;/titles&gt;&lt;pages&gt;1824-9&lt;/pages&gt;&lt;volume&gt;55&lt;/volume&gt;&lt;number&gt;86-87&lt;/number&gt;&lt;keywords&gt;&lt;keyword&gt;Adenocarcinoma, Mucinous/chemistry/*diagnosis&lt;/keyword&gt;&lt;keyword&gt;Amino Acid Sequence&lt;/keyword&gt;&lt;keyword&gt;Carcinoma, Pancreatic Ductal/chemistry/*diagnosis&lt;/keyword&gt;&lt;keyword&gt;Carcinoma, Papillary/chemistry/*diagnosis&lt;/keyword&gt;&lt;keyword&gt;Carrier Proteins/*analysis&lt;/keyword&gt;&lt;keyword&gt;Female&lt;/keyword&gt;&lt;keyword&gt;Humans&lt;/keyword&gt;&lt;keyword&gt;Male&lt;/keyword&gt;&lt;keyword&gt;Middle Aged&lt;/keyword&gt;&lt;keyword&gt;Molecular Sequence Data&lt;/keyword&gt;&lt;keyword&gt;Pancreatic Juice/*chemistry&lt;/keyword&gt;&lt;keyword&gt;Pancreatic Neoplasms/chemistry/*diagnosis&lt;/keyword&gt;&lt;keyword&gt;Protein Array Analysis&lt;/keyword&gt;&lt;keyword&gt;Tumor Markers, Biological/*analysis&lt;/keyword&gt;&lt;/keywords&gt;&lt;dates&gt;&lt;year&gt;2008&lt;/year&gt;&lt;pub-dates&gt;&lt;date&gt;Sep-Oct&lt;/date&gt;&lt;/pub-dates&gt;&lt;/dates&gt;&lt;accession-num&gt;19102401&lt;/accession-num&gt;&lt;urls&gt;&lt;related-urls&gt;&lt;url&gt;http://www.ncbi.nlm.nih.gov/entrez/query.fcgi?cmd=Retrieve&amp;amp;db=PubMed&amp;amp;dopt=Citation&amp;amp;list_uids=19102401 &lt;/url&gt;&lt;/related-urls&gt;&lt;/urls&gt;&lt;/record&gt;&lt;/Cite&gt;&lt;/EndNote&gt;</w:instrText>
      </w:r>
      <w:r w:rsidRPr="00873C4C">
        <w:rPr>
          <w:color w:val="000000"/>
          <w:lang w:val="en"/>
        </w:rPr>
        <w:fldChar w:fldCharType="separate"/>
      </w:r>
      <w:r w:rsidR="006F41FE">
        <w:rPr>
          <w:noProof/>
          <w:color w:val="000000"/>
          <w:lang w:val="en"/>
        </w:rPr>
        <w:t>(</w:t>
      </w:r>
      <w:hyperlink w:anchor="_ENREF_384" w:tooltip="Shirai, 2008 #1" w:history="1">
        <w:r w:rsidR="004A784D">
          <w:rPr>
            <w:noProof/>
            <w:color w:val="000000"/>
            <w:lang w:val="en"/>
          </w:rPr>
          <w:t>Shirai et al., 2008</w:t>
        </w:r>
      </w:hyperlink>
      <w:r w:rsidR="006F41FE">
        <w:rPr>
          <w:noProof/>
          <w:color w:val="000000"/>
          <w:lang w:val="en"/>
        </w:rPr>
        <w:t>)</w:t>
      </w:r>
      <w:r w:rsidRPr="00873C4C">
        <w:rPr>
          <w:color w:val="000000"/>
          <w:lang w:val="en"/>
        </w:rPr>
        <w:fldChar w:fldCharType="end"/>
      </w:r>
      <w:r w:rsidRPr="00873C4C">
        <w:rPr>
          <w:color w:val="000000"/>
          <w:lang w:val="en"/>
        </w:rPr>
        <w:t xml:space="preserve">. </w:t>
      </w:r>
    </w:p>
    <w:p w:rsidR="00CA4D66" w:rsidRDefault="00CA4D66" w:rsidP="00057B42">
      <w:pPr>
        <w:spacing w:line="360" w:lineRule="auto"/>
        <w:jc w:val="both"/>
        <w:rPr>
          <w:color w:val="000000"/>
          <w:lang w:val="en"/>
        </w:rPr>
      </w:pPr>
    </w:p>
    <w:p w:rsidR="009B3750" w:rsidRDefault="00F334EE" w:rsidP="00057B42">
      <w:pPr>
        <w:spacing w:line="360" w:lineRule="auto"/>
        <w:jc w:val="both"/>
        <w:rPr>
          <w:color w:val="000000"/>
          <w:lang w:val="en"/>
        </w:rPr>
      </w:pPr>
      <w:r w:rsidRPr="00873C4C">
        <w:rPr>
          <w:color w:val="000000"/>
          <w:lang w:val="en"/>
        </w:rPr>
        <w:t>Protein microarrays are of increasing significance for high-throughput screening of clinical material. Applications of protein microarrays vary from biomarker discovery for diagnosis, prognosis, and monitoring response to drug treatments together with identification of protein pathways and modification changes such as phosphorylation/glycosylation associated with disease development and progression</w:t>
      </w:r>
      <w:r w:rsidR="00B5499B">
        <w:rPr>
          <w:color w:val="000000"/>
          <w:lang w:val="en"/>
        </w:rPr>
        <w:t xml:space="preserve"> </w:t>
      </w:r>
      <w:r w:rsidR="00B5499B">
        <w:rPr>
          <w:color w:val="000000"/>
          <w:lang w:val="en"/>
        </w:rPr>
        <w:fldChar w:fldCharType="begin"/>
      </w:r>
      <w:r w:rsidR="00B5499B">
        <w:rPr>
          <w:color w:val="000000"/>
          <w:lang w:val="en"/>
        </w:rPr>
        <w:instrText xml:space="preserve"> ADDIN EN.CITE &lt;EndNote&gt;&lt;Cite&gt;&lt;Author&gt;Gay&lt;/Author&gt;&lt;Year&gt;2002&lt;/Year&gt;&lt;RecNum&gt;5338&lt;/RecNum&gt;&lt;DisplayText&gt;(Gay et al., 2002)&lt;/DisplayText&gt;&lt;record&gt;&lt;rec-number&gt;5338&lt;/rec-number&gt;&lt;foreign-keys&gt;&lt;key app="EN" db-id="zf0awxsaczrdd3eft5qvw9wrtxxawdfrvw2a"&gt;5338&lt;/key&gt;&lt;/foreign-keys&gt;&lt;ref-type name="Journal Article"&gt;17&lt;/ref-type&gt;&lt;contributors&gt;&lt;authors&gt;&lt;author&gt;Gay, S.&lt;/author&gt;&lt;author&gt;Binz, P. A.&lt;/author&gt;&lt;author&gt;Hochstrasser, D. F.&lt;/author&gt;&lt;author&gt;Appel, R. D.&lt;/author&gt;&lt;/authors&gt;&lt;/contributors&gt;&lt;auth-address&gt;Swiss Institute of Bioinformatics, Geneva, Switzerland.&lt;/auth-address&gt;&lt;titles&gt;&lt;title&gt;Peptide mass fingerprinting peak intensity prediction: extracting knowledge from spectra&lt;/title&gt;&lt;secondary-title&gt;Proteomics&lt;/secondary-title&gt;&lt;/titles&gt;&lt;periodical&gt;&lt;full-title&gt;Proteomics&lt;/full-title&gt;&lt;/periodical&gt;&lt;pages&gt;1374-91&lt;/pages&gt;&lt;volume&gt;2&lt;/volume&gt;&lt;number&gt;10&lt;/number&gt;&lt;edition&gt;2002/11/08&lt;/edition&gt;&lt;keywords&gt;&lt;keyword&gt;Acrylamide/pharmacology&lt;/keyword&gt;&lt;keyword&gt;Actins/chemistry&lt;/keyword&gt;&lt;keyword&gt;Algorithms&lt;/keyword&gt;&lt;keyword&gt;Databases as Topic&lt;/keyword&gt;&lt;keyword&gt;Electrophoresis, Gel, Two-Dimensional&lt;/keyword&gt;&lt;keyword&gt;Humans&lt;/keyword&gt;&lt;keyword&gt;Hydrogen-Ion Concentration&lt;/keyword&gt;&lt;keyword&gt;Models, Statistical&lt;/keyword&gt;&lt;keyword&gt;Peptides/*analysis/chemistry&lt;/keyword&gt;&lt;keyword&gt;Sequence Analysis, Protein&lt;/keyword&gt;&lt;keyword&gt;Spectrometry, Mass, Matrix-Assisted Laser&lt;/keyword&gt;&lt;keyword&gt;Desorption-Ionization/instrumentation/*methods&lt;/keyword&gt;&lt;keyword&gt;Statistics as Topic&lt;/keyword&gt;&lt;keyword&gt;Trypsin/pharmacology&lt;/keyword&gt;&lt;/keywords&gt;&lt;dates&gt;&lt;year&gt;2002&lt;/year&gt;&lt;pub-dates&gt;&lt;date&gt;Oct&lt;/date&gt;&lt;/pub-dates&gt;&lt;/dates&gt;&lt;isbn&gt;1615-9853 (Print)&amp;#xD;1615-9853 (Linking)&lt;/isbn&gt;&lt;accession-num&gt;12422355&lt;/accession-num&gt;&lt;urls&gt;&lt;related-urls&gt;&lt;url&gt;http://www.ncbi.nlm.nih.gov/pubmed/12422355&lt;/url&gt;&lt;/related-urls&gt;&lt;/urls&gt;&lt;electronic-resource-num&gt;10.1002/1615-9861(200210)2:10&amp;lt;1374::AID-PROT1374&amp;gt;3.0.CO;2-D&lt;/electronic-resource-num&gt;&lt;language&gt;eng&lt;/language&gt;&lt;/record&gt;&lt;/Cite&gt;&lt;/EndNote&gt;</w:instrText>
      </w:r>
      <w:r w:rsidR="00B5499B">
        <w:rPr>
          <w:color w:val="000000"/>
          <w:lang w:val="en"/>
        </w:rPr>
        <w:fldChar w:fldCharType="separate"/>
      </w:r>
      <w:r w:rsidR="00B5499B">
        <w:rPr>
          <w:noProof/>
          <w:color w:val="000000"/>
          <w:lang w:val="en"/>
        </w:rPr>
        <w:t>(</w:t>
      </w:r>
      <w:hyperlink w:anchor="_ENREF_139" w:tooltip="Gay, 2002 #5338" w:history="1">
        <w:r w:rsidR="004A784D">
          <w:rPr>
            <w:noProof/>
            <w:color w:val="000000"/>
            <w:lang w:val="en"/>
          </w:rPr>
          <w:t>Gay et al., 2002</w:t>
        </w:r>
      </w:hyperlink>
      <w:r w:rsidR="00B5499B">
        <w:rPr>
          <w:noProof/>
          <w:color w:val="000000"/>
          <w:lang w:val="en"/>
        </w:rPr>
        <w:t>)</w:t>
      </w:r>
      <w:r w:rsidR="00B5499B">
        <w:rPr>
          <w:color w:val="000000"/>
          <w:lang w:val="en"/>
        </w:rPr>
        <w:fldChar w:fldCharType="end"/>
      </w:r>
      <w:r w:rsidRPr="00873C4C">
        <w:rPr>
          <w:color w:val="000000"/>
          <w:lang w:val="en"/>
        </w:rPr>
        <w:t xml:space="preserve">. Different array formats are available to study the biochemical activities of proteins including analytical microarrays, functional microarrays, and reverse phase microarrays </w:t>
      </w:r>
      <w:r w:rsidRPr="00873C4C">
        <w:rPr>
          <w:color w:val="000000"/>
          <w:lang w:val="en"/>
        </w:rPr>
        <w:fldChar w:fldCharType="begin"/>
      </w:r>
      <w:r w:rsidR="006F41FE">
        <w:rPr>
          <w:color w:val="000000"/>
          <w:lang w:val="en"/>
        </w:rPr>
        <w:instrText xml:space="preserve"> ADDIN EN.CITE &lt;EndNote&gt;&lt;Cite&gt;&lt;Author&gt;Boyd&lt;/Author&gt;&lt;Year&gt;2008&lt;/Year&gt;&lt;RecNum&gt;1&lt;/RecNum&gt;&lt;DisplayText&gt;(Boyd et al., 2008)&lt;/DisplayText&gt;&lt;record&gt;&lt;rec-number&gt;1&lt;/rec-number&gt;&lt;ref-type name="Journal Article"&gt;17&lt;/ref-type&gt;&lt;contributors&gt;&lt;authors&gt;&lt;author&gt;Boyd, Z. S.&lt;/author&gt;&lt;author&gt;Wu, Q. J.&lt;/author&gt;&lt;author&gt;O&amp;apos;Brien, C.&lt;/author&gt;&lt;author&gt;Spoerke, J.&lt;/author&gt;&lt;author&gt;Savage, H.&lt;/author&gt;&lt;author&gt;Fielder, P. J.&lt;/author&gt;&lt;author&gt;Amler, L.&lt;/author&gt;&lt;author&gt;Yan, Y.&lt;/author&gt;&lt;author&gt;Lackner, M. R.&lt;/author&gt;&lt;/authors&gt;&lt;/contributors&gt;&lt;auth-address&gt;Department of Development Oncology Diagnostics, Genentech, Inc., South San Francisco, California 94080, USA.&lt;/auth-address&gt;&lt;titles&gt;&lt;title&gt;Proteomic analysis of breast cancer molecular subtypes and biomarkers of response to targeted kinase inhibitors using reverse-phase protein microarrays&lt;/title&gt;&lt;secondary-title&gt;Mol Cancer Ther&lt;/secondary-title&gt;&lt;/titles&gt;&lt;pages&gt;3695-706&lt;/pages&gt;&lt;volume&gt;7&lt;/volume&gt;&lt;number&gt;12&lt;/number&gt;&lt;keywords&gt;&lt;keyword&gt;1-Phosphatidylinositol 3-Kinase/metabolism&lt;/keyword&gt;&lt;keyword&gt;Breast Neoplasms/*drug therapy/*metabolism/pathology&lt;/keyword&gt;&lt;keyword&gt;Cell Line, Tumor&lt;/keyword&gt;&lt;keyword&gt;Cluster Analysis&lt;/keyword&gt;&lt;keyword&gt;Drug Screening Assays, Antitumor/*methods&lt;/keyword&gt;&lt;keyword&gt;Enzyme Inhibitors/chemistry/*pharmacology&lt;/keyword&gt;&lt;keyword&gt;Extracellular Signal-Regulated MAP Kinases/metabolism&lt;/keyword&gt;&lt;keyword&gt;Humans&lt;/keyword&gt;&lt;keyword&gt;Phosphorylation&lt;/keyword&gt;&lt;keyword&gt;Protein Array Analysis&lt;/keyword&gt;&lt;keyword&gt;Protein Kinase Inhibitors/*pharmacology&lt;/keyword&gt;&lt;keyword&gt;Proteomics/*methods&lt;/keyword&gt;&lt;keyword&gt;RNA, Small Interfering/metabolism&lt;/keyword&gt;&lt;keyword&gt;Signal Transduction&lt;/keyword&gt;&lt;keyword&gt;Tumor Markers, Biological/*metabolism&lt;/keyword&gt;&lt;/keywords&gt;&lt;dates&gt;&lt;year&gt;2008&lt;/year&gt;&lt;pub-dates&gt;&lt;date&gt;Dec&lt;/date&gt;&lt;/pub-dates&gt;&lt;/dates&gt;&lt;accession-num&gt;19056674&lt;/accession-num&gt;&lt;urls&gt;&lt;related-urls&gt;&lt;url&gt;http://www.ncbi.nlm.nih.gov/entrez/query.fcgi?cmd=Retrieve&amp;amp;db=PubMed&amp;amp;dopt=Citation&amp;amp;list_uids=19056674 &lt;/url&gt;&lt;/related-urls&gt;&lt;/urls&gt;&lt;/record&gt;&lt;/Cite&gt;&lt;/EndNote&gt;</w:instrText>
      </w:r>
      <w:r w:rsidRPr="00873C4C">
        <w:rPr>
          <w:color w:val="000000"/>
          <w:lang w:val="en"/>
        </w:rPr>
        <w:fldChar w:fldCharType="separate"/>
      </w:r>
      <w:r w:rsidR="006F41FE">
        <w:rPr>
          <w:noProof/>
          <w:color w:val="000000"/>
          <w:lang w:val="en"/>
        </w:rPr>
        <w:t>(</w:t>
      </w:r>
      <w:hyperlink w:anchor="_ENREF_54" w:tooltip="Boyd, 2008 #1" w:history="1">
        <w:r w:rsidR="004A784D">
          <w:rPr>
            <w:noProof/>
            <w:color w:val="000000"/>
            <w:lang w:val="en"/>
          </w:rPr>
          <w:t>Boyd et al., 2008</w:t>
        </w:r>
      </w:hyperlink>
      <w:r w:rsidR="006F41FE">
        <w:rPr>
          <w:noProof/>
          <w:color w:val="000000"/>
          <w:lang w:val="en"/>
        </w:rPr>
        <w:t>)</w:t>
      </w:r>
      <w:r w:rsidRPr="00873C4C">
        <w:rPr>
          <w:color w:val="000000"/>
          <w:lang w:val="en"/>
        </w:rPr>
        <w:fldChar w:fldCharType="end"/>
      </w:r>
      <w:r w:rsidRPr="00873C4C">
        <w:rPr>
          <w:color w:val="000000"/>
          <w:lang w:val="en"/>
        </w:rPr>
        <w:t>. Analytical protein microarrays are particularly suited to biomarker discovery because of their reproducibility, high through-put nature and the ability to detect low-abundance proteins that are difficult to</w:t>
      </w:r>
      <w:r w:rsidRPr="00873C4C">
        <w:rPr>
          <w:color w:val="000000"/>
        </w:rPr>
        <w:t xml:space="preserve"> analyse</w:t>
      </w:r>
      <w:r w:rsidRPr="00873C4C">
        <w:rPr>
          <w:color w:val="000000"/>
          <w:lang w:val="en"/>
        </w:rPr>
        <w:t xml:space="preserve"> using traditional proteomics-based methodologies</w:t>
      </w:r>
      <w:r w:rsidR="000A1009">
        <w:rPr>
          <w:color w:val="000000"/>
          <w:lang w:val="en"/>
        </w:rPr>
        <w:t xml:space="preserve"> (Figure 1-11)</w:t>
      </w:r>
      <w:r w:rsidRPr="00873C4C">
        <w:rPr>
          <w:color w:val="000000"/>
          <w:lang w:val="en"/>
        </w:rPr>
        <w:t>.</w:t>
      </w:r>
      <w:r w:rsidR="00511B10" w:rsidRPr="00873C4C">
        <w:rPr>
          <w:color w:val="000000"/>
          <w:lang w:val="en"/>
        </w:rPr>
        <w:t xml:space="preserve"> </w:t>
      </w:r>
    </w:p>
    <w:p w:rsidR="003661CB" w:rsidRPr="00873C4C" w:rsidRDefault="003661CB" w:rsidP="00057B42">
      <w:pPr>
        <w:spacing w:line="360" w:lineRule="auto"/>
        <w:jc w:val="both"/>
        <w:rPr>
          <w:color w:val="000000"/>
          <w:lang w:val="en"/>
        </w:rPr>
      </w:pPr>
    </w:p>
    <w:p w:rsidR="009B3750" w:rsidRPr="00873C4C" w:rsidRDefault="00ED7D82" w:rsidP="00057B42">
      <w:pPr>
        <w:spacing w:line="360" w:lineRule="auto"/>
        <w:jc w:val="center"/>
        <w:rPr>
          <w:color w:val="000000"/>
        </w:rPr>
      </w:pPr>
      <w:r>
        <w:rPr>
          <w:noProof/>
          <w:color w:val="000000"/>
          <w:lang w:eastAsia="en-IE"/>
        </w:rPr>
        <w:drawing>
          <wp:inline distT="0" distB="0" distL="0" distR="0" wp14:anchorId="6DD7227B" wp14:editId="7152B015">
            <wp:extent cx="4062730" cy="2553335"/>
            <wp:effectExtent l="0" t="0" r="0" b="0"/>
            <wp:docPr id="15" name="Picture 6" descr="Description: Waters_HPLC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Waters_HPLCSyste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62730" cy="2553335"/>
                    </a:xfrm>
                    <a:prstGeom prst="rect">
                      <a:avLst/>
                    </a:prstGeom>
                    <a:noFill/>
                    <a:ln>
                      <a:noFill/>
                    </a:ln>
                  </pic:spPr>
                </pic:pic>
              </a:graphicData>
            </a:graphic>
          </wp:inline>
        </w:drawing>
      </w:r>
    </w:p>
    <w:p w:rsidR="00CA4D66" w:rsidRDefault="00CA4D66" w:rsidP="00057B42">
      <w:pPr>
        <w:pStyle w:val="Caption"/>
        <w:pBdr>
          <w:bottom w:val="single" w:sz="12" w:space="1" w:color="auto"/>
        </w:pBdr>
        <w:jc w:val="both"/>
        <w:rPr>
          <w:color w:val="000000"/>
        </w:rPr>
      </w:pPr>
    </w:p>
    <w:p w:rsidR="00E210A3" w:rsidRDefault="00E210A3" w:rsidP="00057B42">
      <w:pPr>
        <w:pStyle w:val="Caption"/>
        <w:pBdr>
          <w:bottom w:val="single" w:sz="12" w:space="1" w:color="auto"/>
        </w:pBdr>
        <w:jc w:val="both"/>
        <w:rPr>
          <w:color w:val="000000"/>
        </w:rPr>
      </w:pPr>
      <w:r w:rsidRPr="00873C4C">
        <w:rPr>
          <w:color w:val="000000"/>
        </w:rPr>
        <w:t>Figure 1-1</w:t>
      </w:r>
      <w:r w:rsidR="000A1009">
        <w:rPr>
          <w:color w:val="000000"/>
        </w:rPr>
        <w:t>1</w:t>
      </w:r>
      <w:r w:rsidRPr="00873C4C">
        <w:rPr>
          <w:color w:val="000000"/>
        </w:rPr>
        <w:t xml:space="preserve"> HPLC is a separation technique that involves, the injection of a small volume of liquid sample into a tube packed with tiny particles (3 to 5 micron (μm) in diameter called the stationary phase) where individual components of the sample are moved down the packed tube (column) with a liquid (mobile phase). These components are separated from one another by the </w:t>
      </w:r>
      <w:r w:rsidRPr="00873C4C">
        <w:rPr>
          <w:color w:val="000000"/>
        </w:rPr>
        <w:lastRenderedPageBreak/>
        <w:t xml:space="preserve">column packing that involves various chemical and/or physical interactions between their molecules and the packing particles. These separated components are detected at the exit of this tube (column) by a flow-through device (detector) that measures their amount. An output from this detector is called a “liquid chromatogram. </w:t>
      </w:r>
    </w:p>
    <w:p w:rsidR="00715AD9" w:rsidRDefault="00715AD9" w:rsidP="00057B42">
      <w:pPr>
        <w:spacing w:line="360" w:lineRule="auto"/>
      </w:pPr>
    </w:p>
    <w:p w:rsidR="00E346BD" w:rsidRDefault="00E346BD" w:rsidP="00645687">
      <w:pPr>
        <w:pStyle w:val="Heading4"/>
      </w:pPr>
      <w:r>
        <w:tab/>
      </w:r>
      <w:bookmarkStart w:id="500" w:name="_Toc312169205"/>
      <w:bookmarkStart w:id="501" w:name="_Toc312172132"/>
      <w:bookmarkStart w:id="502" w:name="_Toc312257681"/>
      <w:r w:rsidRPr="00E346BD">
        <w:t>Protein Identification</w:t>
      </w:r>
      <w:bookmarkEnd w:id="500"/>
      <w:bookmarkEnd w:id="501"/>
      <w:bookmarkEnd w:id="502"/>
    </w:p>
    <w:p w:rsidR="00E346BD" w:rsidRDefault="00E346BD" w:rsidP="006F0FA8">
      <w:pPr>
        <w:spacing w:before="240" w:line="360" w:lineRule="auto"/>
        <w:jc w:val="both"/>
      </w:pPr>
      <w:r w:rsidRPr="008320B8">
        <w:t>Mass Spectrometers can measure the mass of intact proteins but</w:t>
      </w:r>
      <w:r>
        <w:t xml:space="preserve"> </w:t>
      </w:r>
      <w:r w:rsidRPr="008320B8">
        <w:t>Proteins can be difficult to handle and are not always soluble under the same conditions.</w:t>
      </w:r>
      <w:r>
        <w:t xml:space="preserve"> </w:t>
      </w:r>
      <w:r w:rsidRPr="008320B8">
        <w:t>Detergents</w:t>
      </w:r>
      <w:r>
        <w:t xml:space="preserve"> can also</w:t>
      </w:r>
      <w:r w:rsidRPr="008320B8">
        <w:t xml:space="preserve"> interfere with MS as they ionise very well.</w:t>
      </w:r>
      <w:r>
        <w:t xml:space="preserve"> On many occasions r</w:t>
      </w:r>
      <w:r w:rsidRPr="008320B8">
        <w:t>atio of detergent to protei</w:t>
      </w:r>
      <w:r>
        <w:t>n are hugely in favour of detergent</w:t>
      </w:r>
      <w:r w:rsidR="006F0FA8">
        <w:t>.</w:t>
      </w:r>
      <w:r w:rsidRPr="008320B8">
        <w:t xml:space="preserve"> </w:t>
      </w:r>
      <w:r>
        <w:t>In addition, s</w:t>
      </w:r>
      <w:r w:rsidRPr="008320B8">
        <w:t>ensitivity of MS is lower for proteins than peptides.</w:t>
      </w:r>
      <w:r>
        <w:t xml:space="preserve"> </w:t>
      </w:r>
      <w:r w:rsidRPr="008320B8">
        <w:t>To identify a protein, sequence information is needed and a mass spectrometer is most effective at obtaining sequence  information from peptides up to 20 amino acids</w:t>
      </w:r>
      <w:r w:rsidR="008A68DC">
        <w:t xml:space="preserve"> </w:t>
      </w:r>
      <w:r w:rsidR="00B5499B">
        <w:fldChar w:fldCharType="begin"/>
      </w:r>
      <w:r w:rsidR="00D40710">
        <w:instrText xml:space="preserve"> ADDIN EN.CITE &lt;EndNote&gt;&lt;Cite&gt;&lt;Author&gt;Keller&lt;/Author&gt;&lt;Year&gt;2005&lt;/Year&gt;&lt;RecNum&gt;5330&lt;/RecNum&gt;&lt;DisplayText&gt;(Keller et al., 2005)&lt;/DisplayText&gt;&lt;record&gt;&lt;rec-number&gt;5330&lt;/rec-number&gt;&lt;foreign-keys&gt;&lt;key app="EN" db-id="zf0awxsaczrdd3eft5qvw9wrtxxawdfrvw2a"&gt;5330&lt;/key&gt;&lt;/foreign-keys&gt;&lt;ref-type name="Journal Article"&gt;17&lt;/ref-type&gt;&lt;contributors&gt;&lt;authors&gt;&lt;author&gt;Keller, A.&lt;/author&gt;&lt;author&gt;Eng, J.&lt;/author&gt;&lt;author&gt;Zhang, N.&lt;/author&gt;&lt;author&gt;Li, X. J.&lt;/author&gt;&lt;author&gt;Aebersold, R.&lt;/author&gt;&lt;/authors&gt;&lt;/contributors&gt;&lt;auth-address&gt;Institute for Systems Biology, Seattle, WA, USA. akeller@systemsbiology.org&lt;/auth-address&gt;&lt;titles&gt;&lt;title&gt;A uniform proteomics MS/MS analysis platform utilizing open XML file formats&lt;/title&gt;&lt;secondary-title&gt;Mol Syst Biol&lt;/secondary-title&gt;&lt;/titles&gt;&lt;periodical&gt;&lt;full-title&gt;Mol Syst Biol&lt;/full-title&gt;&lt;/periodical&gt;&lt;pages&gt;2005 0017&lt;/pages&gt;&lt;volume&gt;1&lt;/volume&gt;&lt;edition&gt;2006/05/27&lt;/edition&gt;&lt;keywords&gt;&lt;keyword&gt;Archaeal Proteins/chemistry&lt;/keyword&gt;&lt;keyword&gt;Automatic Data Processing&lt;/keyword&gt;&lt;keyword&gt;Chromatography, Liquid&lt;/keyword&gt;&lt;keyword&gt;Databases, Factual&lt;/keyword&gt;&lt;keyword&gt;Halobacterium/chemistry&lt;/keyword&gt;&lt;keyword&gt;Information Storage and Retrieval/*methods&lt;/keyword&gt;&lt;keyword&gt;Mass Spectrometry/instrumentation/*methods&lt;/keyword&gt;&lt;keyword&gt;Peptides/chemistry&lt;/keyword&gt;&lt;keyword&gt;Probability&lt;/keyword&gt;&lt;keyword&gt;*Programming Languages&lt;/keyword&gt;&lt;keyword&gt;Proteins/chemistry&lt;/keyword&gt;&lt;keyword&gt;Proteomics/*methods&lt;/keyword&gt;&lt;keyword&gt;Spectrometry, Mass, Matrix-Assisted Laser&lt;/keyword&gt;&lt;keyword&gt;Desorption-Ionization/instrumentation&lt;/keyword&gt;&lt;/keywords&gt;&lt;dates&gt;&lt;year&gt;2005&lt;/year&gt;&lt;/dates&gt;&lt;isbn&gt;1744-4292 (Electronic)&amp;#xD;1744-4292 (Linking)&lt;/isbn&gt;&lt;accession-num&gt;16729052&lt;/accession-num&gt;&lt;urls&gt;&lt;related-urls&gt;&lt;url&gt;http://www.ncbi.nlm.nih.gov/pubmed/16729052&lt;/url&gt;&lt;/related-urls&gt;&lt;/urls&gt;&lt;custom2&gt;1681455&lt;/custom2&gt;&lt;electronic-resource-num&gt;msb4100024 [pii]&amp;#xD;10.1038/msb4100024&lt;/electronic-resource-num&gt;&lt;language&gt;eng&lt;/language&gt;&lt;/record&gt;&lt;/Cite&gt;&lt;/EndNote&gt;</w:instrText>
      </w:r>
      <w:r w:rsidR="00B5499B">
        <w:fldChar w:fldCharType="separate"/>
      </w:r>
      <w:r w:rsidR="00D40710">
        <w:rPr>
          <w:noProof/>
        </w:rPr>
        <w:t>(</w:t>
      </w:r>
      <w:hyperlink w:anchor="_ENREF_206" w:tooltip="Keller, 2005 #5330" w:history="1">
        <w:r w:rsidR="004A784D">
          <w:rPr>
            <w:noProof/>
          </w:rPr>
          <w:t>Keller et al., 2005</w:t>
        </w:r>
      </w:hyperlink>
      <w:r w:rsidR="00D40710">
        <w:rPr>
          <w:noProof/>
        </w:rPr>
        <w:t>)</w:t>
      </w:r>
      <w:r w:rsidR="00B5499B">
        <w:fldChar w:fldCharType="end"/>
      </w:r>
      <w:r w:rsidR="008A68DC">
        <w:t>(Figure 1-11)</w:t>
      </w:r>
      <w:r w:rsidR="00057B42">
        <w:t>.</w:t>
      </w:r>
    </w:p>
    <w:p w:rsidR="00E346BD" w:rsidRPr="00E346BD" w:rsidRDefault="00E346BD" w:rsidP="006F0FA8">
      <w:pPr>
        <w:pStyle w:val="Heading5"/>
        <w:spacing w:line="360" w:lineRule="auto"/>
        <w:ind w:left="0" w:firstLine="0"/>
      </w:pPr>
      <w:r w:rsidRPr="00E346BD">
        <w:t>Protein identification using Peptide identification techniques</w:t>
      </w:r>
    </w:p>
    <w:p w:rsidR="00E346BD" w:rsidRDefault="00E346BD" w:rsidP="006F0FA8">
      <w:pPr>
        <w:spacing w:before="240" w:line="360" w:lineRule="auto"/>
        <w:jc w:val="both"/>
      </w:pPr>
      <w:r w:rsidRPr="008320B8">
        <w:t>Protein identification techniques using Mass Spectrometry are really Peptide identification techniques</w:t>
      </w:r>
      <w:r>
        <w:t xml:space="preserve">. </w:t>
      </w:r>
      <w:r w:rsidRPr="008320B8">
        <w:t>Identification of proteins by mass spectrometry uses peptide masses or the MS/MS fragmentation of a peptide. A protein is firstly digested with an enzyme to produce peptides</w:t>
      </w:r>
      <w:r w:rsidR="00714E5E">
        <w:t xml:space="preserve"> </w:t>
      </w:r>
      <w:r w:rsidR="00714E5E">
        <w:fldChar w:fldCharType="begin">
          <w:fldData xml:space="preserve">PEVuZE5vdGU+PENpdGU+PEF1dGhvcj5CcmVlbjwvQXV0aG9yPjxZZWFyPjIwMDA8L1llYXI+PFJl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</w:fldData>
        </w:fldChar>
      </w:r>
      <w:r w:rsidR="00F9685D">
        <w:instrText xml:space="preserve"> ADDIN EN.CITE </w:instrText>
      </w:r>
      <w:r w:rsidR="00F9685D">
        <w:fldChar w:fldCharType="begin">
          <w:fldData xml:space="preserve">PEVuZE5vdGU+PENpdGU+PEF1dGhvcj5CcmVlbjwvQXV0aG9yPjxZZWFyPjIwMDA8L1llYXI+PFJl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</w:fldData>
        </w:fldChar>
      </w:r>
      <w:r w:rsidR="00F9685D">
        <w:instrText xml:space="preserve"> ADDIN EN.CITE.DATA </w:instrText>
      </w:r>
      <w:r w:rsidR="00F9685D">
        <w:fldChar w:fldCharType="end"/>
      </w:r>
      <w:r w:rsidR="00714E5E">
        <w:fldChar w:fldCharType="separate"/>
      </w:r>
      <w:r w:rsidR="00F9685D">
        <w:rPr>
          <w:noProof/>
        </w:rPr>
        <w:t>(</w:t>
      </w:r>
      <w:hyperlink w:anchor="_ENREF_55" w:tooltip="Breen, 2000 #5340" w:history="1">
        <w:r w:rsidR="004A784D">
          <w:rPr>
            <w:noProof/>
          </w:rPr>
          <w:t>Breen et al., 2000</w:t>
        </w:r>
      </w:hyperlink>
      <w:r w:rsidR="00F9685D">
        <w:rPr>
          <w:noProof/>
        </w:rPr>
        <w:t xml:space="preserve">, </w:t>
      </w:r>
      <w:hyperlink w:anchor="_ENREF_470" w:tooltip="Zhou, 2010 #5493" w:history="1">
        <w:r w:rsidR="004A784D">
          <w:rPr>
            <w:noProof/>
          </w:rPr>
          <w:t>Zhou et al., 2010b</w:t>
        </w:r>
      </w:hyperlink>
      <w:r w:rsidR="00F9685D">
        <w:rPr>
          <w:noProof/>
        </w:rPr>
        <w:t>)</w:t>
      </w:r>
      <w:r w:rsidR="00714E5E">
        <w:fldChar w:fldCharType="end"/>
      </w:r>
      <w:r w:rsidR="00B5499B">
        <w:t xml:space="preserve"> </w:t>
      </w:r>
    </w:p>
    <w:p w:rsidR="00267DBF" w:rsidRPr="00057B42" w:rsidRDefault="00267DBF" w:rsidP="00057B42"/>
    <w:p w:rsidR="00E346BD" w:rsidRDefault="00A86673" w:rsidP="00057B42">
      <w:pPr>
        <w:pStyle w:val="Heading6"/>
        <w:spacing w:line="360" w:lineRule="auto"/>
        <w:jc w:val="both"/>
      </w:pPr>
      <w:r>
        <w:tab/>
      </w:r>
      <w:r w:rsidR="00E346BD" w:rsidRPr="008320B8">
        <w:t>Pep</w:t>
      </w:r>
      <w:r w:rsidR="00E346BD">
        <w:t>tide Mass Fingerprinting (PMF)</w:t>
      </w:r>
    </w:p>
    <w:p w:rsidR="00E346BD" w:rsidRDefault="00E346BD" w:rsidP="006F0FA8">
      <w:pPr>
        <w:spacing w:before="240" w:line="360" w:lineRule="auto"/>
        <w:jc w:val="both"/>
      </w:pPr>
      <w:r>
        <w:t>In PMF technique, th</w:t>
      </w:r>
      <w:r w:rsidRPr="008320B8">
        <w:t>e peptides are analysed by mass spectrometry and the masses generated are then used to search against a sequence database</w:t>
      </w:r>
      <w:r w:rsidR="00714E5E">
        <w:t xml:space="preserve"> </w:t>
      </w:r>
      <w:r w:rsidR="00714E5E">
        <w:fldChar w:fldCharType="begin"/>
      </w:r>
      <w:r w:rsidR="00714E5E">
        <w:instrText xml:space="preserve"> ADDIN EN.CITE &lt;EndNote&gt;&lt;Cite&gt;&lt;Author&gt;Gay&lt;/Author&gt;&lt;Year&gt;2002&lt;/Year&gt;&lt;RecNum&gt;5338&lt;/RecNum&gt;&lt;DisplayText&gt;(Gay et al., 2002)&lt;/DisplayText&gt;&lt;record&gt;&lt;rec-number&gt;5338&lt;/rec-number&gt;&lt;foreign-keys&gt;&lt;key app="EN" db-id="zf0awxsaczrdd3eft5qvw9wrtxxawdfrvw2a"&gt;5338&lt;/key&gt;&lt;/foreign-keys&gt;&lt;ref-type name="Journal Article"&gt;17&lt;/ref-type&gt;&lt;contributors&gt;&lt;authors&gt;&lt;author&gt;Gay, S.&lt;/author&gt;&lt;author&gt;Binz, P. A.&lt;/author&gt;&lt;author&gt;Hochstrasser, D. F.&lt;/author&gt;&lt;author&gt;Appel, R. D.&lt;/author&gt;&lt;/authors&gt;&lt;/contributors&gt;&lt;auth-address&gt;Swiss Institute of Bioinformatics, Geneva, Switzerland.&lt;/auth-address&gt;&lt;titles&gt;&lt;title&gt;Peptide mass fingerprinting peak intensity prediction: extracting knowledge from spectra&lt;/title&gt;&lt;secondary-title&gt;Proteomics&lt;/secondary-title&gt;&lt;/titles&gt;&lt;periodical&gt;&lt;full-title&gt;Proteomics&lt;/full-title&gt;&lt;/periodical&gt;&lt;pages&gt;1374-91&lt;/pages&gt;&lt;volume&gt;2&lt;/volume&gt;&lt;number&gt;10&lt;/number&gt;&lt;edition&gt;2002/11/08&lt;/edition&gt;&lt;keywords&gt;&lt;keyword&gt;Acrylamide/pharmacology&lt;/keyword&gt;&lt;keyword&gt;Actins/chemistry&lt;/keyword&gt;&lt;keyword&gt;Algorithms&lt;/keyword&gt;&lt;keyword&gt;Databases as Topic&lt;/keyword&gt;&lt;keyword&gt;Electrophoresis, Gel, Two-Dimensional&lt;/keyword&gt;&lt;keyword&gt;Humans&lt;/keyword&gt;&lt;keyword&gt;Hydrogen-Ion Concentration&lt;/keyword&gt;&lt;keyword&gt;Models, Statistical&lt;/keyword&gt;&lt;keyword&gt;Peptides/*analysis/chemistry&lt;/keyword&gt;&lt;keyword&gt;Sequence Analysis, Protein&lt;/keyword&gt;&lt;keyword&gt;Spectrometry, Mass, Matrix-Assisted Laser&lt;/keyword&gt;&lt;keyword&gt;Desorption-Ionization/instrumentation/*methods&lt;/keyword&gt;&lt;keyword&gt;Statistics as Topic&lt;/keyword&gt;&lt;keyword&gt;Trypsin/pharmacology&lt;/keyword&gt;&lt;/keywords&gt;&lt;dates&gt;&lt;year&gt;2002&lt;/year&gt;&lt;pub-dates&gt;&lt;date&gt;Oct&lt;/date&gt;&lt;/pub-dates&gt;&lt;/dates&gt;&lt;isbn&gt;1615-9853 (Print)&amp;#xD;1615-9853 (Linking)&lt;/isbn&gt;&lt;accession-num&gt;12422355&lt;/accession-num&gt;&lt;urls&gt;&lt;related-urls&gt;&lt;url&gt;http://www.ncbi.nlm.nih.gov/pubmed/12422355&lt;/url&gt;&lt;/related-urls&gt;&lt;/urls&gt;&lt;electronic-resource-num&gt;10.1002/1615-9861(200210)2:10&amp;lt;1374::AID-PROT1374&amp;gt;3.0.CO;2-D&lt;/electronic-resource-num&gt;&lt;language&gt;eng&lt;/language&gt;&lt;/record&gt;&lt;/Cite&gt;&lt;/EndNote&gt;</w:instrText>
      </w:r>
      <w:r w:rsidR="00714E5E">
        <w:fldChar w:fldCharType="separate"/>
      </w:r>
      <w:r w:rsidR="00714E5E">
        <w:rPr>
          <w:noProof/>
        </w:rPr>
        <w:t>(</w:t>
      </w:r>
      <w:hyperlink w:anchor="_ENREF_139" w:tooltip="Gay, 2002 #5338" w:history="1">
        <w:r w:rsidR="004A784D">
          <w:rPr>
            <w:noProof/>
          </w:rPr>
          <w:t>Gay et al., 2002</w:t>
        </w:r>
      </w:hyperlink>
      <w:r w:rsidR="00714E5E">
        <w:rPr>
          <w:noProof/>
        </w:rPr>
        <w:t>)</w:t>
      </w:r>
      <w:r w:rsidR="00714E5E">
        <w:fldChar w:fldCharType="end"/>
      </w:r>
      <w:r w:rsidR="00714E5E">
        <w:t>.</w:t>
      </w:r>
      <w:r w:rsidRPr="008320B8">
        <w:t xml:space="preserve"> </w:t>
      </w:r>
    </w:p>
    <w:p w:rsidR="00E346BD" w:rsidRDefault="00E346BD" w:rsidP="006F0FA8">
      <w:pPr>
        <w:pStyle w:val="Heading6"/>
        <w:spacing w:line="360" w:lineRule="auto"/>
        <w:ind w:left="0" w:firstLine="0"/>
        <w:jc w:val="both"/>
      </w:pPr>
      <w:r>
        <w:t>MS/MS Peptide Identification</w:t>
      </w:r>
      <w:r w:rsidRPr="008320B8">
        <w:t xml:space="preserve"> </w:t>
      </w:r>
    </w:p>
    <w:p w:rsidR="00E346BD" w:rsidRDefault="00E346BD" w:rsidP="006F0FA8">
      <w:pPr>
        <w:spacing w:before="240" w:line="360" w:lineRule="auto"/>
        <w:jc w:val="both"/>
      </w:pPr>
      <w:r w:rsidRPr="008320B8">
        <w:t>A peptide is fragmented in a mass spectrometer and the fragment ion masses are then used to search a sequence database.  Proteins can be correlated with the fragmentation of a single peptide using this technique</w:t>
      </w:r>
      <w:r w:rsidR="00714E5E">
        <w:t xml:space="preserve"> </w:t>
      </w:r>
      <w:r w:rsidR="00714E5E">
        <w:fldChar w:fldCharType="begin">
          <w:fldData xml:space="preserve">PEVuZE5vdGU+PENpdGU+PEF1dGhvcj5Kb2huc29uPC9BdXRob3I+PFllYXI+MjAwNTwvWWVhcj48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</w:fldData>
        </w:fldChar>
      </w:r>
      <w:r w:rsidR="00714E5E">
        <w:instrText xml:space="preserve"> ADDIN EN.CITE </w:instrText>
      </w:r>
      <w:r w:rsidR="00714E5E">
        <w:fldChar w:fldCharType="begin">
          <w:fldData xml:space="preserve">PEVuZE5vdGU+PENpdGU+PEF1dGhvcj5Kb2huc29uPC9BdXRob3I+PFllYXI+MjAwNTwvWWVhcj48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</w:fldData>
        </w:fldChar>
      </w:r>
      <w:r w:rsidR="00714E5E">
        <w:instrText xml:space="preserve"> ADDIN EN.CITE.DATA </w:instrText>
      </w:r>
      <w:r w:rsidR="00714E5E">
        <w:fldChar w:fldCharType="end"/>
      </w:r>
      <w:r w:rsidR="00714E5E">
        <w:fldChar w:fldCharType="separate"/>
      </w:r>
      <w:r w:rsidR="00714E5E">
        <w:rPr>
          <w:noProof/>
        </w:rPr>
        <w:t>(</w:t>
      </w:r>
      <w:hyperlink w:anchor="_ENREF_193" w:tooltip="Johnson, 2005 #5332" w:history="1">
        <w:r w:rsidR="004A784D">
          <w:rPr>
            <w:noProof/>
          </w:rPr>
          <w:t>Johnson et al., 2005</w:t>
        </w:r>
      </w:hyperlink>
      <w:r w:rsidR="00714E5E">
        <w:rPr>
          <w:noProof/>
        </w:rPr>
        <w:t>)</w:t>
      </w:r>
      <w:r w:rsidR="00714E5E">
        <w:fldChar w:fldCharType="end"/>
      </w:r>
      <w:r w:rsidRPr="008320B8">
        <w:t>.</w:t>
      </w:r>
    </w:p>
    <w:p w:rsidR="00E346BD" w:rsidRDefault="00E346BD" w:rsidP="00057B42">
      <w:pPr>
        <w:spacing w:line="360" w:lineRule="auto"/>
        <w:jc w:val="both"/>
      </w:pPr>
    </w:p>
    <w:p w:rsidR="008A68DC" w:rsidRDefault="00E346BD" w:rsidP="00057B42">
      <w:pPr>
        <w:keepNext/>
        <w:spacing w:line="360" w:lineRule="auto"/>
        <w:jc w:val="center"/>
      </w:pPr>
      <w:r w:rsidRPr="00E346BD">
        <w:rPr>
          <w:noProof/>
          <w:lang w:eastAsia="en-IE"/>
        </w:rPr>
        <w:lastRenderedPageBreak/>
        <w:drawing>
          <wp:inline distT="0" distB="0" distL="0" distR="0" wp14:anchorId="0645D4DA" wp14:editId="4003533C">
            <wp:extent cx="4832705" cy="2860158"/>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21089"/>
                    <a:stretch/>
                  </pic:blipFill>
                  <pic:spPr bwMode="auto">
                    <a:xfrm>
                      <a:off x="0" y="0"/>
                      <a:ext cx="4843366" cy="2866467"/>
                    </a:xfrm>
                    <a:prstGeom prst="rect">
                      <a:avLst/>
                    </a:prstGeom>
                    <a:ln>
                      <a:noFill/>
                    </a:ln>
                    <a:extLst>
                      <a:ext uri="{53640926-AAD7-44D8-BBD7-CCE9431645EC}">
                        <a14:shadowObscured xmlns:a14="http://schemas.microsoft.com/office/drawing/2010/main"/>
                      </a:ext>
                    </a:extLst>
                  </pic:spPr>
                </pic:pic>
              </a:graphicData>
            </a:graphic>
          </wp:inline>
        </w:drawing>
      </w:r>
    </w:p>
    <w:p w:rsidR="00A86673" w:rsidRDefault="00A86673" w:rsidP="00057B42">
      <w:pPr>
        <w:pStyle w:val="Caption"/>
        <w:jc w:val="both"/>
      </w:pPr>
    </w:p>
    <w:p w:rsidR="00E346BD" w:rsidRDefault="008A68DC" w:rsidP="00057B42">
      <w:pPr>
        <w:pStyle w:val="Caption"/>
        <w:jc w:val="both"/>
      </w:pPr>
      <w:r>
        <w:t xml:space="preserve">Figure </w:t>
      </w:r>
      <w:fldSimple w:instr=" STYLEREF 1 \s ">
        <w:r w:rsidR="0081644B">
          <w:rPr>
            <w:noProof/>
          </w:rPr>
          <w:t>1</w:t>
        </w:r>
      </w:fldSimple>
      <w:r>
        <w:noBreakHyphen/>
      </w:r>
      <w:fldSimple w:instr=" SEQ Figure \* ARABIC \s 1 ">
        <w:r w:rsidR="0081644B">
          <w:rPr>
            <w:noProof/>
          </w:rPr>
          <w:t>11</w:t>
        </w:r>
      </w:fldSimple>
      <w:r w:rsidR="006F0FA8">
        <w:rPr>
          <w:noProof/>
        </w:rPr>
        <w:t>2</w:t>
      </w:r>
      <w:r>
        <w:tab/>
        <w:t>shows the diagrammatic representation of i</w:t>
      </w:r>
      <w:r w:rsidRPr="008A68DC">
        <w:t>dentification of proteins by mass spectrometry uses peptide masses or the MS/MS fragmentation of a peptide. A protein is firstly digested with an enzyme to produce peptides.</w:t>
      </w:r>
    </w:p>
    <w:p w:rsidR="008A68DC" w:rsidRDefault="008A68DC" w:rsidP="00057B42">
      <w:pPr>
        <w:pBdr>
          <w:bottom w:val="single" w:sz="12" w:space="1" w:color="auto"/>
        </w:pBdr>
        <w:spacing w:line="360" w:lineRule="auto"/>
      </w:pPr>
    </w:p>
    <w:p w:rsidR="008A68DC" w:rsidRPr="008A68DC" w:rsidRDefault="008A68DC" w:rsidP="00057B42">
      <w:pPr>
        <w:spacing w:line="360" w:lineRule="auto"/>
      </w:pPr>
    </w:p>
    <w:p w:rsidR="00A07F01" w:rsidRPr="00873C4C" w:rsidRDefault="00CA4D66" w:rsidP="00645687">
      <w:pPr>
        <w:pStyle w:val="Heading4"/>
      </w:pPr>
      <w:bookmarkStart w:id="503" w:name="_Toc305759148"/>
      <w:bookmarkStart w:id="504" w:name="_Toc306570575"/>
      <w:bookmarkStart w:id="505" w:name="_Toc307067640"/>
      <w:r>
        <w:tab/>
        <w:t xml:space="preserve"> </w:t>
      </w:r>
      <w:bookmarkStart w:id="506" w:name="_Toc312169206"/>
      <w:bookmarkStart w:id="507" w:name="_Toc312172133"/>
      <w:bookmarkStart w:id="508" w:name="_Toc312257682"/>
      <w:r w:rsidR="00A07F01" w:rsidRPr="00873C4C">
        <w:t xml:space="preserve">Applications of </w:t>
      </w:r>
      <w:r w:rsidR="00EC2846" w:rsidRPr="00873C4C">
        <w:t>2D-</w:t>
      </w:r>
      <w:r w:rsidR="00A07F01" w:rsidRPr="00873C4C">
        <w:t>DIGE</w:t>
      </w:r>
      <w:bookmarkEnd w:id="503"/>
      <w:r w:rsidR="00EC2846" w:rsidRPr="00873C4C">
        <w:t xml:space="preserve"> technique</w:t>
      </w:r>
      <w:bookmarkEnd w:id="504"/>
      <w:bookmarkEnd w:id="505"/>
      <w:bookmarkEnd w:id="506"/>
      <w:bookmarkEnd w:id="507"/>
      <w:bookmarkEnd w:id="508"/>
    </w:p>
    <w:p w:rsidR="00C241AC" w:rsidRDefault="00A07F01" w:rsidP="003C0D79">
      <w:pPr>
        <w:spacing w:before="240" w:line="360" w:lineRule="auto"/>
        <w:jc w:val="both"/>
        <w:rPr>
          <w:color w:val="000000"/>
        </w:rPr>
      </w:pPr>
      <w:r w:rsidRPr="00873C4C">
        <w:rPr>
          <w:color w:val="000000"/>
        </w:rPr>
        <w:t xml:space="preserve">To date, the DIGE technology has been used with great success to study a variety of systems, allowing the detection of more subtle changes in protein expression than conventional methods where separate samples are loaded onto each gel (Gade, Thiermann et al. 2003); these  include breast cancer cells (Gharbi, Gaffney et al. 2002), cat brain (Bergh, Clerens et al. 2003), esophogeal cancer cells (Zhou, Ranish et al. 2002), yeast (Hu, Wang et al. 2003), chloroplast (Kubis, Baldwin et al. 2003), GPI-anchored proteins (Borner, Lilley et al. 2003),  murine mitochondria (Kernec, Unlu et al. 2001), mouse brain (Skynner, Rosahl et al. 2002) and  rat heart (Sakai, Ishikawa et al. 2003), although as yet there is a dearth of publications where the internal standard system is used. Knowles et al (Knowles, Cervino et al. 2003) have described a significant increase in the accuracy of determination of differential protein expression using the Cy2-labelled internal standard approach. </w:t>
      </w:r>
    </w:p>
    <w:p w:rsidR="00C241AC" w:rsidRDefault="00C241AC" w:rsidP="00057B42">
      <w:pPr>
        <w:spacing w:line="360" w:lineRule="auto"/>
        <w:jc w:val="both"/>
        <w:rPr>
          <w:color w:val="000000"/>
        </w:rPr>
      </w:pPr>
    </w:p>
    <w:p w:rsidR="00A07F01" w:rsidRPr="00873C4C" w:rsidRDefault="00A07F01" w:rsidP="00057B42">
      <w:pPr>
        <w:spacing w:line="360" w:lineRule="auto"/>
        <w:jc w:val="both"/>
        <w:rPr>
          <w:color w:val="000000"/>
        </w:rPr>
      </w:pPr>
      <w:r w:rsidRPr="00873C4C">
        <w:rPr>
          <w:color w:val="000000"/>
        </w:rPr>
        <w:lastRenderedPageBreak/>
        <w:t>They compared the relative abundances of proteins in cerebral cortex from wild-type mice and neurokinin 1 receptor knockout mice, to elucidate molecular pathways involving this protein. They also compared relative abundances and significance values for differentially expressed spots derived from gels incorporating the pooled Cy2-labelled standard, with values derived from the same gels but without normalising spot volumes to the corresponding pooled standard.  They demonstrated that virtually all differentially expressed spots gave lower significance levels and a higher incidence of false positives when derived without using the pooled standard for normalisation.  The authors reported being able to measure as little as 10% change in abundance with 95% confidence (p &lt; 0.05).</w:t>
      </w:r>
    </w:p>
    <w:p w:rsidR="006F0FA8" w:rsidRDefault="006F0FA8" w:rsidP="00057B42">
      <w:pPr>
        <w:spacing w:line="360" w:lineRule="auto"/>
        <w:jc w:val="both"/>
        <w:rPr>
          <w:color w:val="000000"/>
        </w:rPr>
      </w:pPr>
    </w:p>
    <w:p w:rsidR="00D335CB" w:rsidRPr="00873C4C" w:rsidRDefault="00D335CB" w:rsidP="00057B42">
      <w:pPr>
        <w:spacing w:line="360" w:lineRule="auto"/>
        <w:jc w:val="both"/>
        <w:rPr>
          <w:color w:val="000000"/>
        </w:rPr>
      </w:pPr>
    </w:p>
    <w:p w:rsidR="00D335CB" w:rsidRPr="00873C4C" w:rsidRDefault="00ED7D82" w:rsidP="00057B42">
      <w:pPr>
        <w:spacing w:line="360" w:lineRule="auto"/>
        <w:rPr>
          <w:color w:val="000000"/>
        </w:rPr>
      </w:pPr>
      <w:bookmarkStart w:id="509" w:name="_Toc261098476"/>
      <w:r>
        <w:rPr>
          <w:noProof/>
          <w:color w:val="000000"/>
          <w:lang w:eastAsia="en-IE"/>
        </w:rPr>
        <w:drawing>
          <wp:inline distT="0" distB="0" distL="0" distR="0" wp14:anchorId="6D96CA36" wp14:editId="4CD85F4B">
            <wp:extent cx="5210175" cy="356298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10175" cy="3562985"/>
                    </a:xfrm>
                    <a:prstGeom prst="rect">
                      <a:avLst/>
                    </a:prstGeom>
                    <a:noFill/>
                    <a:ln>
                      <a:noFill/>
                    </a:ln>
                  </pic:spPr>
                </pic:pic>
              </a:graphicData>
            </a:graphic>
          </wp:inline>
        </w:drawing>
      </w:r>
      <w:bookmarkEnd w:id="509"/>
    </w:p>
    <w:p w:rsidR="00511B10" w:rsidRPr="00873C4C" w:rsidRDefault="00511B10" w:rsidP="00057B42">
      <w:pPr>
        <w:spacing w:line="360" w:lineRule="auto"/>
        <w:rPr>
          <w:color w:val="000000"/>
        </w:rPr>
      </w:pPr>
    </w:p>
    <w:p w:rsidR="00A86673" w:rsidRDefault="00A86673" w:rsidP="00057B42">
      <w:pPr>
        <w:pStyle w:val="Caption"/>
        <w:pBdr>
          <w:bottom w:val="single" w:sz="12" w:space="1" w:color="auto"/>
        </w:pBdr>
        <w:jc w:val="both"/>
        <w:rPr>
          <w:color w:val="000000"/>
        </w:rPr>
      </w:pPr>
      <w:bookmarkStart w:id="510" w:name="_Toc260927161"/>
      <w:bookmarkStart w:id="511" w:name="_Toc304195969"/>
    </w:p>
    <w:p w:rsidR="00890DFC" w:rsidRPr="00873C4C" w:rsidRDefault="00D335CB" w:rsidP="00057B42">
      <w:pPr>
        <w:pStyle w:val="Caption"/>
        <w:pBdr>
          <w:bottom w:val="single" w:sz="12" w:space="1" w:color="auto"/>
        </w:pBdr>
        <w:jc w:val="both"/>
        <w:rPr>
          <w:color w:val="000000"/>
        </w:rPr>
      </w:pPr>
      <w:r w:rsidRPr="00873C4C">
        <w:rPr>
          <w:color w:val="000000"/>
        </w:rPr>
        <w:t xml:space="preserve">Figure </w:t>
      </w:r>
      <w:r w:rsidR="000A1009">
        <w:rPr>
          <w:color w:val="000000"/>
        </w:rPr>
        <w:t>1</w:t>
      </w:r>
      <w:r w:rsidR="008A68DC">
        <w:rPr>
          <w:color w:val="000000"/>
        </w:rPr>
        <w:noBreakHyphen/>
      </w:r>
      <w:r w:rsidR="008A68DC">
        <w:rPr>
          <w:color w:val="000000"/>
        </w:rPr>
        <w:fldChar w:fldCharType="begin"/>
      </w:r>
      <w:r w:rsidR="008A68DC">
        <w:rPr>
          <w:color w:val="000000"/>
        </w:rPr>
        <w:instrText xml:space="preserve"> SEQ Figure \* ARABIC \s 1 </w:instrText>
      </w:r>
      <w:r w:rsidR="008A68DC">
        <w:rPr>
          <w:color w:val="000000"/>
        </w:rPr>
        <w:fldChar w:fldCharType="separate"/>
      </w:r>
      <w:r w:rsidR="0081644B">
        <w:rPr>
          <w:noProof/>
          <w:color w:val="000000"/>
        </w:rPr>
        <w:t>12</w:t>
      </w:r>
      <w:r w:rsidR="008A68DC">
        <w:rPr>
          <w:color w:val="000000"/>
        </w:rPr>
        <w:fldChar w:fldCharType="end"/>
      </w:r>
      <w:r w:rsidR="006F0FA8">
        <w:rPr>
          <w:color w:val="000000"/>
        </w:rPr>
        <w:t>3</w:t>
      </w:r>
      <w:r w:rsidRPr="00873C4C">
        <w:rPr>
          <w:color w:val="000000"/>
        </w:rPr>
        <w:t xml:space="preserve"> shows flowchart of the </w:t>
      </w:r>
      <w:r w:rsidR="002968BA">
        <w:rPr>
          <w:color w:val="000000"/>
          <w:lang w:val="en-GB"/>
        </w:rPr>
        <w:t>2D-DIGE</w:t>
      </w:r>
      <w:r w:rsidRPr="00873C4C">
        <w:rPr>
          <w:color w:val="000000"/>
        </w:rPr>
        <w:t xml:space="preserve"> experiment process:</w:t>
      </w:r>
      <w:r w:rsidRPr="00873C4C">
        <w:rPr>
          <w:rFonts w:eastAsia="Times New Roman"/>
          <w:color w:val="000000"/>
          <w:lang w:eastAsia="en-US"/>
        </w:rPr>
        <w:t xml:space="preserve"> </w:t>
      </w:r>
      <w:r w:rsidRPr="00873C4C">
        <w:rPr>
          <w:color w:val="000000"/>
        </w:rPr>
        <w:t xml:space="preserve">Obtaining initial target samples from the bio-banks. Initial processing and storage of </w:t>
      </w:r>
      <w:r w:rsidR="00676041" w:rsidRPr="00873C4C">
        <w:rPr>
          <w:color w:val="000000"/>
        </w:rPr>
        <w:t>sample</w:t>
      </w:r>
      <w:r w:rsidR="001F0293" w:rsidRPr="00873C4C">
        <w:rPr>
          <w:color w:val="000000"/>
        </w:rPr>
        <w:t>, s</w:t>
      </w:r>
      <w:r w:rsidR="00676041" w:rsidRPr="00873C4C">
        <w:rPr>
          <w:color w:val="000000"/>
        </w:rPr>
        <w:t>ample</w:t>
      </w:r>
      <w:r w:rsidRPr="00873C4C">
        <w:rPr>
          <w:color w:val="000000"/>
        </w:rPr>
        <w:t xml:space="preserve"> Preparation for 2D-DIGE (Extraction and clean-up</w:t>
      </w:r>
      <w:r w:rsidR="00676041" w:rsidRPr="00873C4C">
        <w:rPr>
          <w:color w:val="000000"/>
        </w:rPr>
        <w:t>)</w:t>
      </w:r>
      <w:r w:rsidR="001F0293" w:rsidRPr="00873C4C">
        <w:rPr>
          <w:color w:val="000000"/>
        </w:rPr>
        <w:t xml:space="preserve"> p</w:t>
      </w:r>
      <w:r w:rsidR="00676041" w:rsidRPr="00873C4C">
        <w:rPr>
          <w:color w:val="000000"/>
        </w:rPr>
        <w:t>reliminary</w:t>
      </w:r>
      <w:r w:rsidRPr="00873C4C">
        <w:rPr>
          <w:color w:val="000000"/>
        </w:rPr>
        <w:t xml:space="preserve"> 2D gel for quality control purposes. Labelling (Cy2, Cy3 </w:t>
      </w:r>
      <w:r w:rsidR="0010315E">
        <w:rPr>
          <w:color w:val="000000"/>
        </w:rPr>
        <w:t>and</w:t>
      </w:r>
      <w:r w:rsidRPr="00873C4C">
        <w:rPr>
          <w:color w:val="000000"/>
        </w:rPr>
        <w:t xml:space="preserve"> Cy5)</w:t>
      </w:r>
      <w:r w:rsidR="006F0FA8">
        <w:rPr>
          <w:color w:val="000000"/>
        </w:rPr>
        <w:t>,</w:t>
      </w:r>
      <w:r w:rsidRPr="00873C4C">
        <w:rPr>
          <w:color w:val="000000"/>
        </w:rPr>
        <w:t xml:space="preserve"> DIGE 2D gel electrophoresis</w:t>
      </w:r>
      <w:r w:rsidR="006F0FA8">
        <w:rPr>
          <w:color w:val="000000"/>
        </w:rPr>
        <w:t>,</w:t>
      </w:r>
      <w:r w:rsidRPr="00873C4C">
        <w:rPr>
          <w:color w:val="000000"/>
        </w:rPr>
        <w:t xml:space="preserve"> Laser Imaging (Typhoon Imager) Computerized</w:t>
      </w:r>
      <w:r w:rsidR="006F0FA8">
        <w:rPr>
          <w:color w:val="000000"/>
        </w:rPr>
        <w:t xml:space="preserve">, </w:t>
      </w:r>
      <w:r w:rsidRPr="00873C4C">
        <w:rPr>
          <w:color w:val="000000"/>
        </w:rPr>
        <w:lastRenderedPageBreak/>
        <w:t>Image Analysis (DeCyder software)</w:t>
      </w:r>
      <w:r w:rsidR="006F0FA8">
        <w:rPr>
          <w:color w:val="000000"/>
        </w:rPr>
        <w:t xml:space="preserve">, </w:t>
      </w:r>
      <w:r w:rsidRPr="00873C4C">
        <w:rPr>
          <w:color w:val="000000"/>
        </w:rPr>
        <w:t>Coordination with analytical results</w:t>
      </w:r>
      <w:r w:rsidR="006F0FA8">
        <w:rPr>
          <w:color w:val="000000"/>
        </w:rPr>
        <w:t>,</w:t>
      </w:r>
      <w:r w:rsidRPr="00873C4C">
        <w:rPr>
          <w:color w:val="000000"/>
        </w:rPr>
        <w:t xml:space="preserve"> Robotic protein excision and digestion</w:t>
      </w:r>
      <w:r w:rsidR="006F0FA8">
        <w:rPr>
          <w:color w:val="000000"/>
        </w:rPr>
        <w:t xml:space="preserve">, </w:t>
      </w:r>
      <w:r w:rsidRPr="00873C4C">
        <w:rPr>
          <w:color w:val="000000"/>
        </w:rPr>
        <w:t xml:space="preserve"> LC-MS </w:t>
      </w:r>
      <w:bookmarkEnd w:id="510"/>
      <w:bookmarkEnd w:id="511"/>
      <w:r w:rsidR="00647448" w:rsidRPr="00873C4C">
        <w:rPr>
          <w:color w:val="000000"/>
        </w:rPr>
        <w:t>Nano spray</w:t>
      </w:r>
      <w:r w:rsidR="00890DFC" w:rsidRPr="00873C4C">
        <w:rPr>
          <w:color w:val="000000"/>
        </w:rPr>
        <w:t>.</w:t>
      </w:r>
    </w:p>
    <w:p w:rsidR="00890DFC" w:rsidRPr="00873C4C" w:rsidRDefault="00890DFC" w:rsidP="00057B42">
      <w:pPr>
        <w:pStyle w:val="Caption"/>
        <w:pBdr>
          <w:bottom w:val="single" w:sz="12" w:space="1" w:color="auto"/>
        </w:pBdr>
        <w:jc w:val="both"/>
        <w:rPr>
          <w:color w:val="000000"/>
        </w:rPr>
      </w:pPr>
    </w:p>
    <w:p w:rsidR="00D335CB" w:rsidRPr="00873C4C" w:rsidRDefault="00D335CB" w:rsidP="00057B42">
      <w:pPr>
        <w:pStyle w:val="Caption"/>
        <w:jc w:val="both"/>
        <w:rPr>
          <w:color w:val="000000"/>
        </w:rPr>
      </w:pPr>
    </w:p>
    <w:p w:rsidR="00A07F01" w:rsidRPr="00873C4C" w:rsidRDefault="00BA1CCC" w:rsidP="00645687">
      <w:pPr>
        <w:pStyle w:val="Heading4"/>
      </w:pPr>
      <w:bookmarkStart w:id="512" w:name="_Toc305759149"/>
      <w:r w:rsidRPr="00873C4C">
        <w:tab/>
      </w:r>
      <w:bookmarkStart w:id="513" w:name="_Toc306570576"/>
      <w:bookmarkStart w:id="514" w:name="_Toc307067641"/>
      <w:bookmarkStart w:id="515" w:name="_Toc312169207"/>
      <w:bookmarkStart w:id="516" w:name="_Toc312172134"/>
      <w:bookmarkStart w:id="517" w:name="_Toc312257683"/>
      <w:r w:rsidR="00A07F01" w:rsidRPr="00873C4C">
        <w:t>Drawbacks of the system</w:t>
      </w:r>
      <w:bookmarkEnd w:id="512"/>
      <w:bookmarkEnd w:id="513"/>
      <w:bookmarkEnd w:id="514"/>
      <w:bookmarkEnd w:id="515"/>
      <w:bookmarkEnd w:id="516"/>
      <w:bookmarkEnd w:id="517"/>
    </w:p>
    <w:p w:rsidR="000443DF" w:rsidRPr="00873C4C" w:rsidRDefault="000443DF" w:rsidP="006F0FA8">
      <w:pPr>
        <w:spacing w:before="240" w:line="360" w:lineRule="auto"/>
        <w:jc w:val="both"/>
        <w:rPr>
          <w:color w:val="000000"/>
        </w:rPr>
      </w:pPr>
      <w:r w:rsidRPr="00873C4C">
        <w:rPr>
          <w:color w:val="000000"/>
        </w:rPr>
        <w:t>Regar</w:t>
      </w:r>
      <w:r w:rsidR="00EC2846" w:rsidRPr="00873C4C">
        <w:rPr>
          <w:color w:val="000000"/>
        </w:rPr>
        <w:t>dless of the benefits of the 2D-DIGE, f</w:t>
      </w:r>
      <w:r w:rsidRPr="00873C4C">
        <w:rPr>
          <w:color w:val="000000"/>
        </w:rPr>
        <w:t>or global expression analysis, every protein should be resolved as a discrete detectable spot</w:t>
      </w:r>
      <w:r w:rsidR="00EC2846" w:rsidRPr="00873C4C">
        <w:rPr>
          <w:color w:val="000000"/>
        </w:rPr>
        <w:t>.</w:t>
      </w:r>
      <w:r w:rsidRPr="00873C4C">
        <w:rPr>
          <w:color w:val="000000"/>
        </w:rPr>
        <w:t xml:space="preserve"> </w:t>
      </w:r>
      <w:r w:rsidR="00EC2846" w:rsidRPr="00873C4C">
        <w:rPr>
          <w:color w:val="000000"/>
        </w:rPr>
        <w:t>However, t</w:t>
      </w:r>
      <w:r w:rsidRPr="00873C4C">
        <w:rPr>
          <w:color w:val="000000"/>
        </w:rPr>
        <w:t>he following groups of proteins are often poorly represented: those with extreme isoelectric points or molecular weight; hydrophobic proteins; lower abundance proteins. It has been calculated that somewhere in the region of 90% of the total protein of a typical cell is made up of only 10% of the 10 000-20 000 different species, and hence many low abundance proteins may not be detectable</w:t>
      </w:r>
      <w:r w:rsidR="00012452">
        <w:rPr>
          <w:color w:val="000000"/>
        </w:rPr>
        <w:t xml:space="preserve"> </w:t>
      </w:r>
      <w:r w:rsidR="00012452">
        <w:rPr>
          <w:color w:val="000000"/>
        </w:rPr>
        <w:fldChar w:fldCharType="begin"/>
      </w:r>
      <w:r w:rsidR="00012452">
        <w:rPr>
          <w:color w:val="000000"/>
        </w:rPr>
        <w:instrText xml:space="preserve"> ADDIN EN.CITE &lt;EndNote&gt;&lt;Cite&gt;&lt;Author&gt;Zuo&lt;/Author&gt;&lt;Year&gt;2001&lt;/Year&gt;&lt;RecNum&gt;5671&lt;/RecNum&gt;&lt;DisplayText&gt;(Zuo et al., 2001)&lt;/DisplayText&gt;&lt;record&gt;&lt;rec-number&gt;5671&lt;/rec-number&gt;&lt;foreign-keys&gt;&lt;key app="EN" db-id="zf0awxsaczrdd3eft5qvw9wrtxxawdfrvw2a"&gt;5671&lt;/key&gt;&lt;/foreign-keys&gt;&lt;ref-type name="Journal Article"&gt;17&lt;/ref-type&gt;&lt;contributors&gt;&lt;authors&gt;&lt;author&gt;Zuo, X.&lt;/author&gt;&lt;author&gt;Echan, L.&lt;/author&gt;&lt;author&gt;Hembach, P.&lt;/author&gt;&lt;author&gt;Tang, H. Y.&lt;/author&gt;&lt;author&gt;Speicher, K. D.&lt;/author&gt;&lt;author&gt;Santoli, D.&lt;/author&gt;&lt;author&gt;Speicher, D. W.&lt;/author&gt;&lt;/authors&gt;&lt;/contributors&gt;&lt;auth-address&gt;The Wistar Institute, Philadelphia, PA 19104, USA.&lt;/auth-address&gt;&lt;titles&gt;&lt;title&gt;Towards global analysis of mammalian proteomes using sample prefractionation prior to narrow pH range two-dimensional gels and using one-dimensional gels for insoluble and large proteins&lt;/title&gt;&lt;secondary-title&gt;Electrophoresis&lt;/secondary-title&gt;&lt;/titles&gt;&lt;periodical&gt;&lt;full-title&gt;Electrophoresis&lt;/full-title&gt;&lt;/periodical&gt;&lt;pages&gt;1603-15&lt;/pages&gt;&lt;volume&gt;22&lt;/volume&gt;&lt;number&gt;9&lt;/number&gt;&lt;edition&gt;2001/06/27&lt;/edition&gt;&lt;keywords&gt;&lt;keyword&gt;Animals&lt;/keyword&gt;&lt;keyword&gt;Electrophoresis, Gel, Two-Dimensional/*methods&lt;/keyword&gt;&lt;keyword&gt;Hydrogen-Ion Concentration&lt;/keyword&gt;&lt;keyword&gt;Mammals&lt;/keyword&gt;&lt;keyword&gt;Proteome/*analysis&lt;/keyword&gt;&lt;/keywords&gt;&lt;dates&gt;&lt;year&gt;2001&lt;/year&gt;&lt;pub-dates&gt;&lt;date&gt;May&lt;/date&gt;&lt;/pub-dates&gt;&lt;/dates&gt;&lt;isbn&gt;0173-0835 (Print)&amp;#xD;0173-0835 (Linking)&lt;/isbn&gt;&lt;accession-num&gt;11425216&lt;/accession-num&gt;&lt;urls&gt;&lt;related-urls&gt;&lt;url&gt;http://www.ncbi.nlm.nih.gov/pubmed/11425216&lt;/url&gt;&lt;/related-urls&gt;&lt;/urls&gt;&lt;electronic-resource-num&gt;10.1002/1522-2683(200105)22:9&amp;lt;1603::AID-ELPS1603&amp;gt;3.0.CO;2-I [pii]&amp;#xD;10.1002/1522-2683(200105)22:9&amp;lt;1603::AID-ELPS1603&amp;gt;3.0.CO;2-I&lt;/electronic-resource-num&gt;&lt;language&gt;eng&lt;/language&gt;&lt;/record&gt;&lt;/Cite&gt;&lt;/EndNote&gt;</w:instrText>
      </w:r>
      <w:r w:rsidR="00012452">
        <w:rPr>
          <w:color w:val="000000"/>
        </w:rPr>
        <w:fldChar w:fldCharType="separate"/>
      </w:r>
      <w:r w:rsidR="00012452">
        <w:rPr>
          <w:noProof/>
          <w:color w:val="000000"/>
        </w:rPr>
        <w:t>(</w:t>
      </w:r>
      <w:hyperlink w:anchor="_ENREF_478" w:tooltip="Zuo, 2001 #5671" w:history="1">
        <w:r w:rsidR="004A784D">
          <w:rPr>
            <w:noProof/>
            <w:color w:val="000000"/>
          </w:rPr>
          <w:t>Zuo et al., 2001</w:t>
        </w:r>
      </w:hyperlink>
      <w:r w:rsidR="00012452">
        <w:rPr>
          <w:noProof/>
          <w:color w:val="000000"/>
        </w:rPr>
        <w:t>)</w:t>
      </w:r>
      <w:r w:rsidR="00012452">
        <w:rPr>
          <w:color w:val="000000"/>
        </w:rPr>
        <w:fldChar w:fldCharType="end"/>
      </w:r>
      <w:r w:rsidRPr="00873C4C">
        <w:rPr>
          <w:color w:val="000000"/>
        </w:rPr>
        <w:t xml:space="preserve"> </w:t>
      </w:r>
      <w:r w:rsidR="00012452">
        <w:rPr>
          <w:color w:val="000000"/>
        </w:rPr>
        <w:t>.</w:t>
      </w:r>
      <w:r w:rsidRPr="00873C4C">
        <w:rPr>
          <w:color w:val="000000"/>
        </w:rPr>
        <w:t xml:space="preserve">Co-migration is also an issue, with proteins of similar </w:t>
      </w:r>
      <w:r w:rsidR="00012452" w:rsidRPr="00873C4C">
        <w:rPr>
          <w:color w:val="000000"/>
        </w:rPr>
        <w:t>isoelectric points</w:t>
      </w:r>
      <w:r w:rsidRPr="00873C4C">
        <w:rPr>
          <w:color w:val="000000"/>
        </w:rPr>
        <w:t xml:space="preserve"> and denatured molecular weight becoming focused at the same position of the gel. This makes it impossible to accurately determine the relative abundance of an individual prote</w:t>
      </w:r>
      <w:r w:rsidR="00746F1E" w:rsidRPr="00873C4C">
        <w:rPr>
          <w:color w:val="000000"/>
        </w:rPr>
        <w:t xml:space="preserve">in within a mixed spot.  In this climate of financial restriction </w:t>
      </w:r>
      <w:r w:rsidRPr="00873C4C">
        <w:rPr>
          <w:color w:val="000000"/>
        </w:rPr>
        <w:t>the main criticisms of DIGE is the financial outlay necessary to install the system in a laboratory.  An appropriate scanning system and dedicated software are required and the cost of CyDyes necessary for large scale studies is not trivial</w:t>
      </w:r>
      <w:r w:rsidR="00012452">
        <w:rPr>
          <w:color w:val="000000"/>
        </w:rPr>
        <w:t xml:space="preserve"> </w:t>
      </w:r>
      <w:r w:rsidR="00012452">
        <w:rPr>
          <w:color w:val="000000"/>
        </w:rPr>
        <w:fldChar w:fldCharType="begin"/>
      </w:r>
      <w:r w:rsidR="00012452">
        <w:rPr>
          <w:color w:val="000000"/>
        </w:rPr>
        <w:instrText xml:space="preserve"> ADDIN EN.CITE &lt;EndNote&gt;&lt;Cite&gt;&lt;Author&gt;Shaw&lt;/Author&gt;&lt;Year&gt;2003&lt;/Year&gt;&lt;RecNum&gt;5314&lt;/RecNum&gt;&lt;DisplayText&gt;(Shaw et al., 2003)&lt;/DisplayText&gt;&lt;record&gt;&lt;rec-number&gt;5314&lt;/rec-number&gt;&lt;foreign-keys&gt;&lt;key app="EN" db-id="zf0awxsaczrdd3eft5qvw9wrtxxawdfrvw2a"&gt;5314&lt;/key&gt;&lt;/foreign-keys&gt;&lt;ref-type name="Journal Article"&gt;17&lt;/ref-type&gt;&lt;contributors&gt;&lt;authors&gt;&lt;author&gt;Shaw, J.&lt;/author&gt;&lt;author&gt;Rowlinson, R.&lt;/author&gt;&lt;author&gt;Nickson, J.&lt;/author&gt;&lt;author&gt;Stone, T.&lt;/author&gt;&lt;author&gt;Sweet, A.&lt;/author&gt;&lt;author&gt;Williams, K.&lt;/author&gt;&lt;author&gt;Tonge, R.&lt;/author&gt;&lt;/authors&gt;&lt;/contributors&gt;&lt;auth-address&gt;Global Protein Science &amp;amp; Supply, Enabling Science and Technology (Biology), AstraZeneca, 13S28 Mereside, Alderley Park, Macclesfield, Cheshire SK10 4TG, UK.&lt;/auth-address&gt;&lt;titles&gt;&lt;title&gt;Evaluation of saturation labelling two-dimensional difference gel electrophoresis fluorescent dyes&lt;/title&gt;&lt;secondary-title&gt;Proteomics&lt;/secondary-title&gt;&lt;/titles&gt;&lt;periodical&gt;&lt;full-title&gt;Proteomics&lt;/full-title&gt;&lt;/periodical&gt;&lt;pages&gt;1181-95&lt;/pages&gt;&lt;volume&gt;3&lt;/volume&gt;&lt;number&gt;7&lt;/number&gt;&lt;edition&gt;2003/07/23&lt;/edition&gt;&lt;keywords&gt;&lt;keyword&gt;Animals&lt;/keyword&gt;&lt;keyword&gt;Cysteine/chemistry&lt;/keyword&gt;&lt;keyword&gt;Electrophoresis, Gel, Two-Dimensional/*methods&lt;/keyword&gt;&lt;keyword&gt;Electrophoresis, Polyacrylamide Gel&lt;/keyword&gt;&lt;keyword&gt;Fluorescent Dyes/*pharmacology&lt;/keyword&gt;&lt;keyword&gt;Humans&lt;/keyword&gt;&lt;keyword&gt;Image Processing, Computer-Assisted&lt;/keyword&gt;&lt;keyword&gt;Light&lt;/keyword&gt;&lt;keyword&gt;Liver/metabolism&lt;/keyword&gt;&lt;keyword&gt;Mass Spectrometry&lt;/keyword&gt;&lt;keyword&gt;Mice&lt;/keyword&gt;&lt;keyword&gt;Models, Chemical&lt;/keyword&gt;&lt;keyword&gt;Proteins/chemistry&lt;/keyword&gt;&lt;keyword&gt;Software&lt;/keyword&gt;&lt;keyword&gt;Time Factors&lt;/keyword&gt;&lt;/keywords&gt;&lt;dates&gt;&lt;year&gt;2003&lt;/year&gt;&lt;pub-dates&gt;&lt;date&gt;Jul&lt;/date&gt;&lt;/pub-dates&gt;&lt;/dates&gt;&lt;isbn&gt;1615-9853 (Print)&amp;#xD;1615-9853 (Linking)&lt;/isbn&gt;&lt;accession-num&gt;12872219&lt;/accession-num&gt;&lt;urls&gt;&lt;related-urls&gt;&lt;url&gt;http://www.ncbi.nlm.nih.gov/pubmed/12872219&lt;/url&gt;&lt;/related-urls&gt;&lt;/urls&gt;&lt;electronic-resource-num&gt;10.1002/pmic.200300439&lt;/electronic-resource-num&gt;&lt;language&gt;eng&lt;/language&gt;&lt;/record&gt;&lt;/Cite&gt;&lt;/EndNote&gt;</w:instrText>
      </w:r>
      <w:r w:rsidR="00012452">
        <w:rPr>
          <w:color w:val="000000"/>
        </w:rPr>
        <w:fldChar w:fldCharType="separate"/>
      </w:r>
      <w:r w:rsidR="00012452">
        <w:rPr>
          <w:noProof/>
          <w:color w:val="000000"/>
        </w:rPr>
        <w:t>(</w:t>
      </w:r>
      <w:hyperlink w:anchor="_ENREF_382" w:tooltip="Shaw, 2003 #5314" w:history="1">
        <w:r w:rsidR="004A784D">
          <w:rPr>
            <w:noProof/>
            <w:color w:val="000000"/>
          </w:rPr>
          <w:t>Shaw et al., 2003</w:t>
        </w:r>
      </w:hyperlink>
      <w:r w:rsidR="00012452">
        <w:rPr>
          <w:noProof/>
          <w:color w:val="000000"/>
        </w:rPr>
        <w:t>)</w:t>
      </w:r>
      <w:r w:rsidR="00012452">
        <w:rPr>
          <w:color w:val="000000"/>
        </w:rPr>
        <w:fldChar w:fldCharType="end"/>
      </w:r>
      <w:r w:rsidRPr="00873C4C">
        <w:rPr>
          <w:color w:val="000000"/>
        </w:rPr>
        <w:t>.</w:t>
      </w:r>
    </w:p>
    <w:p w:rsidR="000443DF" w:rsidRPr="00873C4C" w:rsidRDefault="000443DF" w:rsidP="00057B42">
      <w:pPr>
        <w:spacing w:line="360" w:lineRule="auto"/>
        <w:jc w:val="both"/>
        <w:rPr>
          <w:color w:val="000000"/>
        </w:rPr>
      </w:pPr>
    </w:p>
    <w:p w:rsidR="004B0335" w:rsidRDefault="004B0335" w:rsidP="00645687">
      <w:pPr>
        <w:pStyle w:val="Heading4"/>
      </w:pPr>
      <w:r w:rsidRPr="00873C4C">
        <w:tab/>
      </w:r>
      <w:bookmarkStart w:id="518" w:name="_Toc306570577"/>
      <w:bookmarkStart w:id="519" w:name="_Toc307067642"/>
      <w:bookmarkStart w:id="520" w:name="_Toc312169208"/>
      <w:bookmarkStart w:id="521" w:name="_Toc312172135"/>
      <w:bookmarkStart w:id="522" w:name="_Toc312257684"/>
      <w:r w:rsidRPr="00873C4C">
        <w:t>Bioinformatics</w:t>
      </w:r>
      <w:bookmarkEnd w:id="518"/>
      <w:bookmarkEnd w:id="519"/>
      <w:bookmarkEnd w:id="520"/>
      <w:bookmarkEnd w:id="521"/>
      <w:bookmarkEnd w:id="522"/>
    </w:p>
    <w:p w:rsidR="00C241AC" w:rsidRDefault="003F5F70" w:rsidP="006F0FA8">
      <w:pPr>
        <w:spacing w:before="240" w:line="360" w:lineRule="auto"/>
        <w:jc w:val="both"/>
        <w:rPr>
          <w:color w:val="000000"/>
        </w:rPr>
      </w:pPr>
      <w:r w:rsidRPr="00873C4C">
        <w:rPr>
          <w:color w:val="000000"/>
        </w:rPr>
        <w:t>Bioinformatics</w:t>
      </w:r>
      <w:r w:rsidR="004B0335" w:rsidRPr="00873C4C">
        <w:rPr>
          <w:color w:val="000000"/>
        </w:rPr>
        <w:t xml:space="preserve"> approaches can determine the proteomic signatures responsible for the important clinical-pathological features and identify a small number of key proteins, which may be candidates for disease markers and therapeutic targets. Bioinformatics is the collection, organisation and analysis of large amounts of biological data, using networks of computers and databases</w:t>
      </w:r>
      <w:r w:rsidR="00012452">
        <w:rPr>
          <w:color w:val="000000"/>
        </w:rPr>
        <w:t xml:space="preserve"> </w:t>
      </w:r>
      <w:r w:rsidR="00012452">
        <w:rPr>
          <w:color w:val="000000"/>
        </w:rPr>
        <w:fldChar w:fldCharType="begin">
          <w:fldData xml:space="preserve">PEVuZE5vdGU+PENpdGU+PEF1dGhvcj5Ib3U8L0F1dGhvcj48WWVhcj4yMDA5PC9ZZWFyPjxSZWNO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</w:fldData>
        </w:fldChar>
      </w:r>
      <w:r w:rsidR="00AB7194">
        <w:rPr>
          <w:color w:val="000000"/>
        </w:rPr>
        <w:instrText xml:space="preserve"> ADDIN EN.CITE </w:instrText>
      </w:r>
      <w:r w:rsidR="00AB7194">
        <w:rPr>
          <w:color w:val="000000"/>
        </w:rPr>
        <w:fldChar w:fldCharType="begin">
          <w:fldData xml:space="preserve">PEVuZE5vdGU+PENpdGU+PEF1dGhvcj5Ib3U8L0F1dGhvcj48WWVhcj4yMDA5PC9ZZWFyPjxSZWNO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</w:fldData>
        </w:fldChar>
      </w:r>
      <w:r w:rsidR="00AB7194">
        <w:rPr>
          <w:color w:val="000000"/>
        </w:rPr>
        <w:instrText xml:space="preserve"> ADDIN EN.CITE.DATA </w:instrText>
      </w:r>
      <w:r w:rsidR="00AB7194">
        <w:rPr>
          <w:color w:val="000000"/>
        </w:rPr>
      </w:r>
      <w:r w:rsidR="00AB7194">
        <w:rPr>
          <w:color w:val="000000"/>
        </w:rPr>
        <w:fldChar w:fldCharType="end"/>
      </w:r>
      <w:r w:rsidR="00012452">
        <w:rPr>
          <w:color w:val="000000"/>
        </w:rPr>
      </w:r>
      <w:r w:rsidR="00012452">
        <w:rPr>
          <w:color w:val="000000"/>
        </w:rPr>
        <w:fldChar w:fldCharType="separate"/>
      </w:r>
      <w:r w:rsidR="00AB7194">
        <w:rPr>
          <w:noProof/>
          <w:color w:val="000000"/>
        </w:rPr>
        <w:t>(</w:t>
      </w:r>
      <w:hyperlink w:anchor="_ENREF_182" w:tooltip="Hou, 2009 #5681" w:history="1">
        <w:r w:rsidR="004A784D">
          <w:rPr>
            <w:noProof/>
            <w:color w:val="000000"/>
          </w:rPr>
          <w:t>Hou et al., 2009</w:t>
        </w:r>
      </w:hyperlink>
      <w:r w:rsidR="00AB7194">
        <w:rPr>
          <w:noProof/>
          <w:color w:val="000000"/>
        </w:rPr>
        <w:t xml:space="preserve">, </w:t>
      </w:r>
      <w:hyperlink w:anchor="_ENREF_98" w:tooltip="Deng, 2003 #5702" w:history="1">
        <w:r w:rsidR="004A784D">
          <w:rPr>
            <w:noProof/>
            <w:color w:val="000000"/>
          </w:rPr>
          <w:t>Deng et al., 2003b</w:t>
        </w:r>
      </w:hyperlink>
      <w:r w:rsidR="00AB7194">
        <w:rPr>
          <w:noProof/>
          <w:color w:val="000000"/>
        </w:rPr>
        <w:t>)</w:t>
      </w:r>
      <w:r w:rsidR="00012452">
        <w:rPr>
          <w:color w:val="000000"/>
        </w:rPr>
        <w:fldChar w:fldCharType="end"/>
      </w:r>
      <w:r w:rsidR="004B0335" w:rsidRPr="00873C4C">
        <w:rPr>
          <w:color w:val="000000"/>
        </w:rPr>
        <w:t xml:space="preserve">. General information about proteins can be obtained using SWISS-PROT and NCBI. </w:t>
      </w:r>
      <w:r w:rsidRPr="00873C4C">
        <w:rPr>
          <w:color w:val="000000"/>
        </w:rPr>
        <w:t xml:space="preserve">The </w:t>
      </w:r>
      <w:r w:rsidR="004B0335" w:rsidRPr="00873C4C">
        <w:rPr>
          <w:color w:val="000000"/>
        </w:rPr>
        <w:t xml:space="preserve">Software packages are available to analyse proteomic data e.g. PathwayStudio and Gene Ontology (GO STAT). PathwayStudio is a product aimed at the visualisation and analysis of biological pathways, gene regulation networks and protein interaction maps. It comes with a comprehensive database that gives a </w:t>
      </w:r>
      <w:r w:rsidR="004B0335" w:rsidRPr="00873C4C">
        <w:rPr>
          <w:color w:val="000000"/>
        </w:rPr>
        <w:lastRenderedPageBreak/>
        <w:t>snapshot of all information available in PubMed, with the focus on pathways and cell signalling networks</w:t>
      </w:r>
      <w:r w:rsidR="008D0047">
        <w:rPr>
          <w:color w:val="000000"/>
        </w:rPr>
        <w:t xml:space="preserve"> </w:t>
      </w:r>
      <w:r w:rsidR="008D0047">
        <w:rPr>
          <w:color w:val="000000"/>
        </w:rPr>
        <w:fldChar w:fldCharType="begin"/>
      </w:r>
      <w:r w:rsidR="008D0047">
        <w:rPr>
          <w:color w:val="000000"/>
        </w:rPr>
        <w:instrText xml:space="preserve"> ADDIN EN.CITE &lt;EndNote&gt;&lt;Cite&gt;&lt;Author&gt;Li&lt;/Author&gt;&lt;Year&gt;2004&lt;/Year&gt;&lt;RecNum&gt;5499&lt;/RecNum&gt;&lt;DisplayText&gt;(Li et al., 2004)&lt;/DisplayText&gt;&lt;record&gt;&lt;rec-number&gt;5499&lt;/rec-number&gt;&lt;foreign-keys&gt;&lt;key app="EN" db-id="zf0awxsaczrdd3eft5qvw9wrtxxawdfrvw2a"&gt;5499&lt;/key&gt;&lt;/foreign-keys&gt;&lt;ref-type name="Journal Article"&gt;17&lt;/ref-type&gt;&lt;contributors&gt;&lt;authors&gt;&lt;author&gt;Li, L.&lt;/author&gt;&lt;author&gt;Tang, H.&lt;/author&gt;&lt;author&gt;Wu, Z.&lt;/author&gt;&lt;author&gt;Gong, J.&lt;/author&gt;&lt;author&gt;Gruidl, M.&lt;/author&gt;&lt;author&gt;Zou, J.&lt;/author&gt;&lt;author&gt;Tockman, M.&lt;/author&gt;&lt;author&gt;Clark, R. A.&lt;/author&gt;&lt;/authors&gt;&lt;/contributors&gt;&lt;auth-address&gt;Department of Radiology, College of Medicine, H. Lee Moffitt Cancer Center and Research Institute, University of South Florida, Tampa, FL 33612-4799, USA. lilh@moffitt.usf.edu&lt;/auth-address&gt;&lt;titles&gt;&lt;title&gt;Data mining techniques for cancer detection using serum proteomic profiling&lt;/title&gt;&lt;secondary-title&gt;Artif Intell Med&lt;/secondary-title&gt;&lt;/titles&gt;&lt;periodical&gt;&lt;full-title&gt;Artif Intell Med&lt;/full-title&gt;&lt;/periodical&gt;&lt;pages&gt;71-83&lt;/pages&gt;&lt;volume&gt;32&lt;/volume&gt;&lt;number&gt;2&lt;/number&gt;&lt;edition&gt;2004/09/15&lt;/edition&gt;&lt;keywords&gt;&lt;keyword&gt;Decision Trees&lt;/keyword&gt;&lt;keyword&gt;Female&lt;/keyword&gt;&lt;keyword&gt;Humans&lt;/keyword&gt;&lt;keyword&gt;*Information Storage and Retrieval&lt;/keyword&gt;&lt;keyword&gt;Mass Spectrometry&lt;/keyword&gt;&lt;keyword&gt;*Medical Informatics&lt;/keyword&gt;&lt;keyword&gt;Neoplasms/*diagnosis/*genetics&lt;/keyword&gt;&lt;keyword&gt;*Neural Networks (Computer)&lt;/keyword&gt;&lt;keyword&gt;Ovarian Neoplasms/diagnosis/genetics&lt;/keyword&gt;&lt;keyword&gt;Proteomics/*statistics &amp;amp; numerical data&lt;/keyword&gt;&lt;keyword&gt;Tumor Markers, Biological/*analysis&lt;/keyword&gt;&lt;/keywords&gt;&lt;dates&gt;&lt;year&gt;2004&lt;/year&gt;&lt;pub-dates&gt;&lt;date&gt;Oct&lt;/date&gt;&lt;/pub-dates&gt;&lt;/dates&gt;&lt;isbn&gt;0933-3657 (Print)&amp;#xD;0933-3657 (Linking)&lt;/isbn&gt;&lt;accession-num&gt;15364092&lt;/accession-num&gt;&lt;urls&gt;&lt;related-urls&gt;&lt;url&gt;http://www.ncbi.nlm.nih.gov/pubmed/15364092&lt;/url&gt;&lt;/related-urls&gt;&lt;/urls&gt;&lt;electronic-resource-num&gt;10.1016/j.artmed.2004.03.006&amp;#xD;S0933365704000545 [pii]&lt;/electronic-resource-num&gt;&lt;language&gt;eng&lt;/language&gt;&lt;/record&gt;&lt;/Cite&gt;&lt;/EndNote&gt;</w:instrText>
      </w:r>
      <w:r w:rsidR="008D0047">
        <w:rPr>
          <w:color w:val="000000"/>
        </w:rPr>
        <w:fldChar w:fldCharType="separate"/>
      </w:r>
      <w:r w:rsidR="008D0047">
        <w:rPr>
          <w:noProof/>
          <w:color w:val="000000"/>
        </w:rPr>
        <w:t>(</w:t>
      </w:r>
      <w:hyperlink w:anchor="_ENREF_244" w:tooltip="Li, 2004 #5921" w:history="1">
        <w:r w:rsidR="004A784D">
          <w:rPr>
            <w:noProof/>
            <w:color w:val="000000"/>
          </w:rPr>
          <w:t>Li et al., 2004</w:t>
        </w:r>
      </w:hyperlink>
      <w:r w:rsidR="008D0047">
        <w:rPr>
          <w:noProof/>
          <w:color w:val="000000"/>
        </w:rPr>
        <w:t>)</w:t>
      </w:r>
      <w:r w:rsidR="008D0047">
        <w:rPr>
          <w:color w:val="000000"/>
        </w:rPr>
        <w:fldChar w:fldCharType="end"/>
      </w:r>
      <w:r w:rsidR="004B0335" w:rsidRPr="00873C4C">
        <w:rPr>
          <w:color w:val="000000"/>
        </w:rPr>
        <w:t xml:space="preserve">. </w:t>
      </w:r>
    </w:p>
    <w:p w:rsidR="00C241AC" w:rsidRDefault="00C241AC" w:rsidP="00057B42">
      <w:pPr>
        <w:spacing w:line="360" w:lineRule="auto"/>
        <w:jc w:val="both"/>
        <w:rPr>
          <w:color w:val="000000"/>
        </w:rPr>
      </w:pPr>
    </w:p>
    <w:p w:rsidR="000443DF" w:rsidRDefault="004B0335" w:rsidP="00057B42">
      <w:pPr>
        <w:spacing w:line="360" w:lineRule="auto"/>
        <w:jc w:val="both"/>
        <w:rPr>
          <w:color w:val="000000"/>
        </w:rPr>
      </w:pPr>
      <w:r w:rsidRPr="00873C4C">
        <w:rPr>
          <w:color w:val="000000"/>
        </w:rPr>
        <w:t xml:space="preserve">This product allows visualisation of results in the context of automatically created pathways, gene regulation networks and protein interaction maps. The GO STAT consortium provides structural description of protein function that is used as a common language for gene annotation in many organisms. Large-scale techniques have generated many valuable protein-protein interaction datasets that are useful for the study of protein function </w:t>
      </w:r>
      <w:r w:rsidR="007550E5">
        <w:rPr>
          <w:color w:val="000000"/>
        </w:rPr>
        <w:fldChar w:fldCharType="begin">
          <w:fldData xml:space="preserve">PEVuZE5vdGU+PENpdGU+PEF1dGhvcj5EZW5nPC9BdXRob3I+PFllYXI+MjAwNDwvWWVhcj48UmVj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</w:fldData>
        </w:fldChar>
      </w:r>
      <w:r w:rsidR="007550E5">
        <w:rPr>
          <w:color w:val="000000"/>
        </w:rPr>
        <w:instrText xml:space="preserve"> ADDIN EN.CITE </w:instrText>
      </w:r>
      <w:r w:rsidR="007550E5">
        <w:rPr>
          <w:color w:val="000000"/>
        </w:rPr>
        <w:fldChar w:fldCharType="begin">
          <w:fldData xml:space="preserve">PEVuZE5vdGU+PENpdGU+PEF1dGhvcj5EZW5nPC9BdXRob3I+PFllYXI+MjAwNDwvWWVhcj48UmVj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</w:fldData>
        </w:fldChar>
      </w:r>
      <w:r w:rsidR="007550E5">
        <w:rPr>
          <w:color w:val="000000"/>
        </w:rPr>
        <w:instrText xml:space="preserve"> ADDIN EN.CITE.DATA </w:instrText>
      </w:r>
      <w:r w:rsidR="007550E5">
        <w:rPr>
          <w:color w:val="000000"/>
        </w:rPr>
      </w:r>
      <w:r w:rsidR="007550E5">
        <w:rPr>
          <w:color w:val="000000"/>
        </w:rPr>
        <w:fldChar w:fldCharType="end"/>
      </w:r>
      <w:r w:rsidR="007550E5">
        <w:rPr>
          <w:color w:val="000000"/>
        </w:rPr>
      </w:r>
      <w:r w:rsidR="007550E5">
        <w:rPr>
          <w:color w:val="000000"/>
        </w:rPr>
        <w:fldChar w:fldCharType="separate"/>
      </w:r>
      <w:r w:rsidR="007550E5">
        <w:rPr>
          <w:noProof/>
          <w:color w:val="000000"/>
        </w:rPr>
        <w:t>(</w:t>
      </w:r>
      <w:hyperlink w:anchor="_ENREF_99" w:tooltip="Deng, 2004 #5700" w:history="1">
        <w:r w:rsidR="004A784D">
          <w:rPr>
            <w:noProof/>
            <w:color w:val="000000"/>
          </w:rPr>
          <w:t>Deng et al., 2004b</w:t>
        </w:r>
      </w:hyperlink>
      <w:r w:rsidR="007550E5">
        <w:rPr>
          <w:noProof/>
          <w:color w:val="000000"/>
        </w:rPr>
        <w:t xml:space="preserve">, </w:t>
      </w:r>
      <w:hyperlink w:anchor="_ENREF_97" w:tooltip="Deng, 2004 #5703" w:history="1">
        <w:r w:rsidR="004A784D">
          <w:rPr>
            <w:noProof/>
            <w:color w:val="000000"/>
          </w:rPr>
          <w:t>Deng et al., 2004a</w:t>
        </w:r>
      </w:hyperlink>
      <w:r w:rsidR="007550E5">
        <w:rPr>
          <w:noProof/>
          <w:color w:val="000000"/>
        </w:rPr>
        <w:t>)</w:t>
      </w:r>
      <w:r w:rsidR="007550E5">
        <w:rPr>
          <w:color w:val="000000"/>
        </w:rPr>
        <w:fldChar w:fldCharType="end"/>
      </w:r>
      <w:r w:rsidR="007550E5">
        <w:rPr>
          <w:color w:val="000000"/>
        </w:rPr>
        <w:t>.</w:t>
      </w:r>
      <w:r w:rsidRPr="00873C4C">
        <w:rPr>
          <w:color w:val="000000"/>
        </w:rPr>
        <w:t>Combination between 2D-DIGE, mass spectrometry and bioinformatics approach is a powerful tool for disease proteomics. The efforts to understand the overall features of the proteome by using a bioinformatics approach to analyse 2D-DIGE data, together with the integrated information of the individual proteins identified by 2D-DIGE, will give us novel molecular backgrounds for diseases</w:t>
      </w:r>
      <w:r w:rsidR="008D0047">
        <w:rPr>
          <w:color w:val="000000"/>
        </w:rPr>
        <w:t xml:space="preserve"> </w:t>
      </w:r>
      <w:r w:rsidR="00136FC9">
        <w:rPr>
          <w:color w:val="000000"/>
        </w:rPr>
        <w:fldChar w:fldCharType="begin">
          <w:fldData xml:space="preserve">PEVuZE5vdGU+PENpdGU+PEF1dGhvcj5RaWFuPC9BdXRob3I+PFllYXI+MjAwNjwvWWVhcj48UmVj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</w:fldData>
        </w:fldChar>
      </w:r>
      <w:r w:rsidR="00136FC9">
        <w:rPr>
          <w:color w:val="000000"/>
        </w:rPr>
        <w:instrText xml:space="preserve"> ADDIN EN.CITE </w:instrText>
      </w:r>
      <w:r w:rsidR="00136FC9">
        <w:rPr>
          <w:color w:val="000000"/>
        </w:rPr>
        <w:fldChar w:fldCharType="begin">
          <w:fldData xml:space="preserve">PEVuZE5vdGU+PENpdGU+PEF1dGhvcj5RaWFuPC9BdXRob3I+PFllYXI+MjAwNjwvWWVhcj48UmVj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</w:fldData>
        </w:fldChar>
      </w:r>
      <w:r w:rsidR="00136FC9">
        <w:rPr>
          <w:color w:val="000000"/>
        </w:rPr>
        <w:instrText xml:space="preserve"> ADDIN EN.CITE.DATA </w:instrText>
      </w:r>
      <w:r w:rsidR="00136FC9">
        <w:rPr>
          <w:color w:val="000000"/>
        </w:rPr>
      </w:r>
      <w:r w:rsidR="00136FC9">
        <w:rPr>
          <w:color w:val="000000"/>
        </w:rPr>
        <w:fldChar w:fldCharType="end"/>
      </w:r>
      <w:r w:rsidR="00136FC9">
        <w:rPr>
          <w:color w:val="000000"/>
        </w:rPr>
      </w:r>
      <w:r w:rsidR="00136FC9">
        <w:rPr>
          <w:color w:val="000000"/>
        </w:rPr>
        <w:fldChar w:fldCharType="separate"/>
      </w:r>
      <w:r w:rsidR="00136FC9">
        <w:rPr>
          <w:noProof/>
          <w:color w:val="000000"/>
        </w:rPr>
        <w:t>(</w:t>
      </w:r>
      <w:hyperlink w:anchor="_ENREF_327" w:tooltip="Qian, 2006 #5149" w:history="1">
        <w:r w:rsidR="004A784D">
          <w:rPr>
            <w:noProof/>
            <w:color w:val="000000"/>
          </w:rPr>
          <w:t>Qian et al., 2006</w:t>
        </w:r>
      </w:hyperlink>
      <w:r w:rsidR="00136FC9">
        <w:rPr>
          <w:noProof/>
          <w:color w:val="000000"/>
        </w:rPr>
        <w:t xml:space="preserve">, </w:t>
      </w:r>
      <w:hyperlink w:anchor="_ENREF_349" w:tooltip="Rodland, 2004 #5335" w:history="1">
        <w:r w:rsidR="004A784D">
          <w:rPr>
            <w:noProof/>
            <w:color w:val="000000"/>
          </w:rPr>
          <w:t>Rodland, 2004</w:t>
        </w:r>
      </w:hyperlink>
      <w:r w:rsidR="00136FC9">
        <w:rPr>
          <w:noProof/>
          <w:color w:val="000000"/>
        </w:rPr>
        <w:t>)</w:t>
      </w:r>
      <w:r w:rsidR="00136FC9">
        <w:rPr>
          <w:color w:val="000000"/>
        </w:rPr>
        <w:fldChar w:fldCharType="end"/>
      </w:r>
      <w:r w:rsidRPr="00873C4C">
        <w:rPr>
          <w:color w:val="000000"/>
        </w:rPr>
        <w:t>.</w:t>
      </w:r>
    </w:p>
    <w:p w:rsidR="00596E2B" w:rsidRDefault="00596E2B" w:rsidP="00057B42">
      <w:pPr>
        <w:spacing w:line="360" w:lineRule="auto"/>
        <w:jc w:val="both"/>
        <w:rPr>
          <w:color w:val="000000"/>
        </w:rPr>
      </w:pPr>
    </w:p>
    <w:p w:rsidR="00596E2B" w:rsidRDefault="00596E2B" w:rsidP="00057B42">
      <w:pPr>
        <w:spacing w:line="360" w:lineRule="auto"/>
        <w:rPr>
          <w:b/>
          <w:bCs/>
          <w:sz w:val="26"/>
          <w:szCs w:val="26"/>
          <w:lang w:eastAsia="en-US"/>
        </w:rPr>
      </w:pPr>
      <w:r>
        <w:br w:type="page"/>
      </w:r>
    </w:p>
    <w:p w:rsidR="00596E2B" w:rsidRDefault="00596E2B" w:rsidP="00645687">
      <w:pPr>
        <w:pStyle w:val="Heading3"/>
      </w:pPr>
      <w:r>
        <w:lastRenderedPageBreak/>
        <w:tab/>
      </w:r>
      <w:bookmarkStart w:id="523" w:name="_Toc312169209"/>
      <w:bookmarkStart w:id="524" w:name="_Toc312172136"/>
      <w:bookmarkStart w:id="525" w:name="_Toc312257685"/>
      <w:r>
        <w:t>Statistical analysis</w:t>
      </w:r>
      <w:bookmarkEnd w:id="523"/>
      <w:bookmarkEnd w:id="524"/>
      <w:bookmarkEnd w:id="525"/>
      <w:r>
        <w:t xml:space="preserve"> </w:t>
      </w:r>
    </w:p>
    <w:p w:rsidR="002D63A8" w:rsidRDefault="002D63A8" w:rsidP="00057B42">
      <w:pPr>
        <w:spacing w:line="360" w:lineRule="auto"/>
        <w:jc w:val="both"/>
        <w:rPr>
          <w:color w:val="000000"/>
        </w:rPr>
      </w:pPr>
      <w:r w:rsidRPr="00873C4C">
        <w:rPr>
          <w:color w:val="000000"/>
        </w:rPr>
        <w:t>The multi-gel approach allows many data points to be collected for each group to be compared. Spots of interest can be selected by looking for significant change across the groups, for example, with a univariate statistical test e.g. Student’s t-test or analysis of variance (ANOVA). These give a probability score (p) for each spot.  This score indicates the probability that the groups are the same, consequently a spot with a low score, for example, p &lt; 0.05, represents s</w:t>
      </w:r>
      <w:r>
        <w:rPr>
          <w:color w:val="000000"/>
        </w:rPr>
        <w:t>ignificant difference in</w:t>
      </w:r>
      <w:r w:rsidRPr="00873C4C">
        <w:rPr>
          <w:color w:val="000000"/>
        </w:rPr>
        <w:t xml:space="preserve"> abundance</w:t>
      </w:r>
      <w:r>
        <w:rPr>
          <w:color w:val="000000"/>
        </w:rPr>
        <w:t xml:space="preserve"> level</w:t>
      </w:r>
      <w:r w:rsidRPr="00873C4C">
        <w:rPr>
          <w:color w:val="000000"/>
        </w:rPr>
        <w:t>. The number of replicates required in a study depends on the amount of variation in the system being investigated, and on how small the changes in expression are that you wish to measure at a given confidence level. Increasing the number of replicates will increase confidence in smaller changes in expression</w:t>
      </w:r>
      <w:r w:rsidR="00136FC9">
        <w:rPr>
          <w:color w:val="000000"/>
        </w:rPr>
        <w:t xml:space="preserve"> </w:t>
      </w:r>
      <w:r w:rsidR="00136FC9">
        <w:rPr>
          <w:color w:val="000000"/>
        </w:rPr>
        <w:fldChar w:fldCharType="begin">
          <w:fldData xml:space="preserve">PEVuZE5vdGU+PENpdGU+PEF1dGhvcj5Nb3N0YWNjaTwvQXV0aG9yPjxZZWFyPjIwMTA8L1llYXI+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</w:fldData>
        </w:fldChar>
      </w:r>
      <w:r w:rsidR="00136FC9">
        <w:rPr>
          <w:color w:val="000000"/>
        </w:rPr>
        <w:instrText xml:space="preserve"> ADDIN EN.CITE </w:instrText>
      </w:r>
      <w:r w:rsidR="00136FC9">
        <w:rPr>
          <w:color w:val="000000"/>
        </w:rPr>
        <w:fldChar w:fldCharType="begin">
          <w:fldData xml:space="preserve">PEVuZE5vdGU+PENpdGU+PEF1dGhvcj5Nb3N0YWNjaTwvQXV0aG9yPjxZZWFyPjIwMTA8L1llYXI+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</w:fldData>
        </w:fldChar>
      </w:r>
      <w:r w:rsidR="00136FC9">
        <w:rPr>
          <w:color w:val="000000"/>
        </w:rPr>
        <w:instrText xml:space="preserve"> ADDIN EN.CITE.DATA </w:instrText>
      </w:r>
      <w:r w:rsidR="00136FC9">
        <w:rPr>
          <w:color w:val="000000"/>
        </w:rPr>
      </w:r>
      <w:r w:rsidR="00136FC9">
        <w:rPr>
          <w:color w:val="000000"/>
        </w:rPr>
        <w:fldChar w:fldCharType="end"/>
      </w:r>
      <w:r w:rsidR="00136FC9">
        <w:rPr>
          <w:color w:val="000000"/>
        </w:rPr>
      </w:r>
      <w:r w:rsidR="00136FC9">
        <w:rPr>
          <w:color w:val="000000"/>
        </w:rPr>
        <w:fldChar w:fldCharType="separate"/>
      </w:r>
      <w:r w:rsidR="00136FC9">
        <w:rPr>
          <w:noProof/>
          <w:color w:val="000000"/>
        </w:rPr>
        <w:t>(</w:t>
      </w:r>
      <w:hyperlink w:anchor="_ENREF_279" w:tooltip="Mostacci, 2010 #5503" w:history="1">
        <w:r w:rsidR="004A784D">
          <w:rPr>
            <w:noProof/>
            <w:color w:val="000000"/>
          </w:rPr>
          <w:t>Mostacci et al., 2010</w:t>
        </w:r>
      </w:hyperlink>
      <w:r w:rsidR="00136FC9">
        <w:rPr>
          <w:noProof/>
          <w:color w:val="000000"/>
        </w:rPr>
        <w:t xml:space="preserve">, </w:t>
      </w:r>
      <w:hyperlink w:anchor="_ENREF_85" w:tooltip="Corzett, 2010 #5504" w:history="1">
        <w:r w:rsidR="004A784D">
          <w:rPr>
            <w:noProof/>
            <w:color w:val="000000"/>
          </w:rPr>
          <w:t>Corzett et al., 2010</w:t>
        </w:r>
      </w:hyperlink>
      <w:r w:rsidR="00136FC9">
        <w:rPr>
          <w:noProof/>
          <w:color w:val="000000"/>
        </w:rPr>
        <w:t>)</w:t>
      </w:r>
      <w:r w:rsidR="00136FC9">
        <w:rPr>
          <w:color w:val="000000"/>
        </w:rPr>
        <w:fldChar w:fldCharType="end"/>
      </w:r>
      <w:r w:rsidRPr="00873C4C">
        <w:rPr>
          <w:color w:val="000000"/>
        </w:rPr>
        <w:t xml:space="preserve">. </w:t>
      </w:r>
    </w:p>
    <w:p w:rsidR="002D63A8" w:rsidRDefault="002D63A8" w:rsidP="00057B42">
      <w:pPr>
        <w:spacing w:line="360" w:lineRule="auto"/>
        <w:jc w:val="both"/>
        <w:rPr>
          <w:color w:val="000000"/>
          <w:lang w:val="en"/>
        </w:rPr>
      </w:pPr>
    </w:p>
    <w:p w:rsidR="002D63A8" w:rsidRDefault="002D63A8" w:rsidP="00645687">
      <w:pPr>
        <w:pStyle w:val="Theses4"/>
      </w:pPr>
      <w:r>
        <w:tab/>
      </w:r>
      <w:bookmarkStart w:id="526" w:name="_Toc312169210"/>
      <w:bookmarkStart w:id="527" w:name="_Toc312172137"/>
      <w:bookmarkStart w:id="528" w:name="_Toc312257686"/>
      <w:r w:rsidRPr="00873C4C">
        <w:t>Principal component analysis (PCA)</w:t>
      </w:r>
      <w:bookmarkEnd w:id="526"/>
      <w:bookmarkEnd w:id="527"/>
      <w:bookmarkEnd w:id="528"/>
    </w:p>
    <w:p w:rsidR="002D63A8" w:rsidRPr="00873C4C" w:rsidRDefault="002D63A8" w:rsidP="006F0FA8">
      <w:pPr>
        <w:spacing w:before="240" w:line="360" w:lineRule="auto"/>
        <w:jc w:val="both"/>
        <w:rPr>
          <w:color w:val="000000"/>
        </w:rPr>
      </w:pPr>
      <w:r w:rsidRPr="00873C4C">
        <w:rPr>
          <w:color w:val="000000"/>
          <w:lang w:val="en"/>
        </w:rPr>
        <w:t xml:space="preserve">Principal component analysis (PCA) is a statistical analysis technique that mathematically transforms a number of potentially correlated variables into a smaller number of uncorrelated variables called </w:t>
      </w:r>
      <w:bookmarkStart w:id="529" w:name="OLE_LINK1"/>
      <w:bookmarkStart w:id="530" w:name="OLE_LINK2"/>
      <w:r w:rsidRPr="00873C4C">
        <w:rPr>
          <w:color w:val="000000"/>
          <w:lang w:val="en"/>
        </w:rPr>
        <w:t>principal components</w:t>
      </w:r>
      <w:bookmarkEnd w:id="529"/>
      <w:bookmarkEnd w:id="530"/>
      <w:r>
        <w:rPr>
          <w:color w:val="000000"/>
          <w:lang w:val="en"/>
        </w:rPr>
        <w:t xml:space="preserve"> (Figure 1-10)</w:t>
      </w:r>
      <w:r w:rsidRPr="00873C4C">
        <w:rPr>
          <w:color w:val="000000"/>
          <w:lang w:val="en"/>
        </w:rPr>
        <w:t>. PCA is thus a dimensional reduction technique. This method of analysis calculates the Eigen system of a given matrix of data and has been demonstrated to be of value in proteomic analysis. It can be used to determine quantitative alterations of protein spots and thus potentially to identify co-regulated proteins that may have prognostic importance</w:t>
      </w:r>
      <w:r w:rsidR="00DF71C3">
        <w:rPr>
          <w:color w:val="000000"/>
          <w:lang w:val="en"/>
        </w:rPr>
        <w:t xml:space="preserve"> </w:t>
      </w:r>
      <w:r w:rsidR="00DF71C3">
        <w:rPr>
          <w:color w:val="000000"/>
          <w:lang w:val="en"/>
        </w:rPr>
        <w:fldChar w:fldCharType="begin">
          <w:fldData xml:space="preserve">PEVuZE5vdGU+PENpdGU+PEF1dGhvcj5Db3J6ZXR0PC9BdXRob3I+PFllYXI+MjAxMDwvWWVhcj48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</w:fldData>
        </w:fldChar>
      </w:r>
      <w:r w:rsidR="00DF71C3">
        <w:rPr>
          <w:color w:val="000000"/>
          <w:lang w:val="en"/>
        </w:rPr>
        <w:instrText xml:space="preserve"> ADDIN EN.CITE </w:instrText>
      </w:r>
      <w:r w:rsidR="00DF71C3">
        <w:rPr>
          <w:color w:val="000000"/>
          <w:lang w:val="en"/>
        </w:rPr>
        <w:fldChar w:fldCharType="begin">
          <w:fldData xml:space="preserve">PEVuZE5vdGU+PENpdGU+PEF1dGhvcj5Db3J6ZXR0PC9BdXRob3I+PFllYXI+MjAxMDwvWWVhcj48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</w:fldData>
        </w:fldChar>
      </w:r>
      <w:r w:rsidR="00DF71C3">
        <w:rPr>
          <w:color w:val="000000"/>
          <w:lang w:val="en"/>
        </w:rPr>
        <w:instrText xml:space="preserve"> ADDIN EN.CITE.DATA </w:instrText>
      </w:r>
      <w:r w:rsidR="00DF71C3">
        <w:rPr>
          <w:color w:val="000000"/>
          <w:lang w:val="en"/>
        </w:rPr>
      </w:r>
      <w:r w:rsidR="00DF71C3">
        <w:rPr>
          <w:color w:val="000000"/>
          <w:lang w:val="en"/>
        </w:rPr>
        <w:fldChar w:fldCharType="end"/>
      </w:r>
      <w:r w:rsidR="00DF71C3">
        <w:rPr>
          <w:color w:val="000000"/>
          <w:lang w:val="en"/>
        </w:rPr>
      </w:r>
      <w:r w:rsidR="00DF71C3">
        <w:rPr>
          <w:color w:val="000000"/>
          <w:lang w:val="en"/>
        </w:rPr>
        <w:fldChar w:fldCharType="separate"/>
      </w:r>
      <w:r w:rsidR="00DF71C3">
        <w:rPr>
          <w:noProof/>
          <w:color w:val="000000"/>
          <w:lang w:val="en"/>
        </w:rPr>
        <w:t>(</w:t>
      </w:r>
      <w:hyperlink w:anchor="_ENREF_85" w:tooltip="Corzett, 2010 #5504" w:history="1">
        <w:r w:rsidR="004A784D">
          <w:rPr>
            <w:noProof/>
            <w:color w:val="000000"/>
            <w:lang w:val="en"/>
          </w:rPr>
          <w:t>Corzett et al., 2010</w:t>
        </w:r>
      </w:hyperlink>
      <w:r w:rsidR="00DF71C3">
        <w:rPr>
          <w:noProof/>
          <w:color w:val="000000"/>
          <w:lang w:val="en"/>
        </w:rPr>
        <w:t xml:space="preserve">, </w:t>
      </w:r>
      <w:hyperlink w:anchor="_ENREF_66" w:tooltip="Carpentier, 2008 #5507" w:history="1">
        <w:r w:rsidR="004A784D">
          <w:rPr>
            <w:noProof/>
            <w:color w:val="000000"/>
            <w:lang w:val="en"/>
          </w:rPr>
          <w:t>Carpentier et al., 2008</w:t>
        </w:r>
      </w:hyperlink>
      <w:r w:rsidR="00DF71C3">
        <w:rPr>
          <w:noProof/>
          <w:color w:val="000000"/>
          <w:lang w:val="en"/>
        </w:rPr>
        <w:t>)</w:t>
      </w:r>
      <w:r w:rsidR="00DF71C3">
        <w:rPr>
          <w:color w:val="000000"/>
          <w:lang w:val="en"/>
        </w:rPr>
        <w:fldChar w:fldCharType="end"/>
      </w:r>
      <w:r w:rsidRPr="00873C4C">
        <w:rPr>
          <w:color w:val="000000"/>
          <w:lang w:val="en"/>
        </w:rPr>
        <w:t>.</w:t>
      </w:r>
      <w:r w:rsidRPr="00873C4C">
        <w:rPr>
          <w:color w:val="000000"/>
        </w:rPr>
        <w:t xml:space="preserve"> </w:t>
      </w:r>
    </w:p>
    <w:p w:rsidR="002D63A8" w:rsidRPr="00873C4C" w:rsidRDefault="002D63A8" w:rsidP="00057B42">
      <w:pPr>
        <w:keepNext/>
        <w:spacing w:line="360" w:lineRule="auto"/>
        <w:jc w:val="both"/>
        <w:rPr>
          <w:color w:val="000000"/>
        </w:rPr>
      </w:pPr>
      <w:r>
        <w:rPr>
          <w:noProof/>
          <w:color w:val="000000"/>
          <w:lang w:eastAsia="en-IE"/>
        </w:rPr>
        <w:lastRenderedPageBreak/>
        <w:drawing>
          <wp:inline distT="0" distB="0" distL="0" distR="0" wp14:anchorId="25823EA8" wp14:editId="10AA895A">
            <wp:extent cx="5279390" cy="44773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9390" cy="4477385"/>
                    </a:xfrm>
                    <a:prstGeom prst="rect">
                      <a:avLst/>
                    </a:prstGeom>
                    <a:noFill/>
                    <a:ln>
                      <a:noFill/>
                    </a:ln>
                  </pic:spPr>
                </pic:pic>
              </a:graphicData>
            </a:graphic>
          </wp:inline>
        </w:drawing>
      </w:r>
    </w:p>
    <w:p w:rsidR="00C46C49" w:rsidRPr="00D74982" w:rsidRDefault="002D63A8" w:rsidP="00057B42">
      <w:pPr>
        <w:pStyle w:val="Caption"/>
        <w:pBdr>
          <w:bottom w:val="single" w:sz="12" w:space="1" w:color="auto"/>
        </w:pBdr>
        <w:jc w:val="both"/>
      </w:pPr>
      <w:bookmarkStart w:id="531" w:name="_Toc260927159"/>
      <w:bookmarkStart w:id="532" w:name="_Toc304195967"/>
      <w:r w:rsidRPr="00873C4C">
        <w:rPr>
          <w:color w:val="000000"/>
        </w:rPr>
        <w:t xml:space="preserve">Figure </w:t>
      </w:r>
      <w:r w:rsidR="008A68DC">
        <w:rPr>
          <w:color w:val="000000"/>
        </w:rPr>
        <w:t>1</w:t>
      </w:r>
      <w:r w:rsidR="008A68DC">
        <w:rPr>
          <w:color w:val="000000"/>
        </w:rPr>
        <w:noBreakHyphen/>
      </w:r>
      <w:r w:rsidR="006F0FA8">
        <w:rPr>
          <w:color w:val="000000"/>
        </w:rPr>
        <w:t>14</w:t>
      </w:r>
      <w:r w:rsidRPr="00873C4C">
        <w:rPr>
          <w:color w:val="000000"/>
          <w:lang w:val="en-US"/>
        </w:rPr>
        <w:t xml:space="preserve"> PCA is probably the most widespread multiv</w:t>
      </w:r>
      <w:r w:rsidR="007E53B6">
        <w:rPr>
          <w:color w:val="000000"/>
          <w:lang w:val="en-US"/>
        </w:rPr>
        <w:t xml:space="preserve">ariate statistical </w:t>
      </w:r>
      <w:r w:rsidR="00DF71C3">
        <w:rPr>
          <w:color w:val="000000"/>
          <w:lang w:val="en-US"/>
        </w:rPr>
        <w:t>technique</w:t>
      </w:r>
      <w:r w:rsidRPr="00873C4C">
        <w:rPr>
          <w:color w:val="000000"/>
          <w:lang w:val="en-US"/>
        </w:rPr>
        <w:t xml:space="preserve"> that </w:t>
      </w:r>
      <w:r w:rsidRPr="00873C4C">
        <w:rPr>
          <w:color w:val="000000"/>
        </w:rPr>
        <w:t xml:space="preserve">involves a mathematical procedure that transforms a number of (possibly) correlated variables into a (smaller) number of uncorrelated variables called </w:t>
      </w:r>
      <w:r w:rsidRPr="00873C4C">
        <w:rPr>
          <w:iCs/>
          <w:color w:val="000000"/>
        </w:rPr>
        <w:t xml:space="preserve">principal components. Therefore PCA is recommended as an exploratory tool to uncover unknown trends in the dataset such as biomarker discovery. In the above example; </w:t>
      </w:r>
      <w:r w:rsidRPr="00873C4C">
        <w:rPr>
          <w:color w:val="000000"/>
        </w:rPr>
        <w:t>each dot on this plot represents a clinical sample. This experiment shows consistent results, as clinical samples from the same experimental groups are located in the same distinct areas, i.e. contained mostly in one half of the plot.</w:t>
      </w:r>
      <w:bookmarkEnd w:id="531"/>
      <w:bookmarkEnd w:id="532"/>
      <w:r w:rsidRPr="00873C4C">
        <w:rPr>
          <w:color w:val="000000"/>
        </w:rPr>
        <w:t xml:space="preserve"> </w:t>
      </w:r>
      <w:r w:rsidR="00C46C49" w:rsidRPr="00D74982">
        <w:t>(Reproduce from</w:t>
      </w:r>
      <w:r w:rsidR="00C46C49" w:rsidRPr="00C46C49">
        <w:rPr>
          <w:color w:val="000000"/>
          <w:szCs w:val="24"/>
        </w:rPr>
        <w:t xml:space="preserve"> </w:t>
      </w:r>
      <w:r w:rsidR="00C46C49" w:rsidRPr="00873C4C">
        <w:rPr>
          <w:color w:val="000000"/>
          <w:szCs w:val="24"/>
        </w:rPr>
        <w:t>GE Healthcare website</w:t>
      </w:r>
      <w:r w:rsidR="00C46C49" w:rsidRPr="00D74982">
        <w:t>).</w:t>
      </w:r>
    </w:p>
    <w:p w:rsidR="00C46C49" w:rsidRDefault="00C46C49" w:rsidP="00057B42">
      <w:pPr>
        <w:pStyle w:val="Caption"/>
        <w:pBdr>
          <w:bottom w:val="single" w:sz="12" w:space="1" w:color="auto"/>
        </w:pBdr>
        <w:jc w:val="both"/>
        <w:rPr>
          <w:color w:val="000000"/>
        </w:rPr>
      </w:pPr>
    </w:p>
    <w:p w:rsidR="00C46C49" w:rsidRDefault="00C46C49" w:rsidP="00057B42">
      <w:pPr>
        <w:pStyle w:val="Caption"/>
        <w:pBdr>
          <w:bottom w:val="single" w:sz="12" w:space="1" w:color="auto"/>
        </w:pBdr>
        <w:jc w:val="both"/>
        <w:rPr>
          <w:color w:val="000000"/>
        </w:rPr>
      </w:pPr>
    </w:p>
    <w:p w:rsidR="002D63A8" w:rsidRPr="00873C4C" w:rsidRDefault="002D63A8" w:rsidP="00057B42">
      <w:pPr>
        <w:spacing w:line="360" w:lineRule="auto"/>
        <w:rPr>
          <w:color w:val="000000"/>
        </w:rPr>
      </w:pPr>
    </w:p>
    <w:p w:rsidR="002D63A8" w:rsidRDefault="002D63A8" w:rsidP="00057B42">
      <w:pPr>
        <w:pStyle w:val="Caption"/>
        <w:jc w:val="both"/>
        <w:rPr>
          <w:b w:val="0"/>
          <w:iCs/>
          <w:color w:val="000000"/>
          <w:lang w:val="en-GB"/>
        </w:rPr>
      </w:pPr>
    </w:p>
    <w:p w:rsidR="00057B42" w:rsidRDefault="00057B42" w:rsidP="00057B42">
      <w:pPr>
        <w:rPr>
          <w:lang w:val="en-GB"/>
        </w:rPr>
      </w:pPr>
    </w:p>
    <w:p w:rsidR="00057B42" w:rsidRPr="00057B42" w:rsidRDefault="00057B42" w:rsidP="00057B42">
      <w:pPr>
        <w:rPr>
          <w:lang w:val="en-GB"/>
        </w:rPr>
      </w:pPr>
    </w:p>
    <w:p w:rsidR="00596E2B" w:rsidRPr="00596E2B" w:rsidRDefault="00596E2B" w:rsidP="00645687">
      <w:pPr>
        <w:pStyle w:val="Heading4"/>
      </w:pPr>
      <w:r w:rsidRPr="00596E2B">
        <w:lastRenderedPageBreak/>
        <w:tab/>
      </w:r>
      <w:bookmarkStart w:id="533" w:name="_Toc312169211"/>
      <w:bookmarkStart w:id="534" w:name="_Toc312172138"/>
      <w:bookmarkStart w:id="535" w:name="_Toc312257687"/>
      <w:r w:rsidRPr="00596E2B">
        <w:t>Logistic regression validation</w:t>
      </w:r>
      <w:bookmarkEnd w:id="533"/>
      <w:bookmarkEnd w:id="534"/>
      <w:bookmarkEnd w:id="535"/>
    </w:p>
    <w:p w:rsidR="00596E2B" w:rsidRPr="00596E2B" w:rsidRDefault="00596E2B" w:rsidP="006F0FA8">
      <w:pPr>
        <w:spacing w:before="240" w:line="360" w:lineRule="auto"/>
        <w:jc w:val="both"/>
      </w:pPr>
      <w:r w:rsidRPr="00596E2B">
        <w:t>With any predictive model rigorous validation is essential. This allows one to gain an appreciation of future performance (i.e. an ability to classify unknown samples correctly). There are two main types of validation used, internal and external validation. External validation is the ideal type – where a large blinded dataset is collected and presented to the model. In many proof of concept studies where sample numbers are relatively small, internal validation measures such as the ROC curve and</w:t>
      </w:r>
      <w:r w:rsidR="002C323F">
        <w:t xml:space="preserve"> cross validation are employed </w:t>
      </w:r>
      <w:r w:rsidR="002C323F" w:rsidRPr="00596E2B">
        <w:fldChar w:fldCharType="begin">
          <w:fldData xml:space="preserve">PEVuZE5vdGU+PENpdGU+PEF1dGhvcj5UYXlsb3I8L0F1dGhvcj48WWVhcj4yMDA4PC9ZZWFyPjxS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</w:fldData>
        </w:fldChar>
      </w:r>
      <w:r w:rsidR="002C323F">
        <w:instrText xml:space="preserve"> ADDIN EN.CITE </w:instrText>
      </w:r>
      <w:r w:rsidR="002C323F">
        <w:fldChar w:fldCharType="begin">
          <w:fldData xml:space="preserve">PEVuZE5vdGU+PENpdGU+PEF1dGhvcj5UYXlsb3I8L0F1dGhvcj48WWVhcj4yMDA4PC9ZZWFyPjxS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</w:fldData>
        </w:fldChar>
      </w:r>
      <w:r w:rsidR="002C323F">
        <w:instrText xml:space="preserve"> ADDIN EN.CITE.DATA </w:instrText>
      </w:r>
      <w:r w:rsidR="002C323F">
        <w:fldChar w:fldCharType="end"/>
      </w:r>
      <w:r w:rsidR="002C323F" w:rsidRPr="00596E2B">
        <w:fldChar w:fldCharType="separate"/>
      </w:r>
      <w:r w:rsidR="002C323F">
        <w:rPr>
          <w:noProof/>
        </w:rPr>
        <w:t>(</w:t>
      </w:r>
      <w:hyperlink w:anchor="_ENREF_413" w:tooltip="Taylor, 2008 #1" w:history="1">
        <w:r w:rsidR="004A784D">
          <w:rPr>
            <w:noProof/>
          </w:rPr>
          <w:t>Taylor et al., 2008</w:t>
        </w:r>
      </w:hyperlink>
      <w:r w:rsidR="002C323F">
        <w:rPr>
          <w:noProof/>
        </w:rPr>
        <w:t xml:space="preserve">, </w:t>
      </w:r>
      <w:hyperlink w:anchor="_ENREF_32" w:tooltip="Bagley, 2001 #2" w:history="1">
        <w:r w:rsidR="004A784D">
          <w:rPr>
            <w:noProof/>
          </w:rPr>
          <w:t>Bagley et al., 2001</w:t>
        </w:r>
      </w:hyperlink>
      <w:r w:rsidR="002C323F">
        <w:rPr>
          <w:noProof/>
        </w:rPr>
        <w:t xml:space="preserve">, </w:t>
      </w:r>
      <w:hyperlink w:anchor="_ENREF_337" w:tooltip="Ransohoff, 2005 #4" w:history="1">
        <w:r w:rsidR="004A784D">
          <w:rPr>
            <w:noProof/>
          </w:rPr>
          <w:t>Ransohoff, 2005</w:t>
        </w:r>
      </w:hyperlink>
      <w:r w:rsidR="002C323F">
        <w:rPr>
          <w:noProof/>
        </w:rPr>
        <w:t>)</w:t>
      </w:r>
      <w:r w:rsidR="002C323F" w:rsidRPr="00596E2B">
        <w:fldChar w:fldCharType="end"/>
      </w:r>
    </w:p>
    <w:p w:rsidR="00596E2B" w:rsidRPr="00596E2B" w:rsidRDefault="00596E2B" w:rsidP="00057B42">
      <w:pPr>
        <w:spacing w:line="360" w:lineRule="auto"/>
        <w:jc w:val="both"/>
        <w:rPr>
          <w:highlight w:val="green"/>
        </w:rPr>
      </w:pPr>
    </w:p>
    <w:p w:rsidR="00596E2B" w:rsidRPr="00596E2B" w:rsidRDefault="00596E2B" w:rsidP="00645687">
      <w:pPr>
        <w:pStyle w:val="Heading4"/>
      </w:pPr>
      <w:r>
        <w:tab/>
      </w:r>
      <w:bookmarkStart w:id="536" w:name="_Toc312169212"/>
      <w:bookmarkStart w:id="537" w:name="_Toc312172139"/>
      <w:bookmarkStart w:id="538" w:name="_Toc312257688"/>
      <w:r w:rsidRPr="00596E2B">
        <w:t>Receiver operating characteristic (ROC) curve evaluation</w:t>
      </w:r>
      <w:bookmarkEnd w:id="536"/>
      <w:bookmarkEnd w:id="537"/>
      <w:bookmarkEnd w:id="538"/>
      <w:r w:rsidRPr="00596E2B">
        <w:t xml:space="preserve"> </w:t>
      </w:r>
    </w:p>
    <w:p w:rsidR="00596E2B" w:rsidRPr="00596E2B" w:rsidRDefault="00596E2B" w:rsidP="006F0FA8">
      <w:pPr>
        <w:spacing w:before="240" w:line="360" w:lineRule="auto"/>
        <w:jc w:val="both"/>
      </w:pPr>
      <w:r w:rsidRPr="00596E2B">
        <w:t>A common means of evaluating the suitability of a logistic regression based diagnostic test is known as the receiver operating characteristic curve (ROC). ROC curves are constructed to provide a means to determine the effectiveness of a classifier when, as is most likely, there is not 100% discrimination betw</w:t>
      </w:r>
      <w:r w:rsidR="006F0FA8">
        <w:t xml:space="preserve">een normal and disease </w:t>
      </w:r>
      <w:r w:rsidR="00F70D8B">
        <w:fldChar w:fldCharType="begin">
          <w:fldData xml:space="preserve">PEVuZE5vdGU+PENpdGU+PEF1dGhvcj5EZWxhY291cjwvQXV0aG9yPjxZZWFyPjIwMDU8L1llYXI+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</w:fldData>
        </w:fldChar>
      </w:r>
      <w:r w:rsidR="00F70D8B">
        <w:instrText xml:space="preserve"> ADDIN EN.CITE </w:instrText>
      </w:r>
      <w:r w:rsidR="00F70D8B">
        <w:fldChar w:fldCharType="begin">
          <w:fldData xml:space="preserve">PEVuZE5vdGU+PENpdGU+PEF1dGhvcj5EZWxhY291cjwvQXV0aG9yPjxZZWFyPjIwMDU8L1llYXI+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</w:fldData>
        </w:fldChar>
      </w:r>
      <w:r w:rsidR="00F70D8B">
        <w:instrText xml:space="preserve"> ADDIN EN.CITE.DATA </w:instrText>
      </w:r>
      <w:r w:rsidR="00F70D8B">
        <w:fldChar w:fldCharType="end"/>
      </w:r>
      <w:r w:rsidR="00F70D8B">
        <w:fldChar w:fldCharType="separate"/>
      </w:r>
      <w:r w:rsidR="00F70D8B">
        <w:rPr>
          <w:noProof/>
        </w:rPr>
        <w:t>(</w:t>
      </w:r>
      <w:hyperlink w:anchor="_ENREF_95" w:tooltip="Delacour, 2005 #5484" w:history="1">
        <w:r w:rsidR="004A784D">
          <w:rPr>
            <w:noProof/>
          </w:rPr>
          <w:t>Delacour et al., 2005</w:t>
        </w:r>
      </w:hyperlink>
      <w:r w:rsidR="00F70D8B">
        <w:rPr>
          <w:noProof/>
        </w:rPr>
        <w:t>)</w:t>
      </w:r>
      <w:r w:rsidR="00F70D8B">
        <w:fldChar w:fldCharType="end"/>
      </w:r>
      <w:r w:rsidRPr="00596E2B">
        <w:t>. The vertical black line represents the point at which a decision is made. This “cut-point” is varied and the sensitivity and specificity is calculated at each point. A ROC curve can be generated by plotting the resulting sensitivity and 1-specificity (see below for sensitivity and specificity formulas). Determining the area under the curve (AUC) yields a summary measure of the overall performance of the model. For the comparison of biomarker combinations an AUC of &lt; 0.7 is considered poor, between 0.7 and 0.8 acceptable, 0.8 to 0.9 good and &gt; 0.9 excellent</w:t>
      </w:r>
      <w:r w:rsidR="00F70D8B">
        <w:t xml:space="preserve"> </w:t>
      </w:r>
      <w:r w:rsidR="00F70D8B">
        <w:fldChar w:fldCharType="begin"/>
      </w:r>
      <w:r w:rsidR="00F70D8B">
        <w:instrText xml:space="preserve"> ADDIN EN.CITE &lt;EndNote&gt;&lt;Cite&gt;&lt;Author&gt;Alonzo&lt;/Author&gt;&lt;Year&gt;2007&lt;/Year&gt;&lt;RecNum&gt;5479&lt;/RecNum&gt;&lt;DisplayText&gt;(Alonzo and Pepe, 2007)&lt;/DisplayText&gt;&lt;record&gt;&lt;rec-number&gt;5479&lt;/rec-number&gt;&lt;foreign-keys&gt;&lt;key app="EN" db-id="zf0awxsaczrdd3eft5qvw9wrtxxawdfrvw2a"&gt;5479&lt;/key&gt;&lt;/foreign-keys&gt;&lt;ref-type name="Journal Article"&gt;17&lt;/ref-type&gt;&lt;contributors&gt;&lt;authors&gt;&lt;author&gt;Alonzo, T. A.&lt;/author&gt;&lt;author&gt;Pepe, M. S.&lt;/author&gt;&lt;/authors&gt;&lt;/contributors&gt;&lt;auth-address&gt;Children&amp;apos;s Oncology Group, University of Southern California, Arcadia, CA, USA.&lt;/auth-address&gt;&lt;titles&gt;&lt;title&gt;Development and evaluation of classifiers&lt;/title&gt;&lt;secondary-title&gt;Methods Mol Biol&lt;/secondary-title&gt;&lt;/titles&gt;&lt;periodical&gt;&lt;full-title&gt;Methods Mol Biol&lt;/full-title&gt;&lt;/periodical&gt;&lt;pages&gt;89-116&lt;/pages&gt;&lt;volume&gt;404&lt;/volume&gt;&lt;edition&gt;2008/05/03&lt;/edition&gt;&lt;keywords&gt;&lt;keyword&gt;Appendicitis/ultrasonography&lt;/keyword&gt;&lt;keyword&gt;Child&lt;/keyword&gt;&lt;keyword&gt;*Diagnostic Tests, Routine&lt;/keyword&gt;&lt;keyword&gt;Heart Diseases/diagnosis&lt;/keyword&gt;&lt;keyword&gt;Humans&lt;/keyword&gt;&lt;keyword&gt;Pancreatic Neoplasms/diagnosis&lt;/keyword&gt;&lt;keyword&gt;Predictive Value of Tests&lt;/keyword&gt;&lt;keyword&gt;ROC Curve&lt;/keyword&gt;&lt;keyword&gt;Reproducibility of Results&lt;/keyword&gt;&lt;keyword&gt;Sensitivity and Specificity&lt;/keyword&gt;&lt;keyword&gt;Statistics as Topic/*methods&lt;/keyword&gt;&lt;/keywords&gt;&lt;dates&gt;&lt;year&gt;2007&lt;/year&gt;&lt;/dates&gt;&lt;isbn&gt;1064-3745 (Print)&amp;#xD;1064-3745 (Linking)&lt;/isbn&gt;&lt;accession-num&gt;18450047&lt;/accession-num&gt;&lt;urls&gt;&lt;related-urls&gt;&lt;url&gt;http://www.ncbi.nlm.nih.gov/pubmed/18450047&lt;/url&gt;&lt;/related-urls&gt;&lt;/urls&gt;&lt;language&gt;eng&lt;/language&gt;&lt;/record&gt;&lt;/Cite&gt;&lt;/EndNote&gt;</w:instrText>
      </w:r>
      <w:r w:rsidR="00F70D8B">
        <w:fldChar w:fldCharType="separate"/>
      </w:r>
      <w:r w:rsidR="00F70D8B">
        <w:rPr>
          <w:noProof/>
        </w:rPr>
        <w:t>(</w:t>
      </w:r>
      <w:hyperlink w:anchor="_ENREF_14" w:tooltip="Alonzo, 2007 #5479" w:history="1">
        <w:r w:rsidR="004A784D">
          <w:rPr>
            <w:noProof/>
          </w:rPr>
          <w:t>Alonzo and Pepe, 2007</w:t>
        </w:r>
      </w:hyperlink>
      <w:r w:rsidR="00F70D8B">
        <w:rPr>
          <w:noProof/>
        </w:rPr>
        <w:t>)</w:t>
      </w:r>
      <w:r w:rsidR="00F70D8B">
        <w:fldChar w:fldCharType="end"/>
      </w:r>
      <w:r w:rsidRPr="00596E2B">
        <w:t xml:space="preserve">. While the AUC is an appropriate measure of performance it is sometimes used as the sole measure in the literature. AUC is undoubtedly a useful measure; however, it is inherently biased as it is derived from the data used to construct the model. The model may be too specific for the training data – termed </w:t>
      </w:r>
      <w:r w:rsidR="006F4903" w:rsidRPr="006F4903">
        <w:t>over fitting</w:t>
      </w:r>
      <w:r w:rsidRPr="00596E2B">
        <w:t xml:space="preserve"> – and may predict unknown samples poorly. During the discovery phase of a project only a limited subset of patients is available during model development, therefore it is important to employ appropriate re-sampling techniques such as cross validation to estimate </w:t>
      </w:r>
      <w:r w:rsidR="006F4903" w:rsidRPr="00596E2B">
        <w:t>over fitting</w:t>
      </w:r>
      <w:r w:rsidRPr="00596E2B">
        <w:t xml:space="preserve"> risk</w:t>
      </w:r>
      <w:r w:rsidR="00F70D8B">
        <w:t xml:space="preserve"> </w:t>
      </w:r>
      <w:r w:rsidR="00F70D8B">
        <w:fldChar w:fldCharType="begin">
          <w:fldData xml:space="preserve">PEVuZE5vdGU+PENpdGU+PEF1dGhvcj5Tb3JlaWRlPC9BdXRob3I+PFllYXI+MjAxMTwvWWVhcj48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</w:fldData>
        </w:fldChar>
      </w:r>
      <w:r w:rsidR="00F70D8B">
        <w:instrText xml:space="preserve"> ADDIN EN.CITE </w:instrText>
      </w:r>
      <w:r w:rsidR="00F70D8B">
        <w:fldChar w:fldCharType="begin">
          <w:fldData xml:space="preserve">PEVuZE5vdGU+PENpdGU+PEF1dGhvcj5Tb3JlaWRlPC9BdXRob3I+PFllYXI+MjAxMTwvWWVhcj48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</w:fldData>
        </w:fldChar>
      </w:r>
      <w:r w:rsidR="00F70D8B">
        <w:instrText xml:space="preserve"> ADDIN EN.CITE.DATA </w:instrText>
      </w:r>
      <w:r w:rsidR="00F70D8B">
        <w:fldChar w:fldCharType="end"/>
      </w:r>
      <w:r w:rsidR="00F70D8B">
        <w:fldChar w:fldCharType="separate"/>
      </w:r>
      <w:r w:rsidR="00F70D8B">
        <w:rPr>
          <w:noProof/>
        </w:rPr>
        <w:t>(</w:t>
      </w:r>
      <w:hyperlink w:anchor="_ENREF_397" w:tooltip="Soreide, 2011 #5473" w:history="1">
        <w:r w:rsidR="004A784D">
          <w:rPr>
            <w:noProof/>
          </w:rPr>
          <w:t>Soreide et al., 2011</w:t>
        </w:r>
      </w:hyperlink>
      <w:r w:rsidR="00F70D8B">
        <w:rPr>
          <w:noProof/>
        </w:rPr>
        <w:t xml:space="preserve">, </w:t>
      </w:r>
      <w:hyperlink w:anchor="_ENREF_373" w:tooltip="Schroder, 2008 #5478" w:history="1">
        <w:r w:rsidR="004A784D">
          <w:rPr>
            <w:noProof/>
          </w:rPr>
          <w:t>Schroder and Kattan, 2008</w:t>
        </w:r>
      </w:hyperlink>
      <w:r w:rsidR="00F70D8B">
        <w:rPr>
          <w:noProof/>
        </w:rPr>
        <w:t>)</w:t>
      </w:r>
      <w:r w:rsidR="00F70D8B">
        <w:fldChar w:fldCharType="end"/>
      </w:r>
      <w:r w:rsidRPr="00596E2B">
        <w:t>.</w:t>
      </w:r>
    </w:p>
    <w:p w:rsidR="00596E2B" w:rsidRPr="00596E2B" w:rsidRDefault="00596E2B" w:rsidP="00057B42">
      <w:pPr>
        <w:spacing w:line="360" w:lineRule="auto"/>
        <w:jc w:val="both"/>
      </w:pPr>
    </w:p>
    <w:p w:rsidR="00596E2B" w:rsidRPr="00596E2B" w:rsidRDefault="00596E2B" w:rsidP="00645687">
      <w:pPr>
        <w:pStyle w:val="Heading4"/>
      </w:pPr>
      <w:r>
        <w:lastRenderedPageBreak/>
        <w:tab/>
      </w:r>
      <w:bookmarkStart w:id="539" w:name="_Toc312169213"/>
      <w:bookmarkStart w:id="540" w:name="_Toc312172140"/>
      <w:bookmarkStart w:id="541" w:name="_Toc312257689"/>
      <w:r w:rsidRPr="00596E2B">
        <w:t>Leave one out cross validation</w:t>
      </w:r>
      <w:bookmarkEnd w:id="539"/>
      <w:bookmarkEnd w:id="540"/>
      <w:bookmarkEnd w:id="541"/>
    </w:p>
    <w:p w:rsidR="002D63A8" w:rsidRDefault="00596E2B" w:rsidP="006F0FA8">
      <w:pPr>
        <w:spacing w:before="240" w:line="360" w:lineRule="auto"/>
        <w:jc w:val="both"/>
      </w:pPr>
      <w:r w:rsidRPr="00596E2B">
        <w:t>While the ROC and AUC is a useful means to determine the effectiveness of a logistic regression model, the result is biased. A statistical re-sampling is used technique known as leave-one-out cross validation (LOOCV) to correct this bias</w:t>
      </w:r>
      <w:r w:rsidR="00F9685D">
        <w:t xml:space="preserve"> </w:t>
      </w:r>
      <w:r w:rsidR="00F9685D">
        <w:fldChar w:fldCharType="begin"/>
      </w:r>
      <w:r w:rsidR="00F9685D">
        <w:instrText xml:space="preserve"> ADDIN EN.CITE &lt;EndNote&gt;&lt;Cite&gt;&lt;Author&gt;Li&lt;/Author&gt;&lt;Year&gt;2004&lt;/Year&gt;&lt;RecNum&gt;5499&lt;/RecNum&gt;&lt;DisplayText&gt;(Li et al., 2004)&lt;/DisplayText&gt;&lt;record&gt;&lt;rec-number&gt;5499&lt;/rec-number&gt;&lt;foreign-keys&gt;&lt;key app="EN" db-id="zf0awxsaczrdd3eft5qvw9wrtxxawdfrvw2a"&gt;5499&lt;/key&gt;&lt;/foreign-keys&gt;&lt;ref-type name="Journal Article"&gt;17&lt;/ref-type&gt;&lt;contributors&gt;&lt;authors&gt;&lt;author&gt;Li, L.&lt;/author&gt;&lt;author&gt;Tang, H.&lt;/author&gt;&lt;author&gt;Wu, Z.&lt;/author&gt;&lt;author&gt;Gong, J.&lt;/author&gt;&lt;author&gt;Gruidl, M.&lt;/author&gt;&lt;author&gt;Zou, J.&lt;/author&gt;&lt;author&gt;Tockman, M.&lt;/author&gt;&lt;author&gt;Clark, R. A.&lt;/author&gt;&lt;/authors&gt;&lt;/contributors&gt;&lt;auth-address&gt;Department of Radiology, College of Medicine, H. Lee Moffitt Cancer Center and Research Institute, University of South Florida, Tampa, FL 33612-4799, USA. lilh@moffitt.usf.edu&lt;/auth-address&gt;&lt;titles&gt;&lt;title&gt;Data mining techniques for cancer detection using serum proteomic profiling&lt;/title&gt;&lt;secondary-title&gt;Artif Intell Med&lt;/secondary-title&gt;&lt;/titles&gt;&lt;periodical&gt;&lt;full-title&gt;Artif Intell Med&lt;/full-title&gt;&lt;/periodical&gt;&lt;pages&gt;71-83&lt;/pages&gt;&lt;volume&gt;32&lt;/volume&gt;&lt;number&gt;2&lt;/number&gt;&lt;edition&gt;2004/09/15&lt;/edition&gt;&lt;keywords&gt;&lt;keyword&gt;Decision Trees&lt;/keyword&gt;&lt;keyword&gt;Female&lt;/keyword&gt;&lt;keyword&gt;Humans&lt;/keyword&gt;&lt;keyword&gt;*Information Storage and Retrieval&lt;/keyword&gt;&lt;keyword&gt;Mass Spectrometry&lt;/keyword&gt;&lt;keyword&gt;*Medical Informatics&lt;/keyword&gt;&lt;keyword&gt;Neoplasms/*diagnosis/*genetics&lt;/keyword&gt;&lt;keyword&gt;*Neural Networks (Computer)&lt;/keyword&gt;&lt;keyword&gt;Ovarian Neoplasms/diagnosis/genetics&lt;/keyword&gt;&lt;keyword&gt;Proteomics/*statistics &amp;amp; numerical data&lt;/keyword&gt;&lt;keyword&gt;Tumor Markers, Biological/*analysis&lt;/keyword&gt;&lt;/keywords&gt;&lt;dates&gt;&lt;year&gt;2004&lt;/year&gt;&lt;pub-dates&gt;&lt;date&gt;Oct&lt;/date&gt;&lt;/pub-dates&gt;&lt;/dates&gt;&lt;isbn&gt;0933-3657 (Print)&amp;#xD;0933-3657 (Linking)&lt;/isbn&gt;&lt;accession-num&gt;15364092&lt;/accession-num&gt;&lt;urls&gt;&lt;related-urls&gt;&lt;url&gt;http://www.ncbi.nlm.nih.gov/pubmed/15364092&lt;/url&gt;&lt;/related-urls&gt;&lt;/urls&gt;&lt;electronic-resource-num&gt;10.1016/j.artmed.2004.03.006&amp;#xD;S0933365704000545 [pii]&lt;/electronic-resource-num&gt;&lt;language&gt;eng&lt;/language&gt;&lt;/record&gt;&lt;/Cite&gt;&lt;/EndNote&gt;</w:instrText>
      </w:r>
      <w:r w:rsidR="00F9685D">
        <w:fldChar w:fldCharType="separate"/>
      </w:r>
      <w:r w:rsidR="00F9685D">
        <w:rPr>
          <w:noProof/>
        </w:rPr>
        <w:t>(</w:t>
      </w:r>
      <w:hyperlink w:anchor="_ENREF_244" w:tooltip="Li, 2004 #5921" w:history="1">
        <w:r w:rsidR="004A784D">
          <w:rPr>
            <w:noProof/>
          </w:rPr>
          <w:t>Li et al., 2004</w:t>
        </w:r>
      </w:hyperlink>
      <w:r w:rsidR="00F9685D">
        <w:rPr>
          <w:noProof/>
        </w:rPr>
        <w:t>)</w:t>
      </w:r>
      <w:r w:rsidR="00F9685D">
        <w:fldChar w:fldCharType="end"/>
      </w:r>
      <w:r w:rsidRPr="00596E2B">
        <w:t xml:space="preserve">. </w:t>
      </w:r>
    </w:p>
    <w:p w:rsidR="002D63A8" w:rsidRDefault="002D63A8" w:rsidP="00057B42">
      <w:pPr>
        <w:spacing w:line="360" w:lineRule="auto"/>
        <w:jc w:val="both"/>
      </w:pPr>
    </w:p>
    <w:p w:rsidR="00596E2B" w:rsidRPr="00596E2B" w:rsidRDefault="00596E2B" w:rsidP="00057B42">
      <w:pPr>
        <w:spacing w:line="360" w:lineRule="auto"/>
        <w:jc w:val="both"/>
      </w:pPr>
      <w:r w:rsidRPr="00596E2B">
        <w:t xml:space="preserve">Leave one out cross validation is known as a re-sampling technique used widely in statistics to provide estimates of a model future performance when the sample size is small. In LOOCV series of model is built using </w:t>
      </w:r>
      <w:r w:rsidRPr="00596E2B">
        <w:rPr>
          <w:i/>
        </w:rPr>
        <w:t>n</w:t>
      </w:r>
      <w:r w:rsidRPr="00596E2B">
        <w:t>-1 samples, the removed sample is presented to the model and the prediction made. The process continues until each sample is left out. The aim is to attempt to determine if model over fitting has occurred without the use of an independent testing set</w:t>
      </w:r>
      <w:r>
        <w:t xml:space="preserve"> (Figure 1-13)</w:t>
      </w:r>
      <w:r w:rsidR="007550E5">
        <w:t xml:space="preserve"> </w:t>
      </w:r>
      <w:r w:rsidR="00F9685D">
        <w:fldChar w:fldCharType="begin"/>
      </w:r>
      <w:r w:rsidR="00F9685D">
        <w:instrText xml:space="preserve"> ADDIN EN.CITE &lt;EndNote&gt;&lt;Cite&gt;&lt;Author&gt;Man&lt;/Author&gt;&lt;Year&gt;2004&lt;/Year&gt;&lt;RecNum&gt;5498&lt;/RecNum&gt;&lt;DisplayText&gt;(Man et al., 2004)&lt;/DisplayText&gt;&lt;record&gt;&lt;rec-number&gt;5498&lt;/rec-number&gt;&lt;foreign-keys&gt;&lt;key app="EN" db-id="zf0awxsaczrdd3eft5qvw9wrtxxawdfrvw2a"&gt;5498&lt;/key&gt;&lt;/foreign-keys&gt;&lt;ref-type name="Journal Article"&gt;17&lt;/ref-type&gt;&lt;contributors&gt;&lt;authors&gt;&lt;author&gt;Man, M. Z.&lt;/author&gt;&lt;author&gt;Dyson, G.&lt;/author&gt;&lt;author&gt;Johnson, K.&lt;/author&gt;&lt;author&gt;Liao, B.&lt;/author&gt;&lt;/authors&gt;&lt;/contributors&gt;&lt;auth-address&gt;Nonclinical Statistics, Pfizer Global Research and Development - Ann Arbor Laboratories, Ann Arbor, MI 48105, USA. michael.mann@pfizer.com&lt;/auth-address&gt;&lt;titles&gt;&lt;title&gt;Evaluating methods for classifying expression data&lt;/title&gt;&lt;secondary-title&gt;J Biopharm Stat&lt;/secondary-title&gt;&lt;/titles&gt;&lt;periodical&gt;&lt;full-title&gt;J Biopharm Stat&lt;/full-title&gt;&lt;/periodical&gt;&lt;pages&gt;1065-84&lt;/pages&gt;&lt;volume&gt;14&lt;/volume&gt;&lt;number&gt;4&lt;/number&gt;&lt;edition&gt;2004/12/14&lt;/edition&gt;&lt;keywords&gt;&lt;keyword&gt;Algorithms&lt;/keyword&gt;&lt;keyword&gt;Artificial Intelligence&lt;/keyword&gt;&lt;keyword&gt;*Data Interpretation, Statistical&lt;/keyword&gt;&lt;keyword&gt;Discriminant Analysis&lt;/keyword&gt;&lt;keyword&gt;*Gene Expression&lt;/keyword&gt;&lt;keyword&gt;Genetic Markers&lt;/keyword&gt;&lt;keyword&gt;Least-Squares Analysis&lt;/keyword&gt;&lt;keyword&gt;Models, Genetic&lt;/keyword&gt;&lt;keyword&gt;Neural Networks (Computer)&lt;/keyword&gt;&lt;keyword&gt;Oligonucleotide Array Sequence Analysis/statistics &amp;amp; numerical data&lt;/keyword&gt;&lt;keyword&gt;Predictive Value of Tests&lt;/keyword&gt;&lt;keyword&gt;Principal Component Analysis&lt;/keyword&gt;&lt;keyword&gt;Reproducibility of Results&lt;/keyword&gt;&lt;keyword&gt;Statistics, Nonparametric&lt;/keyword&gt;&lt;/keywords&gt;&lt;dates&gt;&lt;year&gt;2004&lt;/year&gt;&lt;pub-dates&gt;&lt;date&gt;Nov&lt;/date&gt;&lt;/pub-dates&gt;&lt;/dates&gt;&lt;isbn&gt;1054-3406 (Print)&amp;#xD;1054-3406 (Linking)&lt;/isbn&gt;&lt;accession-num&gt;15587980&lt;/accession-num&gt;&lt;urls&gt;&lt;related-urls&gt;&lt;url&gt;http://www.ncbi.nlm.nih.gov/pubmed/15587980&lt;/url&gt;&lt;/related-urls&gt;&lt;/urls&gt;&lt;electronic-resource-num&gt;10.1081/BIP-200035491&lt;/electronic-resource-num&gt;&lt;language&gt;eng&lt;/language&gt;&lt;/record&gt;&lt;/Cite&gt;&lt;/EndNote&gt;</w:instrText>
      </w:r>
      <w:r w:rsidR="00F9685D">
        <w:fldChar w:fldCharType="separate"/>
      </w:r>
      <w:r w:rsidR="00F9685D">
        <w:rPr>
          <w:noProof/>
        </w:rPr>
        <w:t>(</w:t>
      </w:r>
      <w:hyperlink w:anchor="_ENREF_263" w:tooltip="Man, 2004 #6016" w:history="1">
        <w:r w:rsidR="004A784D">
          <w:rPr>
            <w:noProof/>
          </w:rPr>
          <w:t>Man et al., 2004</w:t>
        </w:r>
      </w:hyperlink>
      <w:r w:rsidR="00F9685D">
        <w:rPr>
          <w:noProof/>
        </w:rPr>
        <w:t>)</w:t>
      </w:r>
      <w:r w:rsidR="00F9685D">
        <w:fldChar w:fldCharType="end"/>
      </w:r>
      <w:r w:rsidRPr="00596E2B">
        <w:t xml:space="preserve">. </w:t>
      </w:r>
    </w:p>
    <w:p w:rsidR="002D63A8" w:rsidRDefault="002D63A8" w:rsidP="00057B42">
      <w:pPr>
        <w:spacing w:line="360" w:lineRule="auto"/>
        <w:jc w:val="both"/>
      </w:pPr>
    </w:p>
    <w:p w:rsidR="00596E2B" w:rsidRPr="00596E2B" w:rsidRDefault="00596E2B" w:rsidP="00057B42">
      <w:pPr>
        <w:spacing w:line="360" w:lineRule="auto"/>
        <w:jc w:val="both"/>
      </w:pPr>
      <w:r w:rsidRPr="00596E2B">
        <w:t>Following the application of LOOCV, the accuracy can be calculated as well as the sensitivity and specificity of the model. The model accuracy is simply the number of correct results divided by the total number of samples and converted to a percentage.</w:t>
      </w:r>
    </w:p>
    <w:p w:rsidR="00596E2B" w:rsidRPr="00596E2B" w:rsidRDefault="00596E2B" w:rsidP="00057B42">
      <w:pPr>
        <w:spacing w:line="360" w:lineRule="auto"/>
        <w:jc w:val="both"/>
      </w:pPr>
    </w:p>
    <w:p w:rsidR="00596E2B" w:rsidRPr="00596E2B" w:rsidRDefault="00596E2B" w:rsidP="00057B42">
      <w:pPr>
        <w:spacing w:line="360" w:lineRule="auto"/>
        <w:jc w:val="both"/>
      </w:pPr>
      <w:r w:rsidRPr="00596E2B">
        <w:rPr>
          <w:position w:val="-24"/>
        </w:rPr>
        <w:object w:dxaOrig="32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15pt;height:30.3pt" o:ole="">
            <v:imagedata r:id="rId27" o:title=""/>
          </v:shape>
          <o:OLEObject Type="Embed" ProgID="Equation.3" ShapeID="_x0000_i1025" DrawAspect="Content" ObjectID="_1386073946" r:id="rId28"/>
        </w:object>
      </w:r>
      <w:r w:rsidRPr="00596E2B">
        <w:tab/>
      </w:r>
      <w:r w:rsidRPr="00596E2B">
        <w:tab/>
      </w:r>
      <w:r w:rsidRPr="00596E2B">
        <w:tab/>
      </w:r>
      <w:r w:rsidRPr="00596E2B">
        <w:tab/>
      </w:r>
      <w:r w:rsidRPr="00596E2B">
        <w:tab/>
      </w:r>
      <w:r w:rsidRPr="00596E2B">
        <w:tab/>
        <w:t>(1)</w:t>
      </w:r>
    </w:p>
    <w:p w:rsidR="007550E5" w:rsidRDefault="00596E2B" w:rsidP="00057B42">
      <w:pPr>
        <w:spacing w:line="360" w:lineRule="auto"/>
        <w:jc w:val="both"/>
      </w:pPr>
      <w:r w:rsidRPr="00596E2B">
        <w:t>The sensitivity (False positive rate) and specificity (False negative rate) can be calculated from the so called confusion matrix</w:t>
      </w:r>
      <w:r w:rsidR="007550E5">
        <w:t xml:space="preserve"> </w:t>
      </w:r>
      <w:r w:rsidR="007550E5">
        <w:fldChar w:fldCharType="begin"/>
      </w:r>
      <w:r w:rsidR="007550E5">
        <w:instrText xml:space="preserve"> ADDIN EN.CITE &lt;EndNote&gt;&lt;Cite&gt;&lt;Author&gt;Li&lt;/Author&gt;&lt;Year&gt;2004&lt;/Year&gt;&lt;RecNum&gt;5499&lt;/RecNum&gt;&lt;DisplayText&gt;(Li et al., 2004)&lt;/DisplayText&gt;&lt;record&gt;&lt;rec-number&gt;5499&lt;/rec-number&gt;&lt;foreign-keys&gt;&lt;key app="EN" db-id="zf0awxsaczrdd3eft5qvw9wrtxxawdfrvw2a"&gt;5499&lt;/key&gt;&lt;/foreign-keys&gt;&lt;ref-type name="Journal Article"&gt;17&lt;/ref-type&gt;&lt;contributors&gt;&lt;authors&gt;&lt;author&gt;Li, L.&lt;/author&gt;&lt;author&gt;Tang, H.&lt;/author&gt;&lt;author&gt;Wu, Z.&lt;/author&gt;&lt;author&gt;Gong, J.&lt;/author&gt;&lt;author&gt;Gruidl, M.&lt;/author&gt;&lt;author&gt;Zou, J.&lt;/author&gt;&lt;author&gt;Tockman, M.&lt;/author&gt;&lt;author&gt;Clark, R. A.&lt;/author&gt;&lt;/authors&gt;&lt;/contributors&gt;&lt;auth-address&gt;Department of Radiology, College of Medicine, H. Lee Moffitt Cancer Center and Research Institute, University of South Florida, Tampa, FL 33612-4799, USA. lilh@moffitt.usf.edu&lt;/auth-address&gt;&lt;titles&gt;&lt;title&gt;Data mining techniques for cancer detection using serum proteomic profiling&lt;/title&gt;&lt;secondary-title&gt;Artif Intell Med&lt;/secondary-title&gt;&lt;/titles&gt;&lt;periodical&gt;&lt;full-title&gt;Artif Intell Med&lt;/full-title&gt;&lt;/periodical&gt;&lt;pages&gt;71-83&lt;/pages&gt;&lt;volume&gt;32&lt;/volume&gt;&lt;number&gt;2&lt;/number&gt;&lt;edition&gt;2004/09/15&lt;/edition&gt;&lt;keywords&gt;&lt;keyword&gt;Decision Trees&lt;/keyword&gt;&lt;keyword&gt;Female&lt;/keyword&gt;&lt;keyword&gt;Humans&lt;/keyword&gt;&lt;keyword&gt;*Information Storage and Retrieval&lt;/keyword&gt;&lt;keyword&gt;Mass Spectrometry&lt;/keyword&gt;&lt;keyword&gt;*Medical Informatics&lt;/keyword&gt;&lt;keyword&gt;Neoplasms/*diagnosis/*genetics&lt;/keyword&gt;&lt;keyword&gt;*Neural Networks (Computer)&lt;/keyword&gt;&lt;keyword&gt;Ovarian Neoplasms/diagnosis/genetics&lt;/keyword&gt;&lt;keyword&gt;Proteomics/*statistics &amp;amp; numerical data&lt;/keyword&gt;&lt;keyword&gt;Tumor Markers, Biological/*analysis&lt;/keyword&gt;&lt;/keywords&gt;&lt;dates&gt;&lt;year&gt;2004&lt;/year&gt;&lt;pub-dates&gt;&lt;date&gt;Oct&lt;/date&gt;&lt;/pub-dates&gt;&lt;/dates&gt;&lt;isbn&gt;0933-3657 (Print)&amp;#xD;0933-3657 (Linking)&lt;/isbn&gt;&lt;accession-num&gt;15364092&lt;/accession-num&gt;&lt;urls&gt;&lt;related-urls&gt;&lt;url&gt;http://www.ncbi.nlm.nih.gov/pubmed/15364092&lt;/url&gt;&lt;/related-urls&gt;&lt;/urls&gt;&lt;electronic-resource-num&gt;10.1016/j.artmed.2004.03.006&amp;#xD;S0933365704000545 [pii]&lt;/electronic-resource-num&gt;&lt;language&gt;eng&lt;/language&gt;&lt;/record&gt;&lt;/Cite&gt;&lt;/EndNote&gt;</w:instrText>
      </w:r>
      <w:r w:rsidR="007550E5">
        <w:fldChar w:fldCharType="separate"/>
      </w:r>
      <w:r w:rsidR="007550E5">
        <w:rPr>
          <w:noProof/>
        </w:rPr>
        <w:t>(</w:t>
      </w:r>
      <w:hyperlink w:anchor="_ENREF_244" w:tooltip="Li, 2004 #5921" w:history="1">
        <w:r w:rsidR="004A784D">
          <w:rPr>
            <w:noProof/>
          </w:rPr>
          <w:t>Li et al., 2004</w:t>
        </w:r>
      </w:hyperlink>
      <w:r w:rsidR="007550E5">
        <w:rPr>
          <w:noProof/>
        </w:rPr>
        <w:t>)</w:t>
      </w:r>
      <w:r w:rsidR="007550E5">
        <w:fldChar w:fldCharType="end"/>
      </w:r>
      <w:r w:rsidR="007550E5" w:rsidRPr="00596E2B">
        <w:t xml:space="preserve">. </w:t>
      </w:r>
    </w:p>
    <w:p w:rsidR="002D63A8" w:rsidRPr="00596E2B" w:rsidRDefault="002D63A8" w:rsidP="00057B42">
      <w:pPr>
        <w:spacing w:line="360" w:lineRule="auto"/>
        <w:jc w:val="both"/>
      </w:pPr>
    </w:p>
    <w:tbl>
      <w:tblPr>
        <w:tblW w:w="0" w:type="auto"/>
        <w:jc w:val="center"/>
        <w:tblInd w:w="55" w:type="dxa"/>
        <w:tblCellMar>
          <w:top w:w="55" w:type="dxa"/>
          <w:left w:w="55" w:type="dxa"/>
          <w:bottom w:w="55" w:type="dxa"/>
          <w:right w:w="55" w:type="dxa"/>
        </w:tblCellMar>
        <w:tblLook w:val="0000" w:firstRow="0" w:lastRow="0" w:firstColumn="0" w:lastColumn="0" w:noHBand="0" w:noVBand="0"/>
      </w:tblPr>
      <w:tblGrid>
        <w:gridCol w:w="1430"/>
        <w:gridCol w:w="1003"/>
        <w:gridCol w:w="2010"/>
        <w:gridCol w:w="2021"/>
      </w:tblGrid>
      <w:tr w:rsidR="002C323F" w:rsidTr="002C6DD9">
        <w:trPr>
          <w:trHeight w:val="570"/>
          <w:jc w:val="center"/>
        </w:trPr>
        <w:tc>
          <w:tcPr>
            <w:tcW w:w="0" w:type="auto"/>
            <w:gridSpan w:val="2"/>
            <w:vMerge w:val="restart"/>
          </w:tcPr>
          <w:p w:rsidR="00596E2B" w:rsidRPr="00596E2B" w:rsidRDefault="00596E2B" w:rsidP="00057B42">
            <w:pPr>
              <w:pStyle w:val="TableContents"/>
              <w:spacing w:line="360" w:lineRule="auto"/>
              <w:jc w:val="both"/>
              <w:rPr>
                <w:rFonts w:ascii="Times New Roman" w:hAnsi="Times New Roman"/>
              </w:rPr>
            </w:pPr>
          </w:p>
        </w:tc>
        <w:tc>
          <w:tcPr>
            <w:tcW w:w="0" w:type="auto"/>
            <w:gridSpan w:val="2"/>
            <w:vMerge w:val="restart"/>
          </w:tcPr>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Actual (gold standard) classification</w:t>
            </w:r>
          </w:p>
        </w:tc>
      </w:tr>
      <w:tr w:rsidR="002C323F" w:rsidTr="007550E5">
        <w:trPr>
          <w:trHeight w:val="552"/>
          <w:jc w:val="center"/>
        </w:trPr>
        <w:tc>
          <w:tcPr>
            <w:tcW w:w="0" w:type="auto"/>
            <w:vMerge w:val="restart"/>
          </w:tcPr>
          <w:p w:rsidR="00596E2B" w:rsidRPr="00596E2B" w:rsidRDefault="00596E2B" w:rsidP="00057B42">
            <w:pPr>
              <w:pStyle w:val="TableContents"/>
              <w:spacing w:line="360" w:lineRule="auto"/>
              <w:jc w:val="both"/>
              <w:rPr>
                <w:rFonts w:ascii="Times New Roman" w:hAnsi="Times New Roman"/>
                <w:b/>
              </w:rPr>
            </w:pPr>
          </w:p>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Model</w:t>
            </w:r>
          </w:p>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classification</w:t>
            </w:r>
          </w:p>
        </w:tc>
        <w:tc>
          <w:tcPr>
            <w:tcW w:w="0" w:type="auto"/>
            <w:vMerge w:val="restart"/>
          </w:tcPr>
          <w:p w:rsidR="00596E2B" w:rsidRPr="00596E2B" w:rsidRDefault="00596E2B" w:rsidP="00057B42">
            <w:pPr>
              <w:pStyle w:val="TableContents"/>
              <w:spacing w:line="360" w:lineRule="auto"/>
              <w:jc w:val="both"/>
              <w:rPr>
                <w:rFonts w:ascii="Times New Roman" w:hAnsi="Times New Roman"/>
              </w:rPr>
            </w:pPr>
          </w:p>
        </w:tc>
        <w:tc>
          <w:tcPr>
            <w:tcW w:w="0" w:type="auto"/>
            <w:vMerge w:val="restart"/>
          </w:tcPr>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Positive</w:t>
            </w:r>
          </w:p>
        </w:tc>
        <w:tc>
          <w:tcPr>
            <w:tcW w:w="0" w:type="auto"/>
            <w:vMerge w:val="restart"/>
          </w:tcPr>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Negative</w:t>
            </w:r>
          </w:p>
        </w:tc>
      </w:tr>
      <w:tr w:rsidR="002C323F" w:rsidTr="002C6DD9">
        <w:trPr>
          <w:trHeight w:val="570"/>
          <w:jc w:val="center"/>
        </w:trPr>
        <w:tc>
          <w:tcPr>
            <w:tcW w:w="0" w:type="auto"/>
            <w:vMerge/>
          </w:tcPr>
          <w:p w:rsidR="00596E2B" w:rsidRPr="00596E2B" w:rsidRDefault="00596E2B" w:rsidP="00057B42">
            <w:pPr>
              <w:pStyle w:val="TableContents"/>
              <w:spacing w:line="360" w:lineRule="auto"/>
              <w:jc w:val="both"/>
              <w:rPr>
                <w:rFonts w:ascii="Times New Roman" w:hAnsi="Times New Roman"/>
              </w:rPr>
            </w:pPr>
          </w:p>
        </w:tc>
        <w:tc>
          <w:tcPr>
            <w:tcW w:w="0" w:type="auto"/>
            <w:vMerge w:val="restart"/>
          </w:tcPr>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 xml:space="preserve">Positive </w:t>
            </w:r>
          </w:p>
        </w:tc>
        <w:tc>
          <w:tcPr>
            <w:tcW w:w="0" w:type="auto"/>
            <w:vMerge w:val="restart"/>
          </w:tcPr>
          <w:p w:rsidR="00596E2B" w:rsidRPr="00596E2B" w:rsidRDefault="00596E2B" w:rsidP="00057B42">
            <w:pPr>
              <w:pStyle w:val="TableContents"/>
              <w:spacing w:line="360" w:lineRule="auto"/>
              <w:jc w:val="both"/>
              <w:rPr>
                <w:rFonts w:ascii="Times New Roman" w:hAnsi="Times New Roman"/>
              </w:rPr>
            </w:pPr>
            <w:r w:rsidRPr="00596E2B">
              <w:rPr>
                <w:rFonts w:ascii="Times New Roman" w:hAnsi="Times New Roman"/>
              </w:rPr>
              <w:t>True Positive (TP)</w:t>
            </w:r>
          </w:p>
        </w:tc>
        <w:tc>
          <w:tcPr>
            <w:tcW w:w="0" w:type="auto"/>
            <w:vMerge w:val="restart"/>
          </w:tcPr>
          <w:p w:rsidR="00596E2B" w:rsidRPr="00596E2B" w:rsidRDefault="00596E2B" w:rsidP="00057B42">
            <w:pPr>
              <w:pStyle w:val="TableContents"/>
              <w:spacing w:line="360" w:lineRule="auto"/>
              <w:jc w:val="both"/>
              <w:rPr>
                <w:rFonts w:ascii="Times New Roman" w:hAnsi="Times New Roman"/>
              </w:rPr>
            </w:pPr>
            <w:r w:rsidRPr="00596E2B">
              <w:rPr>
                <w:rFonts w:ascii="Times New Roman" w:hAnsi="Times New Roman"/>
              </w:rPr>
              <w:t>False Positive (FP)</w:t>
            </w:r>
          </w:p>
        </w:tc>
      </w:tr>
      <w:tr w:rsidR="002C323F" w:rsidTr="002C6DD9">
        <w:trPr>
          <w:trHeight w:val="276"/>
          <w:jc w:val="center"/>
        </w:trPr>
        <w:tc>
          <w:tcPr>
            <w:tcW w:w="0" w:type="auto"/>
            <w:vMerge/>
          </w:tcPr>
          <w:p w:rsidR="00596E2B" w:rsidRPr="00596E2B" w:rsidRDefault="00596E2B" w:rsidP="00057B42">
            <w:pPr>
              <w:pStyle w:val="TableContents"/>
              <w:spacing w:line="360" w:lineRule="auto"/>
              <w:jc w:val="both"/>
              <w:rPr>
                <w:rFonts w:ascii="Times New Roman" w:hAnsi="Times New Roman"/>
              </w:rPr>
            </w:pPr>
          </w:p>
        </w:tc>
        <w:tc>
          <w:tcPr>
            <w:tcW w:w="0" w:type="auto"/>
          </w:tcPr>
          <w:p w:rsidR="00596E2B" w:rsidRPr="00596E2B" w:rsidRDefault="00596E2B" w:rsidP="00057B42">
            <w:pPr>
              <w:pStyle w:val="TableContents"/>
              <w:spacing w:line="360" w:lineRule="auto"/>
              <w:jc w:val="both"/>
              <w:rPr>
                <w:rFonts w:ascii="Times New Roman" w:hAnsi="Times New Roman"/>
                <w:b/>
              </w:rPr>
            </w:pPr>
            <w:r w:rsidRPr="00596E2B">
              <w:rPr>
                <w:rFonts w:ascii="Times New Roman" w:hAnsi="Times New Roman"/>
                <w:b/>
              </w:rPr>
              <w:t>Negative</w:t>
            </w:r>
          </w:p>
        </w:tc>
        <w:tc>
          <w:tcPr>
            <w:tcW w:w="0" w:type="auto"/>
          </w:tcPr>
          <w:p w:rsidR="00596E2B" w:rsidRPr="00596E2B" w:rsidRDefault="00596E2B" w:rsidP="00057B42">
            <w:pPr>
              <w:pStyle w:val="TableContents"/>
              <w:spacing w:line="360" w:lineRule="auto"/>
              <w:jc w:val="both"/>
              <w:rPr>
                <w:rFonts w:ascii="Times New Roman" w:hAnsi="Times New Roman"/>
              </w:rPr>
            </w:pPr>
            <w:r w:rsidRPr="00596E2B">
              <w:rPr>
                <w:rFonts w:ascii="Times New Roman" w:hAnsi="Times New Roman"/>
              </w:rPr>
              <w:t>False Negative(FN)</w:t>
            </w:r>
          </w:p>
        </w:tc>
        <w:tc>
          <w:tcPr>
            <w:tcW w:w="0" w:type="auto"/>
          </w:tcPr>
          <w:p w:rsidR="00596E2B" w:rsidRPr="00596E2B" w:rsidRDefault="00596E2B" w:rsidP="00057B42">
            <w:pPr>
              <w:pStyle w:val="TableContents"/>
              <w:spacing w:line="360" w:lineRule="auto"/>
              <w:jc w:val="both"/>
              <w:rPr>
                <w:rFonts w:ascii="Times New Roman" w:hAnsi="Times New Roman"/>
              </w:rPr>
            </w:pPr>
            <w:r w:rsidRPr="00596E2B">
              <w:rPr>
                <w:rFonts w:ascii="Times New Roman" w:hAnsi="Times New Roman"/>
              </w:rPr>
              <w:t>True Negative (TN)</w:t>
            </w:r>
          </w:p>
        </w:tc>
      </w:tr>
    </w:tbl>
    <w:p w:rsidR="00596E2B" w:rsidRPr="00596E2B" w:rsidRDefault="00596E2B" w:rsidP="00057B42">
      <w:pPr>
        <w:spacing w:line="360" w:lineRule="auto"/>
        <w:jc w:val="both"/>
      </w:pPr>
    </w:p>
    <w:p w:rsidR="002D63A8" w:rsidRDefault="00596E2B" w:rsidP="00057B42">
      <w:pPr>
        <w:spacing w:line="360" w:lineRule="auto"/>
        <w:jc w:val="both"/>
      </w:pPr>
      <w:r w:rsidRPr="00596E2B">
        <w:rPr>
          <w:position w:val="-24"/>
        </w:rPr>
        <w:object w:dxaOrig="2220" w:dyaOrig="620">
          <v:shape id="_x0000_i1026" type="#_x0000_t75" style="width:109.9pt;height:30.3pt" o:ole="">
            <v:imagedata r:id="rId29" o:title=""/>
          </v:shape>
          <o:OLEObject Type="Embed" ProgID="Equation.3" ShapeID="_x0000_i1026" DrawAspect="Content" ObjectID="_1386073947" r:id="rId30"/>
        </w:object>
      </w:r>
      <w:r w:rsidRPr="00596E2B">
        <w:tab/>
      </w:r>
      <w:r w:rsidRPr="00596E2B">
        <w:tab/>
      </w:r>
      <w:r w:rsidRPr="00596E2B">
        <w:tab/>
      </w:r>
      <w:r w:rsidRPr="00596E2B">
        <w:tab/>
      </w:r>
      <w:r w:rsidRPr="00596E2B">
        <w:tab/>
      </w:r>
      <w:r w:rsidRPr="00596E2B">
        <w:tab/>
      </w:r>
      <w:r w:rsidRPr="00596E2B">
        <w:tab/>
        <w:t>(2)</w:t>
      </w:r>
    </w:p>
    <w:p w:rsidR="00596E2B" w:rsidRPr="00596E2B" w:rsidRDefault="00596E2B" w:rsidP="00057B42">
      <w:pPr>
        <w:spacing w:line="360" w:lineRule="auto"/>
        <w:jc w:val="both"/>
      </w:pPr>
      <w:r w:rsidRPr="00596E2B">
        <w:lastRenderedPageBreak/>
        <w:br/>
      </w:r>
      <w:r w:rsidRPr="00596E2B">
        <w:rPr>
          <w:position w:val="-24"/>
        </w:rPr>
        <w:object w:dxaOrig="2220" w:dyaOrig="620">
          <v:shape id="_x0000_i1027" type="#_x0000_t75" style="width:109.9pt;height:30.3pt" o:ole="">
            <v:imagedata r:id="rId31" o:title=""/>
          </v:shape>
          <o:OLEObject Type="Embed" ProgID="Equation.3" ShapeID="_x0000_i1027" DrawAspect="Content" ObjectID="_1386073948" r:id="rId32"/>
        </w:object>
      </w:r>
      <w:r w:rsidRPr="00596E2B">
        <w:tab/>
      </w:r>
      <w:r w:rsidRPr="00596E2B">
        <w:tab/>
      </w:r>
      <w:r w:rsidRPr="00596E2B">
        <w:tab/>
      </w:r>
      <w:r w:rsidRPr="00596E2B">
        <w:tab/>
      </w:r>
      <w:r w:rsidRPr="00596E2B">
        <w:tab/>
      </w:r>
      <w:r w:rsidRPr="00596E2B">
        <w:tab/>
      </w:r>
      <w:r w:rsidRPr="00596E2B">
        <w:tab/>
        <w:t>(3)</w:t>
      </w:r>
    </w:p>
    <w:p w:rsidR="00596E2B" w:rsidRPr="00596E2B" w:rsidRDefault="00596E2B" w:rsidP="00057B42">
      <w:pPr>
        <w:spacing w:line="360" w:lineRule="auto"/>
        <w:jc w:val="both"/>
        <w:rPr>
          <w:b/>
        </w:rPr>
      </w:pPr>
    </w:p>
    <w:p w:rsidR="00596E2B" w:rsidRPr="00B70C3B" w:rsidRDefault="00596E2B" w:rsidP="00057B42">
      <w:pPr>
        <w:spacing w:line="360" w:lineRule="auto"/>
        <w:ind w:left="720"/>
        <w:jc w:val="both"/>
        <w:rPr>
          <w:rFonts w:ascii="Calibri" w:hAnsi="Calibri"/>
        </w:rPr>
      </w:pPr>
    </w:p>
    <w:p w:rsidR="00596E2B" w:rsidRDefault="00596E2B" w:rsidP="00057B42">
      <w:pPr>
        <w:keepNext/>
        <w:spacing w:line="360" w:lineRule="auto"/>
      </w:pPr>
      <w:r>
        <w:rPr>
          <w:rFonts w:ascii="Calibri" w:hAnsi="Calibri"/>
          <w:noProof/>
          <w:lang w:eastAsia="en-IE"/>
        </w:rPr>
        <w:drawing>
          <wp:inline distT="0" distB="0" distL="0" distR="0" wp14:anchorId="6B4F7744" wp14:editId="629F6F0D">
            <wp:extent cx="5114260" cy="2551814"/>
            <wp:effectExtent l="0" t="0" r="0" b="1270"/>
            <wp:docPr id="290829" name="Picture 29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14443" cy="2551905"/>
                    </a:xfrm>
                    <a:prstGeom prst="rect">
                      <a:avLst/>
                    </a:prstGeom>
                    <a:noFill/>
                    <a:ln>
                      <a:noFill/>
                    </a:ln>
                  </pic:spPr>
                </pic:pic>
              </a:graphicData>
            </a:graphic>
          </wp:inline>
        </w:drawing>
      </w:r>
    </w:p>
    <w:p w:rsidR="00596E2B" w:rsidRDefault="00596E2B" w:rsidP="00057B42">
      <w:pPr>
        <w:pStyle w:val="Caption"/>
        <w:jc w:val="both"/>
        <w:rPr>
          <w:rFonts w:ascii="Calibri" w:hAnsi="Calibri"/>
        </w:rPr>
      </w:pPr>
    </w:p>
    <w:p w:rsidR="002908A3" w:rsidRDefault="00C241AC" w:rsidP="00057B42">
      <w:pPr>
        <w:pStyle w:val="Caption"/>
        <w:jc w:val="both"/>
      </w:pPr>
      <w:r>
        <w:t>Figure 1</w:t>
      </w:r>
      <w:r w:rsidR="008A68DC">
        <w:noBreakHyphen/>
      </w:r>
      <w:r w:rsidR="00183FFD">
        <w:t>1</w:t>
      </w:r>
      <w:r w:rsidR="006F0FA8">
        <w:t>5</w:t>
      </w:r>
      <w:r w:rsidR="00596E2B" w:rsidRPr="00596E2B">
        <w:t xml:space="preserve"> Leave out cross-validation. On the first iteration of the process a model is built using samples 1-9. Once the model has been constructed sample 10, the test samples, is presented for prediction. The process continues until all samples are tested. Finally the predictions are compared to the known outcomes in order to calculate the LOOCV accuracy</w:t>
      </w:r>
      <w:r w:rsidR="00596E2B">
        <w:t>.</w:t>
      </w:r>
    </w:p>
    <w:p w:rsidR="00596E2B" w:rsidRDefault="00596E2B" w:rsidP="00057B42">
      <w:pPr>
        <w:pStyle w:val="Caption"/>
        <w:jc w:val="both"/>
      </w:pPr>
    </w:p>
    <w:p w:rsidR="00596E2B" w:rsidRDefault="00596E2B" w:rsidP="00057B42">
      <w:pPr>
        <w:pBdr>
          <w:bottom w:val="single" w:sz="12" w:space="1" w:color="auto"/>
        </w:pBdr>
        <w:spacing w:line="360" w:lineRule="auto"/>
      </w:pPr>
    </w:p>
    <w:p w:rsidR="00596E2B" w:rsidRPr="00596E2B" w:rsidRDefault="00596E2B" w:rsidP="00057B42">
      <w:pPr>
        <w:spacing w:line="360" w:lineRule="auto"/>
      </w:pPr>
    </w:p>
    <w:p w:rsidR="00596E2B" w:rsidRPr="00596E2B" w:rsidRDefault="00596E2B" w:rsidP="00057B42">
      <w:pPr>
        <w:spacing w:line="360" w:lineRule="auto"/>
      </w:pPr>
    </w:p>
    <w:p w:rsidR="000443DF" w:rsidRPr="00596E2B" w:rsidRDefault="000443DF" w:rsidP="00057B42">
      <w:pPr>
        <w:spacing w:line="360" w:lineRule="auto"/>
        <w:jc w:val="both"/>
        <w:rPr>
          <w:color w:val="000000"/>
        </w:rPr>
      </w:pPr>
    </w:p>
    <w:p w:rsidR="002D70FE" w:rsidRDefault="00890DFC" w:rsidP="00645687">
      <w:pPr>
        <w:pStyle w:val="Heading4"/>
        <w:rPr>
          <w:lang w:val="en"/>
        </w:rPr>
      </w:pPr>
      <w:bookmarkStart w:id="542" w:name="_Toc260495805"/>
      <w:bookmarkStart w:id="543" w:name="_Toc260496056"/>
      <w:bookmarkStart w:id="544" w:name="_Toc260500449"/>
      <w:bookmarkStart w:id="545" w:name="_Toc261098477"/>
      <w:r w:rsidRPr="00596E2B">
        <w:rPr>
          <w:sz w:val="24"/>
          <w:szCs w:val="24"/>
          <w:lang w:val="en"/>
        </w:rPr>
        <w:br w:type="page"/>
      </w:r>
      <w:bookmarkStart w:id="546" w:name="_Toc305759150"/>
      <w:bookmarkStart w:id="547" w:name="_Toc306570578"/>
      <w:bookmarkStart w:id="548" w:name="_Toc307067643"/>
      <w:r w:rsidR="00C241AC">
        <w:rPr>
          <w:lang w:val="en"/>
        </w:rPr>
        <w:lastRenderedPageBreak/>
        <w:tab/>
      </w:r>
      <w:bookmarkStart w:id="549" w:name="_Toc312169214"/>
      <w:bookmarkStart w:id="550" w:name="_Toc312172141"/>
      <w:bookmarkStart w:id="551" w:name="_Toc312257690"/>
      <w:r w:rsidR="002D70FE" w:rsidRPr="00873C4C">
        <w:rPr>
          <w:lang w:val="en"/>
        </w:rPr>
        <w:t>Clinical material in biomarker studies</w:t>
      </w:r>
      <w:bookmarkEnd w:id="542"/>
      <w:bookmarkEnd w:id="543"/>
      <w:bookmarkEnd w:id="544"/>
      <w:bookmarkEnd w:id="545"/>
      <w:bookmarkEnd w:id="546"/>
      <w:bookmarkEnd w:id="547"/>
      <w:bookmarkEnd w:id="548"/>
      <w:bookmarkEnd w:id="549"/>
      <w:bookmarkEnd w:id="550"/>
      <w:bookmarkEnd w:id="551"/>
    </w:p>
    <w:p w:rsidR="00C241AC" w:rsidRDefault="00337132" w:rsidP="00183FFD">
      <w:pPr>
        <w:spacing w:before="240" w:line="360" w:lineRule="auto"/>
        <w:jc w:val="both"/>
        <w:rPr>
          <w:color w:val="000000"/>
        </w:rPr>
      </w:pPr>
      <w:r w:rsidRPr="00873C4C">
        <w:rPr>
          <w:color w:val="000000"/>
        </w:rPr>
        <w:t xml:space="preserve">Proteomic profiling is one of the most universally applied strategies for cancer biomarker discovery which focuses on comparing protein patterns in cancer tissue compared to normal disease-free surrounding tissue as well as comparing </w:t>
      </w:r>
      <w:r w:rsidR="00676041" w:rsidRPr="00873C4C">
        <w:rPr>
          <w:color w:val="000000"/>
        </w:rPr>
        <w:t>bio fluids</w:t>
      </w:r>
      <w:r w:rsidRPr="00873C4C">
        <w:rPr>
          <w:color w:val="000000"/>
        </w:rPr>
        <w:t xml:space="preserve"> such as serum, plasma, saliva and pancreatic juice from cancer patients to matched controls. Because blood and plasma circulate in the body, and other </w:t>
      </w:r>
      <w:r w:rsidR="00676041" w:rsidRPr="00873C4C">
        <w:rPr>
          <w:color w:val="000000"/>
        </w:rPr>
        <w:t>bio fluids</w:t>
      </w:r>
      <w:r w:rsidRPr="00873C4C">
        <w:rPr>
          <w:color w:val="000000"/>
        </w:rPr>
        <w:t xml:space="preserve"> are in close proximity to specific organs, they effectively sample most tissues and can contain proteins/peptides, such as putative cancer biomarkers. Many important biomarkers, routinely used clinically, have been identified using these strategies. FDA approved protein biomarkers discovered in </w:t>
      </w:r>
      <w:r w:rsidR="00676041" w:rsidRPr="00873C4C">
        <w:rPr>
          <w:color w:val="000000"/>
        </w:rPr>
        <w:t>bio fluids</w:t>
      </w:r>
      <w:r w:rsidRPr="00873C4C">
        <w:rPr>
          <w:color w:val="000000"/>
        </w:rPr>
        <w:t xml:space="preserve"> or tissue include CA15-3/CA27-29 for breast cancer, PSA for prostate cancer and Her2/neu in breast tumours </w:t>
      </w:r>
      <w:r w:rsidRPr="00873C4C">
        <w:rPr>
          <w:color w:val="000000"/>
        </w:rPr>
        <w:fldChar w:fldCharType="begin"/>
      </w:r>
      <w:r w:rsidR="006F41FE">
        <w:rPr>
          <w:color w:val="000000"/>
        </w:rPr>
        <w:instrText xml:space="preserve"> ADDIN EN.CITE &lt;EndNote&gt;&lt;Cite&gt;&lt;Author&gt;Ludwig&lt;/Author&gt;&lt;Year&gt;2005&lt;/Year&gt;&lt;RecNum&gt;81&lt;/RecNum&gt;&lt;DisplayText&gt;(Ludwig and Weinstein, 2005)&lt;/DisplayText&gt;&lt;record&gt;&lt;rec-number&gt;81&lt;/rec-number&gt;&lt;ref-type name="Journal Article"&gt;17&lt;/ref-type&gt;&lt;contributors&gt;&lt;authors&gt;&lt;author&gt;Ludwig, J. A.&lt;/author&gt;&lt;author&gt;Weinstein, J. N.&lt;/author&gt;&lt;/authors&gt;&lt;/contributors&gt;&lt;auth-address&gt;Genomics and Bioinformatics Group, Laboratory of Molecular Pharmacology, Center for Cancer Research, National Cancer Institute, National Institutes of Health, Bethesda, Maryland 20892, USA.&lt;/auth-address&gt;&lt;titles&gt;&lt;title&gt;Biomarkers in cancer staging, prognosis and treatment selection&lt;/title&gt;&lt;secondary-title&gt;Nat Rev Cancer&lt;/secondary-title&gt;&lt;/titles&gt;&lt;pages&gt;845-56&lt;/pages&gt;&lt;volume&gt;5&lt;/volume&gt;&lt;number&gt;11&lt;/number&gt;&lt;keywords&gt;&lt;keyword&gt;Animals&lt;/keyword&gt;&lt;keyword&gt;Genomics&lt;/keyword&gt;&lt;keyword&gt;Humans&lt;/keyword&gt;&lt;keyword&gt;Neoplasm Staging/*methods&lt;/keyword&gt;&lt;keyword&gt;Neoplasms/classification/*diagnosis/*therapy&lt;/keyword&gt;&lt;keyword&gt;Prognosis&lt;/keyword&gt;&lt;keyword&gt;Proteomics&lt;/keyword&gt;&lt;keyword&gt;*Tumor Markers, Biological&lt;/keyword&gt;&lt;/keywords&gt;&lt;dates&gt;&lt;year&gt;2005&lt;/year&gt;&lt;pub-dates&gt;&lt;date&gt;Nov&lt;/date&gt;&lt;/pub-dates&gt;&lt;/dates&gt;&lt;accession-num&gt;16239904&lt;/accession-num&gt;&lt;urls&gt;&lt;related-urls&gt;&lt;url&gt;http://www.ncbi.nlm.nih.gov/entrez/query.fcgi?cmd=Retrieve&amp;amp;db=PubMed&amp;amp;dopt=Citation&amp;amp;list_uids=16239904 &lt;/url&gt;&lt;/related-urls&gt;&lt;/urls&gt;&lt;/record&gt;&lt;/Cite&gt;&lt;/EndNote&gt;</w:instrText>
      </w:r>
      <w:r w:rsidRPr="00873C4C">
        <w:rPr>
          <w:color w:val="000000"/>
        </w:rPr>
        <w:fldChar w:fldCharType="separate"/>
      </w:r>
      <w:r w:rsidR="006F41FE">
        <w:rPr>
          <w:noProof/>
          <w:color w:val="000000"/>
        </w:rPr>
        <w:t>(</w:t>
      </w:r>
      <w:hyperlink w:anchor="_ENREF_257" w:tooltip="Ludwig, 2005 #81" w:history="1">
        <w:r w:rsidR="004A784D">
          <w:rPr>
            <w:noProof/>
            <w:color w:val="000000"/>
          </w:rPr>
          <w:t>Ludwig and Weinstein, 2005</w:t>
        </w:r>
      </w:hyperlink>
      <w:r w:rsidR="006F41FE">
        <w:rPr>
          <w:noProof/>
          <w:color w:val="000000"/>
        </w:rPr>
        <w:t>)</w:t>
      </w:r>
      <w:r w:rsidRPr="00873C4C">
        <w:rPr>
          <w:color w:val="000000"/>
        </w:rPr>
        <w:fldChar w:fldCharType="end"/>
      </w:r>
      <w:r w:rsidRPr="00873C4C">
        <w:rPr>
          <w:color w:val="000000"/>
        </w:rPr>
        <w:t xml:space="preserve">. </w:t>
      </w:r>
    </w:p>
    <w:p w:rsidR="00C241AC" w:rsidRDefault="00C241AC" w:rsidP="00057B42">
      <w:pPr>
        <w:spacing w:line="360" w:lineRule="auto"/>
        <w:jc w:val="both"/>
        <w:rPr>
          <w:color w:val="000000"/>
        </w:rPr>
      </w:pPr>
    </w:p>
    <w:p w:rsidR="00337132" w:rsidRPr="00873C4C" w:rsidRDefault="00337132" w:rsidP="00057B42">
      <w:pPr>
        <w:spacing w:line="360" w:lineRule="auto"/>
        <w:jc w:val="both"/>
        <w:rPr>
          <w:color w:val="000000"/>
        </w:rPr>
      </w:pPr>
      <w:r w:rsidRPr="00873C4C">
        <w:rPr>
          <w:color w:val="000000"/>
        </w:rPr>
        <w:t xml:space="preserve">Numerous difficulties arise when analysing </w:t>
      </w:r>
      <w:r w:rsidR="00676041" w:rsidRPr="00873C4C">
        <w:rPr>
          <w:color w:val="000000"/>
        </w:rPr>
        <w:t>bio fluids</w:t>
      </w:r>
      <w:r w:rsidRPr="00873C4C">
        <w:rPr>
          <w:color w:val="000000"/>
        </w:rPr>
        <w:t xml:space="preserve">, including the extraordinary dynamic range of at least 9–10 orders of magnitude makes detection of low abundant proteins/protein-fragments/peptides difficult, species which have the potential to be primary biomarkers </w:t>
      </w:r>
      <w:r w:rsidRPr="00873C4C">
        <w:rPr>
          <w:color w:val="000000"/>
        </w:rPr>
        <w:fldChar w:fldCharType="begin"/>
      </w:r>
      <w:r w:rsidR="006F41FE">
        <w:rPr>
          <w:color w:val="000000"/>
        </w:rPr>
        <w:instrText xml:space="preserve"> ADDIN EN.CITE &lt;EndNote&gt;&lt;Cite&gt;&lt;Author&gt;Qian&lt;/Author&gt;&lt;Year&gt;2008&lt;/Year&gt;&lt;RecNum&gt;3&lt;/RecNum&gt;&lt;DisplayText&gt;(Qian et al., 2008)&lt;/DisplayText&gt;&lt;record&gt;&lt;rec-number&gt;3&lt;/rec-number&gt;&lt;ref-type name="Journal Article"&gt;17&lt;/ref-type&gt;&lt;contributors&gt;&lt;authors&gt;&lt;author&gt;Qian, W. J.&lt;/author&gt;&lt;author&gt;Kaleta, D. T.&lt;/author&gt;&lt;author&gt;Petritis, B. O.&lt;/author&gt;&lt;author&gt;Jiang, H.&lt;/author&gt;&lt;author&gt;Liu, T.&lt;/author&gt;&lt;author&gt;Zhang, X.&lt;/author&gt;&lt;author&gt;Mottaz, H. M.&lt;/author&gt;&lt;author&gt;Varnum, S. M.&lt;/author&gt;&lt;author&gt;Camp, D. G., 2nd&lt;/author&gt;&lt;author&gt;Huang, L.&lt;/author&gt;&lt;author&gt;Fang, X.&lt;/author&gt;&lt;author&gt;Zhang, W. W.&lt;/author&gt;&lt;author&gt;Smith, R. D.&lt;/author&gt;&lt;/authors&gt;&lt;/contributors&gt;&lt;auth-address&gt;Biological Sciences Division and Environmental Molecular Sciences Laboratory, Pacific Northwest National Laboratory, Richland, Washington 99352, USA.&lt;/auth-address&gt;&lt;titles&gt;&lt;title&gt;Enhanced detection of low abundance human plasma proteins using a tandem IgY12-SuperMix immunoaffinity separation strategy&lt;/title&gt;&lt;secondary-title&gt;Mol Cell Proteomics&lt;/secondary-title&gt;&lt;/titles&gt;&lt;pages&gt;1963-73&lt;/pages&gt;&lt;volume&gt;7&lt;/volume&gt;&lt;number&gt;10&lt;/number&gt;&lt;keywords&gt;&lt;keyword&gt;Blood Proteins/*analysis&lt;/keyword&gt;&lt;keyword&gt;Chromatography, Affinity/*methods&lt;/keyword&gt;&lt;keyword&gt;Chromatography, Liquid&lt;/keyword&gt;&lt;keyword&gt;Cytokines/analysis&lt;/keyword&gt;&lt;keyword&gt;Humans&lt;/keyword&gt;&lt;keyword&gt;Immunoglobulins/*metabolism&lt;/keyword&gt;&lt;keyword&gt;Intercellular Signaling Peptides and Proteins/analysis&lt;/keyword&gt;&lt;keyword&gt;Mass Spectrometry&lt;/keyword&gt;&lt;keyword&gt;Peptides/analysis&lt;/keyword&gt;&lt;keyword&gt;Proteome/analysis&lt;/keyword&gt;&lt;keyword&gt;Reproducibility of Results&lt;/keyword&gt;&lt;/keywords&gt;&lt;dates&gt;&lt;year&gt;2008&lt;/year&gt;&lt;pub-dates&gt;&lt;date&gt;Oct&lt;/date&gt;&lt;/pub-dates&gt;&lt;/dates&gt;&lt;accession-num&gt;18632595&lt;/accession-num&gt;&lt;urls&gt;&lt;related-urls&gt;&lt;url&gt;http://www.ncbi.nlm.nih.gov/entrez/query.fcgi?cmd=Retrieve&amp;amp;db=PubMed&amp;amp;dopt=Citation&amp;amp;list_uids=18632595 &lt;/url&gt;&lt;/related-urls&gt;&lt;/urls&gt;&lt;/record&gt;&lt;/Cite&gt;&lt;/EndNote&gt;</w:instrText>
      </w:r>
      <w:r w:rsidRPr="00873C4C">
        <w:rPr>
          <w:color w:val="000000"/>
        </w:rPr>
        <w:fldChar w:fldCharType="separate"/>
      </w:r>
      <w:r w:rsidR="006F41FE">
        <w:rPr>
          <w:noProof/>
          <w:color w:val="000000"/>
        </w:rPr>
        <w:t>(</w:t>
      </w:r>
      <w:hyperlink w:anchor="_ENREF_328" w:tooltip="Qian, 2008 #3" w:history="1">
        <w:r w:rsidR="004A784D">
          <w:rPr>
            <w:noProof/>
            <w:color w:val="000000"/>
          </w:rPr>
          <w:t>Qian et al., 2008</w:t>
        </w:r>
      </w:hyperlink>
      <w:r w:rsidR="006F41FE">
        <w:rPr>
          <w:noProof/>
          <w:color w:val="000000"/>
        </w:rPr>
        <w:t>)</w:t>
      </w:r>
      <w:r w:rsidRPr="00873C4C">
        <w:rPr>
          <w:color w:val="000000"/>
        </w:rPr>
        <w:fldChar w:fldCharType="end"/>
      </w:r>
      <w:r w:rsidRPr="00873C4C">
        <w:rPr>
          <w:color w:val="000000"/>
        </w:rPr>
        <w:t xml:space="preserve">. Even after processes such as immunodepletion and several rounds of fractionation, many investigators find themselves analysing relatively high abundant proteins in </w:t>
      </w:r>
      <w:r w:rsidR="00676041" w:rsidRPr="00873C4C">
        <w:rPr>
          <w:color w:val="000000"/>
        </w:rPr>
        <w:t>bio fluids</w:t>
      </w:r>
      <w:r w:rsidRPr="00873C4C">
        <w:rPr>
          <w:color w:val="000000"/>
        </w:rPr>
        <w:t xml:space="preserve">, which in their own right are important as potential biomarkers (secondary) but may lack the sensitivity and specificity of low abundant tumour specific (primary) biomarkers </w:t>
      </w:r>
      <w:r w:rsidRPr="00873C4C">
        <w:rPr>
          <w:color w:val="000000"/>
        </w:rPr>
        <w:fldChar w:fldCharType="begin"/>
      </w:r>
      <w:r w:rsidR="006F41FE">
        <w:rPr>
          <w:color w:val="000000"/>
        </w:rPr>
        <w:instrText xml:space="preserve"> ADDIN EN.CITE &lt;EndNote&gt;&lt;Cite&gt;&lt;Author&gt;Latterich&lt;/Author&gt;&lt;Year&gt;2008&lt;/Year&gt;&lt;RecNum&gt;1&lt;/RecNum&gt;&lt;DisplayText&gt;(Latterich et al., 2008)&lt;/DisplayText&gt;&lt;record&gt;&lt;rec-number&gt;1&lt;/rec-number&gt;&lt;ref-type name="Journal Article"&gt;17&lt;/ref-type&gt;&lt;contributors&gt;&lt;authors&gt;&lt;author&gt;Latterich, M.&lt;/author&gt;&lt;author&gt;Abramovitz, M.&lt;/author&gt;&lt;author&gt;Leyland-Jones, B.&lt;/author&gt;&lt;/authors&gt;&lt;/contributors&gt;&lt;auth-address&gt;Faculty of Pharmacy, University of Montreal, Montreal, QC, Canada. mlatterich@pharmacogenomics.ca&lt;/auth-address&gt;&lt;titles&gt;&lt;title&gt;Proteomics: new technologies and clinical applications&lt;/title&gt;&lt;secondary-title&gt;Eur J Cancer&lt;/secondary-title&gt;&lt;/titles&gt;&lt;pages&gt;2737-41&lt;/pages&gt;&lt;volume&gt;44&lt;/volume&gt;&lt;number&gt;18&lt;/number&gt;&lt;keywords&gt;&lt;keyword&gt;Blood Specimen Collection/methods&lt;/keyword&gt;&lt;keyword&gt;Breast Neoplasms/*diagnosis&lt;/keyword&gt;&lt;keyword&gt;Female&lt;/keyword&gt;&lt;keyword&gt;Humans&lt;/keyword&gt;&lt;keyword&gt;Neoplasm Proteins/blood&lt;/keyword&gt;&lt;keyword&gt;Prognosis&lt;/keyword&gt;&lt;keyword&gt;Proteomics/*methods&lt;/keyword&gt;&lt;keyword&gt;Tumor Markers, Biological/*blood&lt;/keyword&gt;&lt;/keywords&gt;&lt;dates&gt;&lt;year&gt;2008&lt;/year&gt;&lt;pub-dates&gt;&lt;date&gt;Dec&lt;/date&gt;&lt;/pub-dates&gt;&lt;/dates&gt;&lt;accession-num&gt;18977654&lt;/accession-num&gt;&lt;urls&gt;&lt;related-urls&gt;&lt;url&gt;http://www.ncbi.nlm.nih.gov/entrez/query.fcgi?cmd=Retrieve&amp;amp;db=PubMed&amp;amp;dopt=Citation&amp;amp;list_uids=18977654 &lt;/url&gt;&lt;/related-urls&gt;&lt;/urls&gt;&lt;/record&gt;&lt;/Cite&gt;&lt;/EndNote&gt;</w:instrText>
      </w:r>
      <w:r w:rsidRPr="00873C4C">
        <w:rPr>
          <w:color w:val="000000"/>
        </w:rPr>
        <w:fldChar w:fldCharType="separate"/>
      </w:r>
      <w:r w:rsidR="006F41FE">
        <w:rPr>
          <w:noProof/>
          <w:color w:val="000000"/>
        </w:rPr>
        <w:t>(</w:t>
      </w:r>
      <w:hyperlink w:anchor="_ENREF_236" w:tooltip="Latterich, 2008 #1" w:history="1">
        <w:r w:rsidR="004A784D">
          <w:rPr>
            <w:noProof/>
            <w:color w:val="000000"/>
          </w:rPr>
          <w:t>Latterich et al., 2008</w:t>
        </w:r>
      </w:hyperlink>
      <w:r w:rsidR="006F41FE">
        <w:rPr>
          <w:noProof/>
          <w:color w:val="000000"/>
        </w:rPr>
        <w:t>)</w:t>
      </w:r>
      <w:r w:rsidRPr="00873C4C">
        <w:rPr>
          <w:color w:val="000000"/>
        </w:rPr>
        <w:fldChar w:fldCharType="end"/>
      </w:r>
      <w:r w:rsidRPr="00873C4C">
        <w:rPr>
          <w:color w:val="000000"/>
        </w:rPr>
        <w:t xml:space="preserve">. </w:t>
      </w:r>
    </w:p>
    <w:p w:rsidR="002908A3" w:rsidRDefault="002908A3" w:rsidP="00057B42">
      <w:pPr>
        <w:spacing w:line="360" w:lineRule="auto"/>
        <w:jc w:val="both"/>
        <w:rPr>
          <w:color w:val="000000"/>
        </w:rPr>
      </w:pPr>
    </w:p>
    <w:p w:rsidR="00C241AC" w:rsidRDefault="00337132" w:rsidP="00057B42">
      <w:pPr>
        <w:spacing w:line="360" w:lineRule="auto"/>
        <w:jc w:val="both"/>
        <w:rPr>
          <w:color w:val="000000"/>
        </w:rPr>
      </w:pPr>
      <w:r w:rsidRPr="00873C4C">
        <w:rPr>
          <w:color w:val="000000"/>
        </w:rPr>
        <w:t xml:space="preserve">In vitro cancer secretome studies, focusing on media conditioned by cancer cells, has proved to be a rich source of secreted and shed proteins, many of which have subsequently been found to have potential roles as biomarkers </w:t>
      </w:r>
      <w:r w:rsidRPr="00873C4C">
        <w:rPr>
          <w:color w:val="000000"/>
        </w:rPr>
        <w:fldChar w:fldCharType="begin"/>
      </w:r>
      <w:r w:rsidR="006F41FE">
        <w:rPr>
          <w:color w:val="000000"/>
        </w:rPr>
        <w:instrText xml:space="preserve"> ADDIN EN.CITE &lt;EndNote&gt;&lt;Cite&gt;&lt;Author&gt;Sardana&lt;/Author&gt;&lt;Year&gt;2008&lt;/Year&gt;&lt;RecNum&gt;8&lt;/RecNum&gt;&lt;DisplayText&gt;(Sardana et al., 2008)&lt;/DisplayText&gt;&lt;record&gt;&lt;rec-number&gt;8&lt;/rec-number&gt;&lt;ref-type name="Journal Article"&gt;17&lt;/ref-type&gt;&lt;contributors&gt;&lt;authors&gt;&lt;author&gt;Sardana, G.&lt;/author&gt;&lt;author&gt;Dowell, B.&lt;/author&gt;&lt;author&gt;Diamandis, E. P.&lt;/author&gt;&lt;/authors&gt;&lt;/contributors&gt;&lt;auth-address&gt;Department of Laboratory Medicine and Pathobiology, University of Toronto, Toronto, Ontario, Canada.&lt;/auth-address&gt;&lt;titles&gt;&lt;title&gt;Emerging biomarkers for the diagnosis and prognosis of prostate cancer&lt;/title&gt;&lt;secondary-title&gt;Clin Chem&lt;/secondary-title&gt;&lt;/titles&gt;&lt;pages&gt;1951-60&lt;/pages&gt;&lt;volume&gt;54&lt;/volume&gt;&lt;number&gt;12&lt;/number&gt;&lt;keywords&gt;&lt;keyword&gt;Antigens, Neoplasm/blood&lt;/keyword&gt;&lt;keyword&gt;Humans&lt;/keyword&gt;&lt;keyword&gt;Male&lt;/keyword&gt;&lt;keyword&gt;Membrane Glycoproteins/blood&lt;/keyword&gt;&lt;keyword&gt;Neoplasm Proteins/blood&lt;/keyword&gt;&lt;keyword&gt;Prognosis&lt;/keyword&gt;&lt;keyword&gt;Prostate-Specific Antigen/blood&lt;/keyword&gt;&lt;keyword&gt;Prostatic Neoplasms/*diagnosis&lt;/keyword&gt;&lt;keyword&gt;Racemases and Epimerases/blood&lt;/keyword&gt;&lt;keyword&gt;Serine Endopeptidases/blood&lt;/keyword&gt;&lt;keyword&gt;Tissue Kallikreins/blood&lt;/keyword&gt;&lt;keyword&gt;Tumor Markers, Biological/*blood&lt;/keyword&gt;&lt;/keywords&gt;&lt;dates&gt;&lt;year&gt;2008&lt;/year&gt;&lt;pub-dates&gt;&lt;date&gt;Dec&lt;/date&gt;&lt;/pub-dates&gt;&lt;/dates&gt;&lt;accession-num&gt;18927246&lt;/accession-num&gt;&lt;urls&gt;&lt;related-urls&gt;&lt;url&gt;http://www.ncbi.nlm.nih.gov/entrez/query.fcgi?cmd=Retrieve&amp;amp;db=PubMed&amp;amp;dopt=Citation&amp;amp;list_uids=18927246 &lt;/url&gt;&lt;/related-urls&gt;&lt;/urls&gt;&lt;/record&gt;&lt;/Cite&gt;&lt;/EndNote&gt;</w:instrText>
      </w:r>
      <w:r w:rsidRPr="00873C4C">
        <w:rPr>
          <w:color w:val="000000"/>
        </w:rPr>
        <w:fldChar w:fldCharType="separate"/>
      </w:r>
      <w:r w:rsidR="006F41FE">
        <w:rPr>
          <w:noProof/>
          <w:color w:val="000000"/>
        </w:rPr>
        <w:t>(</w:t>
      </w:r>
      <w:hyperlink w:anchor="_ENREF_367" w:tooltip="Sardana, 2008 #8" w:history="1">
        <w:r w:rsidR="004A784D">
          <w:rPr>
            <w:noProof/>
            <w:color w:val="000000"/>
          </w:rPr>
          <w:t>Sardana et al., 2008</w:t>
        </w:r>
      </w:hyperlink>
      <w:r w:rsidR="006F41FE">
        <w:rPr>
          <w:noProof/>
          <w:color w:val="000000"/>
        </w:rPr>
        <w:t>)</w:t>
      </w:r>
      <w:r w:rsidRPr="00873C4C">
        <w:rPr>
          <w:color w:val="000000"/>
        </w:rPr>
        <w:fldChar w:fldCharType="end"/>
      </w:r>
      <w:r w:rsidRPr="00873C4C">
        <w:rPr>
          <w:color w:val="000000"/>
        </w:rPr>
        <w:t xml:space="preserve"> . Despite lacking the physiological situations found in vivo, identification and analysis of many low abundance proteins has been possible using in vitro model systems, proteins that would be difficult to detect by direct analysis of </w:t>
      </w:r>
      <w:r w:rsidR="00676041" w:rsidRPr="00873C4C">
        <w:rPr>
          <w:color w:val="000000"/>
        </w:rPr>
        <w:t>bio fluids</w:t>
      </w:r>
      <w:r w:rsidRPr="00873C4C">
        <w:rPr>
          <w:color w:val="000000"/>
        </w:rPr>
        <w:t xml:space="preserve"> due to the bias toward the identification of high-abundance molecules </w:t>
      </w:r>
      <w:r w:rsidRPr="00873C4C">
        <w:rPr>
          <w:color w:val="000000"/>
        </w:rPr>
        <w:fldChar w:fldCharType="begin"/>
      </w:r>
      <w:r w:rsidR="006F41FE">
        <w:rPr>
          <w:color w:val="000000"/>
        </w:rPr>
        <w:instrText xml:space="preserve"> ADDIN EN.CITE &lt;EndNote&gt;&lt;Cite&gt;&lt;Author&gt;Kulasingam&lt;/Author&gt;&lt;Year&gt;2008&lt;/Year&gt;&lt;RecNum&gt;1&lt;/RecNum&gt;&lt;DisplayText&gt;(Kulasingam and Diamandis, 2008)&lt;/DisplayText&gt;&lt;record&gt;&lt;rec-number&gt;1&lt;/rec-number&gt;&lt;ref-type name="Journal Article"&gt;17&lt;/ref-type&gt;&lt;contributors&gt;&lt;authors&gt;&lt;author&gt;Kulasingam, V.&lt;/author&gt;&lt;author&gt;Diamandis, E. P.&lt;/author&gt;&lt;/authors&gt;&lt;/contributors&gt;&lt;auth-address&gt;Department of Laboratory Medicine and Pathobiology, University of Toronto, Toronto, Ontario, Canada.&lt;/auth-address&gt;&lt;titles&gt;&lt;title&gt;Tissue culture-based breast cancer biomarker discovery platform&lt;/title&gt;&lt;secondary-title&gt;Int J Cancer&lt;/secondary-title&gt;&lt;/titles&gt;&lt;pages&gt;2007-12&lt;/pages&gt;&lt;volume&gt;123&lt;/volume&gt;&lt;number&gt;9&lt;/number&gt;&lt;keywords&gt;&lt;keyword&gt;Breast Neoplasms/*diagnosis&lt;/keyword&gt;&lt;keyword&gt;Cell Line, Tumor&lt;/keyword&gt;&lt;keyword&gt;Culture Media/analysis&lt;/keyword&gt;&lt;keyword&gt;Female&lt;/keyword&gt;&lt;keyword&gt;Humans&lt;/keyword&gt;&lt;keyword&gt;Proteomics/*methods&lt;/keyword&gt;&lt;keyword&gt;Tandem Mass Spectrometry&lt;/keyword&gt;&lt;keyword&gt;Tumor Markers, Biological/*analysis&lt;/keyword&gt;&lt;/keywords&gt;&lt;dates&gt;&lt;year&gt;2008&lt;/year&gt;&lt;pub-dates&gt;&lt;date&gt;Nov 1&lt;/date&gt;&lt;/pub-dates&gt;&lt;/dates&gt;&lt;accession-num&gt;18712711&lt;/accession-num&gt;&lt;urls&gt;&lt;related-urls&gt;&lt;url&gt;http://www.ncbi.nlm.nih.gov/entrez/query.fcgi?cmd=Retrieve&amp;amp;db=PubMed&amp;amp;dopt=Citation&amp;amp;list_uids=18712711 &lt;/url&gt;&lt;/related-urls&gt;&lt;/urls&gt;&lt;/record&gt;&lt;/Cite&gt;&lt;/EndNote&gt;</w:instrText>
      </w:r>
      <w:r w:rsidRPr="00873C4C">
        <w:rPr>
          <w:color w:val="000000"/>
        </w:rPr>
        <w:fldChar w:fldCharType="separate"/>
      </w:r>
      <w:r w:rsidR="006F41FE">
        <w:rPr>
          <w:noProof/>
          <w:color w:val="000000"/>
        </w:rPr>
        <w:t>(</w:t>
      </w:r>
      <w:hyperlink w:anchor="_ENREF_223" w:tooltip="Kulasingam, 2008 #1" w:history="1">
        <w:r w:rsidR="004A784D">
          <w:rPr>
            <w:noProof/>
            <w:color w:val="000000"/>
          </w:rPr>
          <w:t>Kulasingam and Diamandis, 2008</w:t>
        </w:r>
      </w:hyperlink>
      <w:r w:rsidR="006F41FE">
        <w:rPr>
          <w:noProof/>
          <w:color w:val="000000"/>
        </w:rPr>
        <w:t>)</w:t>
      </w:r>
      <w:r w:rsidRPr="00873C4C">
        <w:rPr>
          <w:color w:val="000000"/>
        </w:rPr>
        <w:fldChar w:fldCharType="end"/>
      </w:r>
      <w:r w:rsidRPr="00873C4C">
        <w:rPr>
          <w:color w:val="000000"/>
        </w:rPr>
        <w:t xml:space="preserve">.  </w:t>
      </w:r>
    </w:p>
    <w:p w:rsidR="00C241AC" w:rsidRDefault="00C241AC" w:rsidP="00057B42">
      <w:pPr>
        <w:spacing w:line="360" w:lineRule="auto"/>
        <w:jc w:val="both"/>
        <w:rPr>
          <w:color w:val="000000"/>
        </w:rPr>
      </w:pPr>
    </w:p>
    <w:p w:rsidR="00337132" w:rsidRPr="00873C4C" w:rsidRDefault="00337132" w:rsidP="00057B42">
      <w:pPr>
        <w:spacing w:line="360" w:lineRule="auto"/>
        <w:jc w:val="both"/>
        <w:rPr>
          <w:color w:val="000000"/>
          <w:lang w:val="en"/>
        </w:rPr>
      </w:pPr>
      <w:r w:rsidRPr="00873C4C">
        <w:rPr>
          <w:color w:val="000000"/>
          <w:lang w:val="en"/>
        </w:rPr>
        <w:lastRenderedPageBreak/>
        <w:t xml:space="preserve">The low-molecular-weight </w:t>
      </w:r>
      <w:r w:rsidR="00676041" w:rsidRPr="00873C4C">
        <w:rPr>
          <w:color w:val="000000"/>
          <w:lang w:val="en"/>
        </w:rPr>
        <w:t>bio fluid</w:t>
      </w:r>
      <w:r w:rsidRPr="00873C4C">
        <w:rPr>
          <w:color w:val="000000"/>
          <w:lang w:val="en"/>
        </w:rPr>
        <w:t xml:space="preserve"> and tissue proteomes have been the focus of recent attempts to find novel biomarkers </w:t>
      </w:r>
      <w:r w:rsidRPr="00873C4C">
        <w:rPr>
          <w:color w:val="000000"/>
          <w:lang w:val="en"/>
        </w:rPr>
        <w:fldChar w:fldCharType="begin"/>
      </w:r>
      <w:r w:rsidR="006F41FE">
        <w:rPr>
          <w:color w:val="000000"/>
          <w:lang w:val="en"/>
        </w:rPr>
        <w:instrText xml:space="preserve"> ADDIN EN.CITE &lt;EndNote&gt;&lt;Cite&gt;&lt;Author&gt;Petricoin&lt;/Author&gt;&lt;Year&gt;2006&lt;/Year&gt;&lt;RecNum&gt;34&lt;/RecNum&gt;&lt;DisplayText&gt;(Petricoin et al., 2006)&lt;/DisplayText&gt;&lt;record&gt;&lt;rec-number&gt;34&lt;/rec-number&gt;&lt;ref-type name="Journal Article"&gt;17&lt;/ref-type&gt;&lt;contributors&gt;&lt;authors&gt;&lt;author&gt;Petricoin, E. F.&lt;/author&gt;&lt;author&gt;Belluco, C.&lt;/author&gt;&lt;author&gt;Araujo, R. P.&lt;/author&gt;&lt;author&gt;Liotta, L. A.&lt;/author&gt;&lt;/authors&gt;&lt;/contributors&gt;&lt;auth-address&gt;Center for Applied Proteomics and Molecular Medicine, George Mason University, Manassas Virginia 20110, USA. epetrico@gmu.edu&lt;/auth-address&gt;&lt;titles&gt;&lt;title&gt;The blood peptidome: a higher dimension of information content for cancer biomarker discovery&lt;/title&gt;&lt;secondary-title&gt;Nat Rev Cancer&lt;/secondary-title&gt;&lt;/titles&gt;&lt;pages&gt;961-7&lt;/pages&gt;&lt;volume&gt;6&lt;/volume&gt;&lt;number&gt;12&lt;/number&gt;&lt;keywords&gt;&lt;keyword&gt;Bias (Epidemiology)&lt;/keyword&gt;&lt;keyword&gt;Carrier Proteins/blood&lt;/keyword&gt;&lt;keyword&gt;Centrifugation/methods&lt;/keyword&gt;&lt;keyword&gt;Electrophoresis, Gel, Two-Dimensional/methods&lt;/keyword&gt;&lt;keyword&gt;Humans&lt;/keyword&gt;&lt;keyword&gt;Immunosorbent Techniques&lt;/keyword&gt;&lt;keyword&gt;Isotope Labeling/methods&lt;/keyword&gt;&lt;keyword&gt;Molecular Weight&lt;/keyword&gt;&lt;keyword&gt;Neoplasms/*blood/pathology&lt;/keyword&gt;&lt;keyword&gt;Peptide Fragments/blood&lt;/keyword&gt;&lt;keyword&gt;Peptides/*blood/chemistry/isolation &amp;amp; purification&lt;/keyword&gt;&lt;keyword&gt;Protein Array Analysis&lt;/keyword&gt;&lt;keyword&gt;*Proteome&lt;/keyword&gt;&lt;keyword&gt;Proteomics/methods/trends&lt;/keyword&gt;&lt;keyword&gt;Sensitivity and Specificity&lt;/keyword&gt;&lt;keyword&gt;Spectrometry, Mass, Electrospray Ionization&lt;/keyword&gt;&lt;keyword&gt;Spectrometry, Mass, Matrix-Assisted Laser Desorption-Ionization&lt;/keyword&gt;&lt;keyword&gt;Systems Biology&lt;/keyword&gt;&lt;keyword&gt;Tumor Markers, Biological/*blood/chemistry/isolation &amp;amp; purification&lt;/keyword&gt;&lt;/keywords&gt;&lt;dates&gt;&lt;year&gt;2006&lt;/year&gt;&lt;pub-dates&gt;&lt;date&gt;Dec&lt;/date&gt;&lt;/pub-dates&gt;&lt;/dates&gt;&lt;accession-num&gt;17093504&lt;/accession-num&gt;&lt;urls&gt;&lt;related-urls&gt;&lt;url&gt;http://www.ncbi.nlm.nih.gov/entrez/query.fcgi?cmd=Retrieve&amp;amp;db=PubMed&amp;amp;dopt=Citation&amp;amp;list_uids=17093504 &lt;/url&gt;&lt;/related-urls&gt;&lt;/urls&gt;&lt;/record&gt;&lt;/Cite&gt;&lt;/EndNote&gt;</w:instrText>
      </w:r>
      <w:r w:rsidRPr="00873C4C">
        <w:rPr>
          <w:color w:val="000000"/>
          <w:lang w:val="en"/>
        </w:rPr>
        <w:fldChar w:fldCharType="separate"/>
      </w:r>
      <w:r w:rsidR="006F41FE">
        <w:rPr>
          <w:noProof/>
          <w:color w:val="000000"/>
          <w:lang w:val="en"/>
        </w:rPr>
        <w:t>(</w:t>
      </w:r>
      <w:hyperlink w:anchor="_ENREF_322" w:tooltip="Petricoin, 2006 #34" w:history="1">
        <w:r w:rsidR="004A784D">
          <w:rPr>
            <w:noProof/>
            <w:color w:val="000000"/>
            <w:lang w:val="en"/>
          </w:rPr>
          <w:t>Petricoin et al., 2006</w:t>
        </w:r>
      </w:hyperlink>
      <w:r w:rsidR="006F41FE">
        <w:rPr>
          <w:noProof/>
          <w:color w:val="000000"/>
          <w:lang w:val="en"/>
        </w:rPr>
        <w:t>)</w:t>
      </w:r>
      <w:r w:rsidRPr="00873C4C">
        <w:rPr>
          <w:color w:val="000000"/>
          <w:lang w:val="en"/>
        </w:rPr>
        <w:fldChar w:fldCharType="end"/>
      </w:r>
      <w:r w:rsidRPr="00873C4C">
        <w:rPr>
          <w:color w:val="000000"/>
          <w:lang w:val="en"/>
        </w:rPr>
        <w:t xml:space="preserve"> . Considerable populations of different peptides exist in living systems, each with specific properties and </w:t>
      </w:r>
      <w:r w:rsidRPr="00873C4C">
        <w:rPr>
          <w:color w:val="000000"/>
        </w:rPr>
        <w:t xml:space="preserve">involvement in specific regulatory processes. </w:t>
      </w:r>
      <w:r w:rsidRPr="00873C4C">
        <w:rPr>
          <w:color w:val="000000"/>
          <w:lang w:val="en"/>
        </w:rPr>
        <w:t xml:space="preserve">Peptides are generated from larger precursors through hydrolysis of peptide bonds by some of the 550 or so different proteases and peptidases present in the human genome. Mass spectrometry is particularly suited to the analysis of peptides in order </w:t>
      </w:r>
      <w:r w:rsidRPr="00873C4C">
        <w:rPr>
          <w:color w:val="000000"/>
        </w:rPr>
        <w:t xml:space="preserve">to identify and quantify patterns or signatures that can indicate the presence or absence of specific types of cancer </w:t>
      </w:r>
      <w:r w:rsidRPr="00873C4C">
        <w:rPr>
          <w:color w:val="000000"/>
        </w:rPr>
        <w:fldChar w:fldCharType="begin"/>
      </w:r>
      <w:r w:rsidR="006F41FE">
        <w:rPr>
          <w:color w:val="000000"/>
        </w:rPr>
        <w:instrText xml:space="preserve"> ADDIN EN.CITE &lt;EndNote&gt;&lt;Cite&gt;&lt;Author&gt;Villanueva&lt;/Author&gt;&lt;Year&gt;2006&lt;/Year&gt;&lt;RecNum&gt;2&lt;/RecNum&gt;&lt;DisplayText&gt;(Villanueva et al., 2006)&lt;/DisplayText&gt;&lt;record&gt;&lt;rec-number&gt;2&lt;/rec-number&gt;&lt;ref-type name="Journal Article"&gt;17&lt;/ref-type&gt;&lt;contributors&gt;&lt;authors&gt;&lt;author&gt;Villanueva, J.&lt;/author&gt;&lt;author&gt;Shaffer, D. R.&lt;/author&gt;&lt;author&gt;Philip, J.&lt;/author&gt;&lt;author&gt;Chaparro, C. A.&lt;/author&gt;&lt;author&gt;Erdjument-Bromage, H.&lt;/author&gt;&lt;author&gt;Olshen, A. B.&lt;/author&gt;&lt;author&gt;Fleisher, M.&lt;/author&gt;&lt;author&gt;Lilja, H.&lt;/author&gt;&lt;author&gt;Brogi, E.&lt;/author&gt;&lt;author&gt;Boyd, J.&lt;/author&gt;&lt;author&gt;Sanchez-Carbayo, M.&lt;/author&gt;&lt;author&gt;Holland, E. C.&lt;/author&gt;&lt;author&gt;Cordon-Cardo, C.&lt;/author&gt;&lt;author&gt;Scher, H. I.&lt;/author&gt;&lt;author&gt;Tempst, P.&lt;/author&gt;&lt;/authors&gt;&lt;/contributors&gt;&lt;auth-address&gt;Memorial Sloan-Kettering Cancer Center, New York, New York 10021, USA.&lt;/auth-address&gt;&lt;titles&gt;&lt;title&gt;Differential exoprotease activities confer tumor-specific serum peptidome patterns&lt;/title&gt;&lt;secondary-title&gt;J Clin Invest&lt;/secondary-title&gt;&lt;/titles&gt;&lt;pages&gt;271-84&lt;/pages&gt;&lt;volume&gt;116&lt;/volume&gt;&lt;number&gt;1&lt;/number&gt;&lt;keywords&gt;&lt;keyword&gt;Amino Acid Sequence&lt;/keyword&gt;&lt;keyword&gt;Exopeptidases/*genetics/*metabolism&lt;/keyword&gt;&lt;keyword&gt;Humans&lt;/keyword&gt;&lt;keyword&gt;Molecular Sequence Data&lt;/keyword&gt;&lt;keyword&gt;Neoplasm Proteins/*genetics&lt;/keyword&gt;&lt;keyword&gt;Neoplasms/enzymology/*genetics&lt;/keyword&gt;&lt;keyword&gt;Peptide Fragments/chemistry/*genetics&lt;/keyword&gt;&lt;keyword&gt;*Proteome&lt;/keyword&gt;&lt;keyword&gt;Reference Values&lt;/keyword&gt;&lt;keyword&gt;Spectrometry, Mass, Matrix-Assisted Laser Desorption-Ionization/methods&lt;/keyword&gt;&lt;/keywords&gt;&lt;dates&gt;&lt;year&gt;2006&lt;/year&gt;&lt;pub-dates&gt;&lt;date&gt;Jan&lt;/date&gt;&lt;/pub-dates&gt;&lt;/dates&gt;&lt;accession-num&gt;16395409&lt;/accession-num&gt;&lt;urls&gt;&lt;related-urls&gt;&lt;url&gt;http://www.ncbi.nlm.nih.gov/entrez/query.fcgi?cmd=Retrieve&amp;amp;db=PubMed&amp;amp;dopt=Citation&amp;amp;list_uids=16395409 &lt;/url&gt;&lt;/related-urls&gt;&lt;/urls&gt;&lt;/record&gt;&lt;/Cite&gt;&lt;/EndNote&gt;</w:instrText>
      </w:r>
      <w:r w:rsidRPr="00873C4C">
        <w:rPr>
          <w:color w:val="000000"/>
        </w:rPr>
        <w:fldChar w:fldCharType="separate"/>
      </w:r>
      <w:r w:rsidR="006F41FE">
        <w:rPr>
          <w:noProof/>
          <w:color w:val="000000"/>
        </w:rPr>
        <w:t>(</w:t>
      </w:r>
      <w:hyperlink w:anchor="_ENREF_438" w:tooltip="Villanueva, 2006 #2" w:history="1">
        <w:r w:rsidR="004A784D">
          <w:rPr>
            <w:noProof/>
            <w:color w:val="000000"/>
          </w:rPr>
          <w:t>Villanueva et al., 2006</w:t>
        </w:r>
      </w:hyperlink>
      <w:r w:rsidR="006F41FE">
        <w:rPr>
          <w:noProof/>
          <w:color w:val="000000"/>
        </w:rPr>
        <w:t>)</w:t>
      </w:r>
      <w:r w:rsidRPr="00873C4C">
        <w:rPr>
          <w:color w:val="000000"/>
        </w:rPr>
        <w:fldChar w:fldCharType="end"/>
      </w:r>
      <w:r w:rsidRPr="00873C4C">
        <w:rPr>
          <w:color w:val="000000"/>
        </w:rPr>
        <w:t xml:space="preserve">.  </w:t>
      </w:r>
    </w:p>
    <w:p w:rsidR="00C241AC" w:rsidRDefault="00C241AC" w:rsidP="00057B42">
      <w:pPr>
        <w:autoSpaceDE w:val="0"/>
        <w:autoSpaceDN w:val="0"/>
        <w:adjustRightInd w:val="0"/>
        <w:spacing w:line="360" w:lineRule="auto"/>
        <w:jc w:val="both"/>
        <w:rPr>
          <w:color w:val="000000"/>
        </w:rPr>
      </w:pPr>
    </w:p>
    <w:p w:rsidR="00337132" w:rsidRPr="00873C4C" w:rsidRDefault="00337132" w:rsidP="00057B42">
      <w:pPr>
        <w:autoSpaceDE w:val="0"/>
        <w:autoSpaceDN w:val="0"/>
        <w:adjustRightInd w:val="0"/>
        <w:spacing w:line="360" w:lineRule="auto"/>
        <w:jc w:val="both"/>
        <w:rPr>
          <w:color w:val="000000"/>
        </w:rPr>
      </w:pPr>
      <w:r w:rsidRPr="00873C4C">
        <w:rPr>
          <w:color w:val="000000"/>
        </w:rPr>
        <w:t xml:space="preserve">Recent developments have been made in analysis of formalin-fixed, paraffin-embedded (FFPE) samples, and it now seems possible to be able to reverse the cross-linking process that had previously meant that these samples were ineffectual for proteomics-based investigations. Proteomic analysis of formalin-fixed paraffin-embedded (FFPE) tissue now promises retrospective biomarker investigations of this vast archive of pathologically characterized clinical samples that exist worldwide </w:t>
      </w:r>
      <w:r w:rsidRPr="00873C4C">
        <w:rPr>
          <w:color w:val="000000"/>
        </w:rPr>
        <w:fldChar w:fldCharType="begin">
          <w:fldData xml:space="preserve">PEVuZE5vdGU+PENpdGU+PEF1dGhvcj5Sb25jaTwvQXV0aG9yPjxZZWFyPjIwMDg8L1llYXI+PFJl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</w:fldData>
        </w:fldChar>
      </w:r>
      <w:r w:rsidR="006F41FE">
        <w:rPr>
          <w:color w:val="000000"/>
        </w:rPr>
        <w:instrText xml:space="preserve"> ADDIN EN.CITE </w:instrText>
      </w:r>
      <w:r w:rsidR="006F41FE">
        <w:rPr>
          <w:color w:val="000000"/>
        </w:rPr>
        <w:fldChar w:fldCharType="begin">
          <w:fldData xml:space="preserve">PEVuZE5vdGU+PENpdGU+PEF1dGhvcj5Sb25jaTwvQXV0aG9yPjxZZWFyPjIwMDg8L1llYXI+PFJl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</w:fldData>
        </w:fldChar>
      </w:r>
      <w:r w:rsidR="006F41FE">
        <w:rPr>
          <w:color w:val="000000"/>
        </w:rPr>
        <w:instrText xml:space="preserve"> ADDIN EN.CITE.DATA </w:instrText>
      </w:r>
      <w:r w:rsidR="006F41FE">
        <w:rPr>
          <w:color w:val="000000"/>
        </w:rPr>
      </w:r>
      <w:r w:rsidR="006F41FE">
        <w:rPr>
          <w:color w:val="000000"/>
        </w:rPr>
        <w:fldChar w:fldCharType="end"/>
      </w:r>
      <w:r w:rsidRPr="00873C4C">
        <w:rPr>
          <w:color w:val="000000"/>
        </w:rPr>
      </w:r>
      <w:r w:rsidRPr="00873C4C">
        <w:rPr>
          <w:color w:val="000000"/>
        </w:rPr>
        <w:fldChar w:fldCharType="separate"/>
      </w:r>
      <w:r w:rsidR="006F41FE">
        <w:rPr>
          <w:noProof/>
          <w:color w:val="000000"/>
        </w:rPr>
        <w:t>(</w:t>
      </w:r>
      <w:hyperlink w:anchor="_ENREF_352" w:tooltip="Ronci, 2008 #1" w:history="1">
        <w:r w:rsidR="004A784D">
          <w:rPr>
            <w:noProof/>
            <w:color w:val="000000"/>
          </w:rPr>
          <w:t>Ronci et al., 2008</w:t>
        </w:r>
      </w:hyperlink>
      <w:r w:rsidR="006F41FE">
        <w:rPr>
          <w:noProof/>
          <w:color w:val="000000"/>
        </w:rPr>
        <w:t xml:space="preserve">, </w:t>
      </w:r>
      <w:hyperlink w:anchor="_ENREF_316" w:tooltip="Patel, 2008 #3" w:history="1">
        <w:r w:rsidR="004A784D">
          <w:rPr>
            <w:noProof/>
            <w:color w:val="000000"/>
          </w:rPr>
          <w:t>Patel et al., 2008</w:t>
        </w:r>
      </w:hyperlink>
      <w:r w:rsidR="006F41FE">
        <w:rPr>
          <w:noProof/>
          <w:color w:val="000000"/>
        </w:rPr>
        <w:t>)</w:t>
      </w:r>
      <w:r w:rsidRPr="00873C4C">
        <w:rPr>
          <w:color w:val="000000"/>
        </w:rPr>
        <w:fldChar w:fldCharType="end"/>
      </w:r>
      <w:r w:rsidRPr="00873C4C">
        <w:rPr>
          <w:color w:val="000000"/>
        </w:rPr>
        <w:t>.</w:t>
      </w:r>
      <w:r w:rsidR="001E0909">
        <w:rPr>
          <w:color w:val="000000"/>
        </w:rPr>
        <w:t xml:space="preserve"> </w:t>
      </w:r>
      <w:r w:rsidRPr="00873C4C">
        <w:rPr>
          <w:color w:val="000000"/>
        </w:rPr>
        <w:t xml:space="preserve">Fresh tissue is often difficult to obtain in large numbers and sufficient quantities so extracting proteins of good quality out of FFPE tissues can now be used to overcome some of these obstacles. Using laser-capture </w:t>
      </w:r>
      <w:r w:rsidR="00647448" w:rsidRPr="00873C4C">
        <w:rPr>
          <w:color w:val="000000"/>
        </w:rPr>
        <w:t>micro dissection</w:t>
      </w:r>
      <w:r w:rsidRPr="00873C4C">
        <w:rPr>
          <w:color w:val="000000"/>
        </w:rPr>
        <w:t xml:space="preserve"> on FFPE tissue sections will also increase the purity of malignant and control cell populations for biomarkers discovery studies.</w:t>
      </w:r>
    </w:p>
    <w:p w:rsidR="00337132" w:rsidRPr="00873C4C" w:rsidRDefault="00337132" w:rsidP="00057B42">
      <w:pPr>
        <w:autoSpaceDE w:val="0"/>
        <w:autoSpaceDN w:val="0"/>
        <w:adjustRightInd w:val="0"/>
        <w:spacing w:line="360" w:lineRule="auto"/>
        <w:jc w:val="both"/>
        <w:rPr>
          <w:b/>
          <w:color w:val="000000"/>
        </w:rPr>
      </w:pPr>
    </w:p>
    <w:p w:rsidR="00B569B5" w:rsidRDefault="00B569B5" w:rsidP="00645687">
      <w:pPr>
        <w:pStyle w:val="Heading4"/>
        <w:numPr>
          <w:ilvl w:val="0"/>
          <w:numId w:val="0"/>
        </w:numPr>
        <w:ind w:left="284"/>
        <w:rPr>
          <w:lang w:val="en-GB"/>
        </w:rPr>
      </w:pPr>
      <w:bookmarkStart w:id="552" w:name="_Toc261098478"/>
      <w:r>
        <w:rPr>
          <w:lang w:val="en-GB"/>
        </w:rPr>
        <w:tab/>
      </w:r>
    </w:p>
    <w:p w:rsidR="00B569B5" w:rsidRDefault="00B569B5" w:rsidP="00057B42">
      <w:pPr>
        <w:spacing w:line="360" w:lineRule="auto"/>
        <w:rPr>
          <w:b/>
          <w:bCs/>
          <w:sz w:val="26"/>
          <w:szCs w:val="26"/>
          <w:lang w:val="en-GB" w:eastAsia="en-US"/>
        </w:rPr>
      </w:pPr>
      <w:r>
        <w:rPr>
          <w:lang w:val="en-GB"/>
        </w:rPr>
        <w:br w:type="page"/>
      </w:r>
    </w:p>
    <w:p w:rsidR="00337132" w:rsidRPr="00873C4C" w:rsidRDefault="00B569B5" w:rsidP="00645687">
      <w:pPr>
        <w:pStyle w:val="Heading4"/>
        <w:rPr>
          <w:lang w:val="en-GB"/>
        </w:rPr>
      </w:pPr>
      <w:r>
        <w:rPr>
          <w:lang w:val="en-GB"/>
        </w:rPr>
        <w:lastRenderedPageBreak/>
        <w:tab/>
      </w:r>
      <w:bookmarkStart w:id="553" w:name="_Toc305759151"/>
      <w:bookmarkStart w:id="554" w:name="_Toc306570579"/>
      <w:bookmarkStart w:id="555" w:name="_Toc307067644"/>
      <w:bookmarkStart w:id="556" w:name="_Toc312169215"/>
      <w:bookmarkStart w:id="557" w:name="_Toc312172142"/>
      <w:bookmarkStart w:id="558" w:name="_Toc312257691"/>
      <w:r w:rsidR="00337132" w:rsidRPr="00873C4C">
        <w:rPr>
          <w:lang w:val="en-GB"/>
        </w:rPr>
        <w:t>Strategies for biomarker validation</w:t>
      </w:r>
      <w:bookmarkEnd w:id="552"/>
      <w:bookmarkEnd w:id="553"/>
      <w:bookmarkEnd w:id="554"/>
      <w:bookmarkEnd w:id="555"/>
      <w:bookmarkEnd w:id="556"/>
      <w:bookmarkEnd w:id="557"/>
      <w:bookmarkEnd w:id="558"/>
    </w:p>
    <w:p w:rsidR="00301255" w:rsidRPr="00873C4C" w:rsidRDefault="00B569B5" w:rsidP="00057B42">
      <w:pPr>
        <w:pStyle w:val="Heading5"/>
        <w:spacing w:line="360" w:lineRule="auto"/>
      </w:pPr>
      <w:r>
        <w:tab/>
      </w:r>
      <w:r w:rsidR="00301255" w:rsidRPr="00873C4C">
        <w:t>Background</w:t>
      </w:r>
    </w:p>
    <w:p w:rsidR="00337132" w:rsidRDefault="00337132" w:rsidP="00183FFD">
      <w:pPr>
        <w:spacing w:before="240" w:line="360" w:lineRule="auto"/>
        <w:jc w:val="both"/>
        <w:rPr>
          <w:color w:val="000000"/>
        </w:rPr>
      </w:pPr>
      <w:r w:rsidRPr="00873C4C">
        <w:rPr>
          <w:color w:val="000000"/>
        </w:rPr>
        <w:t xml:space="preserve">There is now general agreement that panels of biomarkers or </w:t>
      </w:r>
      <w:r w:rsidR="00676041" w:rsidRPr="00873C4C">
        <w:rPr>
          <w:color w:val="000000"/>
        </w:rPr>
        <w:t>bio signatures</w:t>
      </w:r>
      <w:r w:rsidRPr="00873C4C">
        <w:rPr>
          <w:color w:val="000000"/>
        </w:rPr>
        <w:t xml:space="preserve"> are more sensitive and specific than single markers. The use of large panels of biomarkers is less likely to yield unreliable results owing to the substantial heterogeneity among cancers. Assay development for validation studies on biomarkers associated with disease or treatment response is a difficult proposition in the development pipeline. These can be in the form of Enzyme-Linked </w:t>
      </w:r>
      <w:r w:rsidR="00647448" w:rsidRPr="00873C4C">
        <w:rPr>
          <w:color w:val="000000"/>
        </w:rPr>
        <w:t>Immunosorbent</w:t>
      </w:r>
      <w:r w:rsidRPr="00873C4C">
        <w:rPr>
          <w:color w:val="000000"/>
        </w:rPr>
        <w:t xml:space="preserve"> Assay (ELISA), </w:t>
      </w:r>
      <w:r w:rsidR="00676041" w:rsidRPr="00873C4C">
        <w:rPr>
          <w:color w:val="000000"/>
        </w:rPr>
        <w:t>immuno histochemistry</w:t>
      </w:r>
      <w:r w:rsidRPr="00873C4C">
        <w:rPr>
          <w:color w:val="000000"/>
        </w:rPr>
        <w:t xml:space="preserve"> (IHC) or mass spectrometry based techniques, each having associated advantages and disadvantages</w:t>
      </w:r>
      <w:r w:rsidR="0056215F">
        <w:rPr>
          <w:color w:val="000000"/>
        </w:rPr>
        <w:t xml:space="preserve"> </w:t>
      </w:r>
      <w:r w:rsidR="0056215F">
        <w:rPr>
          <w:color w:val="000000"/>
        </w:rPr>
        <w:fldChar w:fldCharType="begin">
          <w:fldData xml:space="preserve">PEVuZE5vdGU+PENpdGU+PEF1dGhvcj5Dc2Fua3k8L0F1dGhvcj48WWVhcj4yMDA3PC9ZZWFyPjxS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</w:fldData>
        </w:fldChar>
      </w:r>
      <w:r w:rsidR="0056215F">
        <w:rPr>
          <w:color w:val="000000"/>
        </w:rPr>
        <w:instrText xml:space="preserve"> ADDIN EN.CITE </w:instrText>
      </w:r>
      <w:r w:rsidR="0056215F">
        <w:rPr>
          <w:color w:val="000000"/>
        </w:rPr>
        <w:fldChar w:fldCharType="begin">
          <w:fldData xml:space="preserve">PEVuZE5vdGU+PENpdGU+PEF1dGhvcj5Dc2Fua3k8L0F1dGhvcj48WWVhcj4yMDA3PC9ZZWFyPjxS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</w:fldData>
        </w:fldChar>
      </w:r>
      <w:r w:rsidR="0056215F">
        <w:rPr>
          <w:color w:val="000000"/>
        </w:rPr>
        <w:instrText xml:space="preserve"> ADDIN EN.CITE.DATA </w:instrText>
      </w:r>
      <w:r w:rsidR="0056215F">
        <w:rPr>
          <w:color w:val="000000"/>
        </w:rPr>
      </w:r>
      <w:r w:rsidR="0056215F">
        <w:rPr>
          <w:color w:val="000000"/>
        </w:rPr>
        <w:fldChar w:fldCharType="end"/>
      </w:r>
      <w:r w:rsidR="0056215F">
        <w:rPr>
          <w:color w:val="000000"/>
        </w:rPr>
      </w:r>
      <w:r w:rsidR="0056215F">
        <w:rPr>
          <w:color w:val="000000"/>
        </w:rPr>
        <w:fldChar w:fldCharType="separate"/>
      </w:r>
      <w:r w:rsidR="0056215F">
        <w:rPr>
          <w:noProof/>
          <w:color w:val="000000"/>
        </w:rPr>
        <w:t>(</w:t>
      </w:r>
      <w:hyperlink w:anchor="_ENREF_87" w:tooltip="Csanky, 2007 #5525" w:history="1">
        <w:r w:rsidR="004A784D">
          <w:rPr>
            <w:noProof/>
            <w:color w:val="000000"/>
          </w:rPr>
          <w:t>Csanky et al., 2007</w:t>
        </w:r>
      </w:hyperlink>
      <w:r w:rsidR="0056215F">
        <w:rPr>
          <w:noProof/>
          <w:color w:val="000000"/>
        </w:rPr>
        <w:t xml:space="preserve">, </w:t>
      </w:r>
      <w:hyperlink w:anchor="_ENREF_370" w:tooltip="Schiffer, 2007 #5526" w:history="1">
        <w:r w:rsidR="004A784D">
          <w:rPr>
            <w:noProof/>
            <w:color w:val="000000"/>
          </w:rPr>
          <w:t>Schiffer, 2007</w:t>
        </w:r>
      </w:hyperlink>
      <w:r w:rsidR="0056215F">
        <w:rPr>
          <w:noProof/>
          <w:color w:val="000000"/>
        </w:rPr>
        <w:t xml:space="preserve">, </w:t>
      </w:r>
      <w:hyperlink w:anchor="_ENREF_268" w:tooltip="McIntosh, 2007 #5527" w:history="1">
        <w:r w:rsidR="004A784D">
          <w:rPr>
            <w:noProof/>
            <w:color w:val="000000"/>
          </w:rPr>
          <w:t>McIntosh et al., 2007</w:t>
        </w:r>
      </w:hyperlink>
      <w:r w:rsidR="0056215F">
        <w:rPr>
          <w:noProof/>
          <w:color w:val="000000"/>
        </w:rPr>
        <w:t>)</w:t>
      </w:r>
      <w:r w:rsidR="0056215F">
        <w:rPr>
          <w:color w:val="000000"/>
        </w:rPr>
        <w:fldChar w:fldCharType="end"/>
      </w:r>
      <w:r w:rsidRPr="00873C4C">
        <w:rPr>
          <w:color w:val="000000"/>
        </w:rPr>
        <w:t>.</w:t>
      </w:r>
    </w:p>
    <w:p w:rsidR="002908A3" w:rsidRPr="00873C4C" w:rsidRDefault="002908A3" w:rsidP="00057B42">
      <w:pPr>
        <w:spacing w:line="360" w:lineRule="auto"/>
        <w:jc w:val="both"/>
        <w:rPr>
          <w:color w:val="000000"/>
        </w:rPr>
      </w:pPr>
    </w:p>
    <w:p w:rsidR="00301255" w:rsidRPr="00873C4C" w:rsidRDefault="00B569B5" w:rsidP="00057B42">
      <w:pPr>
        <w:pStyle w:val="Heading5"/>
        <w:spacing w:line="360" w:lineRule="auto"/>
      </w:pPr>
      <w:r>
        <w:tab/>
      </w:r>
      <w:r w:rsidR="00301255" w:rsidRPr="00873C4C">
        <w:t>ELISA</w:t>
      </w:r>
    </w:p>
    <w:p w:rsidR="00F81966" w:rsidRDefault="00F81966" w:rsidP="00183FFD">
      <w:pPr>
        <w:spacing w:before="240" w:line="360" w:lineRule="auto"/>
        <w:jc w:val="both"/>
        <w:rPr>
          <w:color w:val="000000"/>
        </w:rPr>
      </w:pPr>
      <w:r w:rsidRPr="00873C4C">
        <w:rPr>
          <w:color w:val="000000"/>
        </w:rPr>
        <w:t>ELISA is a useful and powerful method in estimating ng/ml to pg/ml ordered materials in the solution, such as serum, urine</w:t>
      </w:r>
      <w:r w:rsidR="00582F66">
        <w:rPr>
          <w:color w:val="000000"/>
        </w:rPr>
        <w:t xml:space="preserve">, sperm and culture supernatant </w:t>
      </w:r>
      <w:r w:rsidR="00582F66">
        <w:rPr>
          <w:color w:val="000000"/>
        </w:rPr>
        <w:fldChar w:fldCharType="begin">
          <w:fldData xml:space="preserve">PEVuZE5vdGU+PENpdGU+PEF1dGhvcj5TYXZpZ2U8L0F1dGhvcj48WWVhcj4xOTk4PC9ZZWFyPjxS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</w:fldData>
        </w:fldChar>
      </w:r>
      <w:r w:rsidR="00582F66">
        <w:rPr>
          <w:color w:val="000000"/>
        </w:rPr>
        <w:instrText xml:space="preserve"> ADDIN EN.CITE </w:instrText>
      </w:r>
      <w:r w:rsidR="00582F66">
        <w:rPr>
          <w:color w:val="000000"/>
        </w:rPr>
        <w:fldChar w:fldCharType="begin">
          <w:fldData xml:space="preserve">PEVuZE5vdGU+PENpdGU+PEF1dGhvcj5TYXZpZ2U8L0F1dGhvcj48WWVhcj4xOTk4PC9ZZWFyPjxS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</w:fldData>
        </w:fldChar>
      </w:r>
      <w:r w:rsidR="00582F66">
        <w:rPr>
          <w:color w:val="000000"/>
        </w:rPr>
        <w:instrText xml:space="preserve"> ADDIN EN.CITE.DATA </w:instrText>
      </w:r>
      <w:r w:rsidR="00582F66">
        <w:rPr>
          <w:color w:val="000000"/>
        </w:rPr>
      </w:r>
      <w:r w:rsidR="00582F66">
        <w:rPr>
          <w:color w:val="000000"/>
        </w:rPr>
        <w:fldChar w:fldCharType="end"/>
      </w:r>
      <w:r w:rsidR="00582F66">
        <w:rPr>
          <w:color w:val="000000"/>
        </w:rPr>
      </w:r>
      <w:r w:rsidR="00582F66">
        <w:rPr>
          <w:color w:val="000000"/>
        </w:rPr>
        <w:fldChar w:fldCharType="separate"/>
      </w:r>
      <w:r w:rsidR="00582F66">
        <w:rPr>
          <w:noProof/>
          <w:color w:val="000000"/>
        </w:rPr>
        <w:t>(</w:t>
      </w:r>
      <w:hyperlink w:anchor="_ENREF_368" w:tooltip="Savige, 1998 #5529" w:history="1">
        <w:r w:rsidR="004A784D">
          <w:rPr>
            <w:noProof/>
            <w:color w:val="000000"/>
          </w:rPr>
          <w:t>Savige et al., 1998</w:t>
        </w:r>
      </w:hyperlink>
      <w:r w:rsidR="00582F66">
        <w:rPr>
          <w:noProof/>
          <w:color w:val="000000"/>
        </w:rPr>
        <w:t>)</w:t>
      </w:r>
      <w:r w:rsidR="00582F66">
        <w:rPr>
          <w:color w:val="000000"/>
        </w:rPr>
        <w:fldChar w:fldCharType="end"/>
      </w:r>
      <w:r w:rsidRPr="00873C4C">
        <w:rPr>
          <w:color w:val="000000"/>
        </w:rPr>
        <w:t>. ELISA has been widely used in the life science researches (Ma</w:t>
      </w:r>
      <w:r w:rsidR="00582F66">
        <w:rPr>
          <w:color w:val="000000"/>
        </w:rPr>
        <w:t xml:space="preserve"> et al,</w:t>
      </w:r>
      <w:r w:rsidRPr="00873C4C">
        <w:rPr>
          <w:color w:val="000000"/>
        </w:rPr>
        <w:t xml:space="preserve"> 1994; 2004).  The basic principle of an ELISA is to use an enzyme to detect the binding of antigen (Ag) antibody (Ab). The enzyme converts a </w:t>
      </w:r>
      <w:r w:rsidR="00647448" w:rsidRPr="00873C4C">
        <w:rPr>
          <w:color w:val="000000"/>
        </w:rPr>
        <w:t>colourless</w:t>
      </w:r>
      <w:r w:rsidRPr="00873C4C">
        <w:rPr>
          <w:color w:val="000000"/>
        </w:rPr>
        <w:t xml:space="preserve"> substrate (chromogen) to a </w:t>
      </w:r>
      <w:r w:rsidR="00647448" w:rsidRPr="00873C4C">
        <w:rPr>
          <w:color w:val="000000"/>
        </w:rPr>
        <w:t>colo</w:t>
      </w:r>
      <w:r w:rsidR="00647448">
        <w:rPr>
          <w:color w:val="000000"/>
        </w:rPr>
        <w:t>u</w:t>
      </w:r>
      <w:r w:rsidR="00647448" w:rsidRPr="00873C4C">
        <w:rPr>
          <w:color w:val="000000"/>
        </w:rPr>
        <w:t>red</w:t>
      </w:r>
      <w:r w:rsidRPr="00873C4C">
        <w:rPr>
          <w:color w:val="000000"/>
        </w:rPr>
        <w:t xml:space="preserve"> product, indicating the presence of Ag:Ab binding. An ELISA can be used to detect either the presence of Ags or Abs in a sample, depending on how the test is designed. </w:t>
      </w:r>
      <w:r w:rsidR="00301255" w:rsidRPr="00873C4C">
        <w:rPr>
          <w:color w:val="000000"/>
        </w:rPr>
        <w:t>ELISAs can provide a useful measurement of antigen or antibody concentration</w:t>
      </w:r>
      <w:r w:rsidR="00582F66">
        <w:rPr>
          <w:color w:val="000000"/>
        </w:rPr>
        <w:t xml:space="preserve"> </w:t>
      </w:r>
      <w:r w:rsidR="00582F66">
        <w:rPr>
          <w:color w:val="000000"/>
        </w:rPr>
        <w:fldChar w:fldCharType="begin"/>
      </w:r>
      <w:r w:rsidR="00582F66">
        <w:rPr>
          <w:color w:val="000000"/>
        </w:rPr>
        <w:instrText xml:space="preserve"> ADDIN EN.CITE &lt;EndNote&gt;&lt;Cite&gt;&lt;Author&gt;Zangar&lt;/Author&gt;&lt;Year&gt;2006&lt;/Year&gt;&lt;RecNum&gt;5656&lt;/RecNum&gt;&lt;DisplayText&gt;(Zangar et al., 2006)&lt;/DisplayText&gt;&lt;record&gt;&lt;rec-number&gt;5656&lt;/rec-number&gt;&lt;foreign-keys&gt;&lt;key app="EN" db-id="zf0awxsaczrdd3eft5qvw9wrtxxawdfrvw2a"&gt;5656&lt;/key&gt;&lt;/foreign-keys&gt;&lt;ref-type name="Journal Article"&gt;17&lt;/ref-type&gt;&lt;contributors&gt;&lt;authors&gt;&lt;author&gt;Zangar, R. C.&lt;/author&gt;&lt;author&gt;Daly, D. S.&lt;/author&gt;&lt;author&gt;White, A. M.&lt;/author&gt;&lt;/authors&gt;&lt;/contributors&gt;&lt;auth-address&gt;Pacific Northwest National Laboratory, PO Box 999, Richland, WA 99352, USA. richard.zangar@pnl.gov&lt;/auth-address&gt;&lt;titles&gt;&lt;title&gt;ELISA microarray technology as a high-throughput system for cancer biomarker validation&lt;/title&gt;&lt;secondary-title&gt;Expert Rev Proteomics&lt;/secondary-title&gt;&lt;/titles&gt;&lt;periodical&gt;&lt;full-title&gt;Expert Rev Proteomics&lt;/full-title&gt;&lt;/periodical&gt;&lt;pages&gt;37-44&lt;/pages&gt;&lt;volume&gt;3&lt;/volume&gt;&lt;number&gt;1&lt;/number&gt;&lt;edition&gt;2006/02/01&lt;/edition&gt;&lt;keywords&gt;&lt;keyword&gt;Buffers&lt;/keyword&gt;&lt;keyword&gt;Calibration&lt;/keyword&gt;&lt;keyword&gt;Enzyme-Linked Immunosorbent Assay/*methods&lt;/keyword&gt;&lt;keyword&gt;Humans&lt;/keyword&gt;&lt;keyword&gt;Microarray Analysis/*methods&lt;/keyword&gt;&lt;keyword&gt;Reproducibility of Results&lt;/keyword&gt;&lt;keyword&gt;Tumor Markers, Biological/*analysis/*standards&lt;/keyword&gt;&lt;/keywords&gt;&lt;dates&gt;&lt;year&gt;2006&lt;/year&gt;&lt;pub-dates&gt;&lt;date&gt;Feb&lt;/date&gt;&lt;/pub-dates&gt;&lt;/dates&gt;&lt;isbn&gt;1744-8387 (Electronic)&amp;#xD;1478-9450 (Linking)&lt;/isbn&gt;&lt;accession-num&gt;16445349&lt;/accession-num&gt;&lt;urls&gt;&lt;related-urls&gt;&lt;url&gt;http://www.ncbi.nlm.nih.gov/pubmed/16445349&lt;/url&gt;&lt;/related-urls&gt;&lt;/urls&gt;&lt;electronic-resource-num&gt;10.1586/14789450.3.1.37&lt;/electronic-resource-num&gt;&lt;language&gt;eng&lt;/language&gt;&lt;/record&gt;&lt;/Cite&gt;&lt;/EndNote&gt;</w:instrText>
      </w:r>
      <w:r w:rsidR="00582F66">
        <w:rPr>
          <w:color w:val="000000"/>
        </w:rPr>
        <w:fldChar w:fldCharType="separate"/>
      </w:r>
      <w:r w:rsidR="00582F66">
        <w:rPr>
          <w:noProof/>
          <w:color w:val="000000"/>
        </w:rPr>
        <w:t>(</w:t>
      </w:r>
      <w:hyperlink w:anchor="_ENREF_461" w:tooltip="Zangar, 2006 #5656" w:history="1">
        <w:r w:rsidR="004A784D">
          <w:rPr>
            <w:noProof/>
            <w:color w:val="000000"/>
          </w:rPr>
          <w:t>Zangar et al., 2006</w:t>
        </w:r>
      </w:hyperlink>
      <w:r w:rsidR="00582F66">
        <w:rPr>
          <w:noProof/>
          <w:color w:val="000000"/>
        </w:rPr>
        <w:t>)</w:t>
      </w:r>
      <w:r w:rsidR="00582F66">
        <w:rPr>
          <w:color w:val="000000"/>
        </w:rPr>
        <w:fldChar w:fldCharType="end"/>
      </w:r>
      <w:r w:rsidR="00301255" w:rsidRPr="00873C4C">
        <w:rPr>
          <w:color w:val="000000"/>
        </w:rPr>
        <w:t xml:space="preserve">. There are two main variations on this method: The ELISA can be used to detect the presence of antigens that are recognized by an antibody or it can be used to test for antibodies that recognize an antigen. An ELISA is a five-step procedure: 1) coat the microtiter plate wells with antigen; 2) block all unbound sites to prevent false positive results; 3) add antibody to the wells; 4) add anti-mouse IgG conjugated to an enzyme; 5) reaction of a substrate with the enzyme to produce a </w:t>
      </w:r>
      <w:r w:rsidR="00647448" w:rsidRPr="00873C4C">
        <w:rPr>
          <w:color w:val="000000"/>
        </w:rPr>
        <w:t>coloured</w:t>
      </w:r>
      <w:r w:rsidR="00301255" w:rsidRPr="00873C4C">
        <w:rPr>
          <w:color w:val="000000"/>
        </w:rPr>
        <w:t xml:space="preserve"> product, thus indicating a positive reaction. There are many different types of ELISAs. One of the most common ty</w:t>
      </w:r>
      <w:r w:rsidR="002908A3">
        <w:rPr>
          <w:color w:val="000000"/>
        </w:rPr>
        <w:t>pes of ELISA is "sandwich ELISA</w:t>
      </w:r>
      <w:r w:rsidR="00301255" w:rsidRPr="00873C4C">
        <w:rPr>
          <w:color w:val="000000"/>
        </w:rPr>
        <w:t>"</w:t>
      </w:r>
      <w:r w:rsidR="00582F66">
        <w:rPr>
          <w:color w:val="000000"/>
        </w:rPr>
        <w:t xml:space="preserve"> </w:t>
      </w:r>
      <w:r w:rsidR="00582F66">
        <w:rPr>
          <w:color w:val="000000"/>
        </w:rPr>
        <w:fldChar w:fldCharType="begin"/>
      </w:r>
      <w:r w:rsidR="00582F66">
        <w:rPr>
          <w:color w:val="000000"/>
        </w:rPr>
        <w:instrText xml:space="preserve"> ADDIN EN.CITE &lt;EndNote&gt;&lt;Cite&gt;&lt;Author&gt;Gallo&lt;/Author&gt;&lt;Year&gt;2008&lt;/Year&gt;&lt;RecNum&gt;5591&lt;/RecNum&gt;&lt;DisplayText&gt;(Gallo et al., 2008)&lt;/DisplayText&gt;&lt;record&gt;&lt;rec-number&gt;5591&lt;/rec-number&gt;&lt;foreign-keys&gt;&lt;key app="EN" db-id="zf0awxsaczrdd3eft5qvw9wrtxxawdfrvw2a"&gt;5591&lt;/key&gt;&lt;/foreign-keys&gt;&lt;ref-type name="Journal Article"&gt;17&lt;/ref-type&gt;&lt;contributors&gt;&lt;authors&gt;&lt;author&gt;Gallo, V.&lt;/author&gt;&lt;author&gt;Khan, A.&lt;/author&gt;&lt;author&gt;Gonzales, C.&lt;/author&gt;&lt;author&gt;Phillips, D. H.&lt;/author&gt;&lt;author&gt;Schoket, B.&lt;/author&gt;&lt;author&gt;Gyorffy, E.&lt;/author&gt;&lt;author&gt;Anna, L.&lt;/author&gt;&lt;author&gt;Kovacs, K.&lt;/author&gt;&lt;author&gt;Moller, P.&lt;/author&gt;&lt;author&gt;Loft, S.&lt;/author&gt;&lt;author&gt;Kyrtopoulos, S.&lt;/author&gt;&lt;author&gt;Matullo, G.&lt;/author&gt;&lt;author&gt;Vineis, P.&lt;/author&gt;&lt;/authors&gt;&lt;/contributors&gt;&lt;auth-address&gt;Department of Epidemiology and Public Health, Imperial College London, London, UK.&lt;/auth-address&gt;&lt;titles&gt;&lt;title&gt;Validation of biomarkers for the study of environmental carcinogens: a review&lt;/title&gt;&lt;secondary-title&gt;Biomarkers&lt;/secondary-title&gt;&lt;/titles&gt;&lt;periodical&gt;&lt;full-title&gt;Biomarkers&lt;/full-title&gt;&lt;/periodical&gt;&lt;pages&gt;505-34&lt;/pages&gt;&lt;volume&gt;13&lt;/volume&gt;&lt;number&gt;5&lt;/number&gt;&lt;edition&gt;2008/11/04&lt;/edition&gt;&lt;keywords&gt;&lt;keyword&gt;Biological Markers/*analysis&lt;/keyword&gt;&lt;keyword&gt;Carcinogens, Environmental/*analysis&lt;/keyword&gt;&lt;keyword&gt;DNA Adducts&lt;/keyword&gt;&lt;keyword&gt;DNA Damage&lt;/keyword&gt;&lt;keyword&gt;Dose-Response Relationship, Drug&lt;/keyword&gt;&lt;keyword&gt;Enzyme-Linked Immunosorbent Assay&lt;/keyword&gt;&lt;keyword&gt;Humans&lt;/keyword&gt;&lt;keyword&gt;Oxidative Stress&lt;/keyword&gt;&lt;/keywords&gt;&lt;dates&gt;&lt;year&gt;2008&lt;/year&gt;&lt;pub-dates&gt;&lt;date&gt;Aug&lt;/date&gt;&lt;/pub-dates&gt;&lt;/dates&gt;&lt;isbn&gt;1354-750X (Print)&amp;#xD;1354-750X (Linking)&lt;/isbn&gt;&lt;accession-num&gt;18979642&lt;/accession-num&gt;&lt;urls&gt;&lt;related-urls&gt;&lt;url&gt;http://www.ncbi.nlm.nih.gov/pubmed/18979642&lt;/url&gt;&lt;/related-urls&gt;&lt;/urls&gt;&lt;language&gt;eng&lt;/language&gt;&lt;/record&gt;&lt;/Cite&gt;&lt;/EndNote&gt;</w:instrText>
      </w:r>
      <w:r w:rsidR="00582F66">
        <w:rPr>
          <w:color w:val="000000"/>
        </w:rPr>
        <w:fldChar w:fldCharType="separate"/>
      </w:r>
      <w:r w:rsidR="00582F66">
        <w:rPr>
          <w:noProof/>
          <w:color w:val="000000"/>
        </w:rPr>
        <w:t>(</w:t>
      </w:r>
      <w:hyperlink w:anchor="_ENREF_132" w:tooltip="Gallo, 2008 #5591" w:history="1">
        <w:r w:rsidR="004A784D">
          <w:rPr>
            <w:noProof/>
            <w:color w:val="000000"/>
          </w:rPr>
          <w:t>Gallo et al., 2008</w:t>
        </w:r>
      </w:hyperlink>
      <w:r w:rsidR="00582F66">
        <w:rPr>
          <w:noProof/>
          <w:color w:val="000000"/>
        </w:rPr>
        <w:t>)</w:t>
      </w:r>
      <w:r w:rsidR="00582F66">
        <w:rPr>
          <w:color w:val="000000"/>
        </w:rPr>
        <w:fldChar w:fldCharType="end"/>
      </w:r>
      <w:r w:rsidR="002908A3">
        <w:rPr>
          <w:color w:val="000000"/>
        </w:rPr>
        <w:t>.</w:t>
      </w:r>
    </w:p>
    <w:p w:rsidR="00301255" w:rsidRPr="00873C4C" w:rsidRDefault="00B569B5" w:rsidP="00057B42">
      <w:pPr>
        <w:pStyle w:val="Heading5"/>
        <w:spacing w:line="360" w:lineRule="auto"/>
      </w:pPr>
      <w:r>
        <w:lastRenderedPageBreak/>
        <w:tab/>
      </w:r>
      <w:r w:rsidR="00301255" w:rsidRPr="00873C4C">
        <w:t>Other Validation method</w:t>
      </w:r>
    </w:p>
    <w:p w:rsidR="00C241AC" w:rsidRDefault="00301255" w:rsidP="00183FFD">
      <w:pPr>
        <w:spacing w:before="240" w:line="360" w:lineRule="auto"/>
        <w:jc w:val="both"/>
        <w:rPr>
          <w:color w:val="000000"/>
        </w:rPr>
      </w:pPr>
      <w:r w:rsidRPr="00873C4C">
        <w:rPr>
          <w:color w:val="000000"/>
        </w:rPr>
        <w:t>Beside ELISA, t</w:t>
      </w:r>
      <w:r w:rsidR="00676041" w:rsidRPr="00873C4C">
        <w:rPr>
          <w:color w:val="000000"/>
        </w:rPr>
        <w:t xml:space="preserve">ypically hundreds of patient specimens are included in studies that are then screened using sensitive immuno techniques, such as radioimmunoassay (RIA) or and IHC, in case of tumour biopsies </w:t>
      </w:r>
      <w:r w:rsidR="00676041" w:rsidRPr="00873C4C">
        <w:rPr>
          <w:color w:val="000000"/>
        </w:rPr>
        <w:fldChar w:fldCharType="begin">
          <w:fldData xml:space="preserve">PEVuZE5vdGU+PENpdGU+PEF1dGhvcj5aYW5nYXI8L0F1dGhvcj48WWVhcj4yMDA2PC9ZZWFyPjxS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</w:fldData>
        </w:fldChar>
      </w:r>
      <w:r w:rsidR="00582F66">
        <w:rPr>
          <w:color w:val="000000"/>
        </w:rPr>
        <w:instrText xml:space="preserve"> ADDIN EN.CITE </w:instrText>
      </w:r>
      <w:r w:rsidR="00582F66">
        <w:rPr>
          <w:color w:val="000000"/>
        </w:rPr>
        <w:fldChar w:fldCharType="begin">
          <w:fldData xml:space="preserve">PEVuZE5vdGU+PENpdGU+PEF1dGhvcj5aYW5nYXI8L0F1dGhvcj48WWVhcj4yMDA2PC9ZZWFyPjxS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</w:fldData>
        </w:fldChar>
      </w:r>
      <w:r w:rsidR="00582F66">
        <w:rPr>
          <w:color w:val="000000"/>
        </w:rPr>
        <w:instrText xml:space="preserve"> ADDIN EN.CITE.DATA </w:instrText>
      </w:r>
      <w:r w:rsidR="00582F66">
        <w:rPr>
          <w:color w:val="000000"/>
        </w:rPr>
      </w:r>
      <w:r w:rsidR="00582F66">
        <w:rPr>
          <w:color w:val="000000"/>
        </w:rPr>
        <w:fldChar w:fldCharType="end"/>
      </w:r>
      <w:r w:rsidR="00676041" w:rsidRPr="00873C4C">
        <w:rPr>
          <w:color w:val="000000"/>
        </w:rPr>
      </w:r>
      <w:r w:rsidR="00676041" w:rsidRPr="00873C4C">
        <w:rPr>
          <w:color w:val="000000"/>
        </w:rPr>
        <w:fldChar w:fldCharType="separate"/>
      </w:r>
      <w:r w:rsidR="006F41FE">
        <w:rPr>
          <w:noProof/>
          <w:color w:val="000000"/>
        </w:rPr>
        <w:t>(</w:t>
      </w:r>
      <w:hyperlink w:anchor="_ENREF_461" w:tooltip="Zangar, 2006 #5656" w:history="1">
        <w:r w:rsidR="004A784D">
          <w:rPr>
            <w:noProof/>
            <w:color w:val="000000"/>
          </w:rPr>
          <w:t>Zangar et al., 2006</w:t>
        </w:r>
      </w:hyperlink>
      <w:r w:rsidR="006F41FE">
        <w:rPr>
          <w:noProof/>
          <w:color w:val="000000"/>
        </w:rPr>
        <w:t xml:space="preserve">, </w:t>
      </w:r>
      <w:hyperlink w:anchor="_ENREF_477" w:tooltip="Zlobec, 2007 #25" w:history="1">
        <w:r w:rsidR="004A784D">
          <w:rPr>
            <w:noProof/>
            <w:color w:val="000000"/>
          </w:rPr>
          <w:t>Zlobec et al., 2007</w:t>
        </w:r>
      </w:hyperlink>
      <w:r w:rsidR="006F41FE">
        <w:rPr>
          <w:noProof/>
          <w:color w:val="000000"/>
        </w:rPr>
        <w:t>)</w:t>
      </w:r>
      <w:r w:rsidR="00676041" w:rsidRPr="00873C4C">
        <w:rPr>
          <w:color w:val="000000"/>
        </w:rPr>
        <w:fldChar w:fldCharType="end"/>
      </w:r>
      <w:r w:rsidR="00676041" w:rsidRPr="00873C4C">
        <w:rPr>
          <w:color w:val="000000"/>
        </w:rPr>
        <w:t xml:space="preserve">. </w:t>
      </w:r>
      <w:r w:rsidR="00337132" w:rsidRPr="00873C4C">
        <w:rPr>
          <w:color w:val="000000"/>
        </w:rPr>
        <w:t xml:space="preserve">Quantitative MS analysis using multiple reaction monitoring (MRM) presents a convincing alternative to ELISA or IHC based studies </w:t>
      </w:r>
      <w:r w:rsidR="00337132" w:rsidRPr="00873C4C">
        <w:rPr>
          <w:color w:val="000000"/>
        </w:rPr>
        <w:fldChar w:fldCharType="begin"/>
      </w:r>
      <w:r w:rsidR="006F41FE">
        <w:rPr>
          <w:color w:val="000000"/>
        </w:rPr>
        <w:instrText xml:space="preserve"> ADDIN EN.CITE &lt;EndNote&gt;&lt;Cite&gt;&lt;Author&gt;Kitteringham&lt;/Author&gt;&lt;Year&gt;2008&lt;/Year&gt;&lt;RecNum&gt;1&lt;/RecNum&gt;&lt;DisplayText&gt;(Kitteringham et al., 2008)&lt;/DisplayText&gt;&lt;record&gt;&lt;rec-number&gt;1&lt;/rec-number&gt;&lt;ref-type name="Journal Article"&gt;17&lt;/ref-type&gt;&lt;contributors&gt;&lt;authors&gt;&lt;author&gt;Kitteringham, N. R.&lt;/author&gt;&lt;author&gt;Jenkins, R. E.&lt;/author&gt;&lt;author&gt;Lane, C. S.&lt;/author&gt;&lt;author&gt;Elliott, V. L.&lt;/author&gt;&lt;author&gt;Park, B. K.&lt;/author&gt;&lt;/authors&gt;&lt;/contributors&gt;&lt;auth-address&gt;MRC Centre for Drug Safety Science, Department of Pharmacology, University of Liverpool, The Sherrington Building, Ashton Street, Liverpool, UK.&lt;/auth-address&gt;&lt;titles&gt;&lt;title&gt;Multiple reaction monitoring for quantitative biomarker analysis in proteomics and metabolomics&lt;/title&gt;&lt;secondary-title&gt;J Chromatogr B Analyt Technol Biomed Life Sci&lt;/secondary-title&gt;&lt;/titles&gt;&lt;dates&gt;&lt;year&gt;2008&lt;/year&gt;&lt;pub-dates&gt;&lt;date&gt;Nov 14&lt;/date&gt;&lt;/pub-dates&gt;&lt;/dates&gt;&lt;accession-num&gt;19041286&lt;/accession-num&gt;&lt;urls&gt;&lt;related-urls&gt;&lt;url&gt;http://www.ncbi.nlm.nih.gov/entrez/query.fcgi?cmd=Retrieve&amp;amp;db=PubMed&amp;amp;dopt=Citation&amp;amp;list_uids=19041286 &lt;/url&gt;&lt;/related-urls&gt;&lt;/urls&gt;&lt;/record&gt;&lt;/Cite&gt;&lt;/EndNote&gt;</w:instrText>
      </w:r>
      <w:r w:rsidR="00337132" w:rsidRPr="00873C4C">
        <w:rPr>
          <w:color w:val="000000"/>
        </w:rPr>
        <w:fldChar w:fldCharType="separate"/>
      </w:r>
      <w:r w:rsidR="006F41FE">
        <w:rPr>
          <w:noProof/>
          <w:color w:val="000000"/>
        </w:rPr>
        <w:t>(</w:t>
      </w:r>
      <w:hyperlink w:anchor="_ENREF_213" w:tooltip="Kitteringham, 2008 #1" w:history="1">
        <w:r w:rsidR="004A784D">
          <w:rPr>
            <w:noProof/>
            <w:color w:val="000000"/>
          </w:rPr>
          <w:t>Kitteringham et al., 2008</w:t>
        </w:r>
      </w:hyperlink>
      <w:r w:rsidR="006F41FE">
        <w:rPr>
          <w:noProof/>
          <w:color w:val="000000"/>
        </w:rPr>
        <w:t>)</w:t>
      </w:r>
      <w:r w:rsidR="00337132" w:rsidRPr="00873C4C">
        <w:rPr>
          <w:color w:val="000000"/>
        </w:rPr>
        <w:fldChar w:fldCharType="end"/>
      </w:r>
      <w:r w:rsidR="00337132" w:rsidRPr="00873C4C">
        <w:rPr>
          <w:color w:val="000000"/>
        </w:rPr>
        <w:t>. MRM is a technique that uses multiple stages of mass spectrometry to achieve high levels of sensitivity and specificity in the quantitation of proteins from a complex mixture</w:t>
      </w:r>
      <w:r w:rsidR="007550E5">
        <w:rPr>
          <w:color w:val="000000"/>
        </w:rPr>
        <w:t xml:space="preserve"> </w:t>
      </w:r>
      <w:r w:rsidR="007550E5">
        <w:rPr>
          <w:color w:val="000000"/>
        </w:rPr>
        <w:fldChar w:fldCharType="begin">
          <w:fldData xml:space="preserve">PEVuZE5vdGU+PENpdGU+PEF1dGhvcj5BZGRvbmE8L0F1dGhvcj48WWVhcj4yMDA5PC9ZZWFyPjxS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</w:fldData>
        </w:fldChar>
      </w:r>
      <w:r w:rsidR="007550E5">
        <w:rPr>
          <w:color w:val="000000"/>
        </w:rPr>
        <w:instrText xml:space="preserve"> ADDIN EN.CITE </w:instrText>
      </w:r>
      <w:r w:rsidR="007550E5">
        <w:rPr>
          <w:color w:val="000000"/>
        </w:rPr>
        <w:fldChar w:fldCharType="begin">
          <w:fldData xml:space="preserve">PEVuZE5vdGU+PENpdGU+PEF1dGhvcj5BZGRvbmE8L0F1dGhvcj48WWVhcj4yMDA5PC9ZZWFyPjxS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</w:fldData>
        </w:fldChar>
      </w:r>
      <w:r w:rsidR="007550E5">
        <w:rPr>
          <w:color w:val="000000"/>
        </w:rPr>
        <w:instrText xml:space="preserve"> ADDIN EN.CITE.DATA </w:instrText>
      </w:r>
      <w:r w:rsidR="007550E5">
        <w:rPr>
          <w:color w:val="000000"/>
        </w:rPr>
      </w:r>
      <w:r w:rsidR="007550E5">
        <w:rPr>
          <w:color w:val="000000"/>
        </w:rPr>
        <w:fldChar w:fldCharType="end"/>
      </w:r>
      <w:r w:rsidR="007550E5">
        <w:rPr>
          <w:color w:val="000000"/>
        </w:rPr>
      </w:r>
      <w:r w:rsidR="007550E5">
        <w:rPr>
          <w:color w:val="000000"/>
        </w:rPr>
        <w:fldChar w:fldCharType="separate"/>
      </w:r>
      <w:r w:rsidR="007550E5">
        <w:rPr>
          <w:noProof/>
          <w:color w:val="000000"/>
        </w:rPr>
        <w:t>(</w:t>
      </w:r>
      <w:hyperlink w:anchor="_ENREF_6" w:tooltip="Addona, 2009 #5709" w:history="1">
        <w:r w:rsidR="004A784D">
          <w:rPr>
            <w:noProof/>
            <w:color w:val="000000"/>
          </w:rPr>
          <w:t>Addona et al., 2009</w:t>
        </w:r>
      </w:hyperlink>
      <w:r w:rsidR="007550E5">
        <w:rPr>
          <w:noProof/>
          <w:color w:val="000000"/>
        </w:rPr>
        <w:t xml:space="preserve">, </w:t>
      </w:r>
      <w:hyperlink w:anchor="_ENREF_3" w:tooltip="Abruzzo, 2007 #5712" w:history="1">
        <w:r w:rsidR="004A784D">
          <w:rPr>
            <w:noProof/>
            <w:color w:val="000000"/>
          </w:rPr>
          <w:t>Abruzzo et al., 2007</w:t>
        </w:r>
      </w:hyperlink>
      <w:r w:rsidR="007550E5">
        <w:rPr>
          <w:noProof/>
          <w:color w:val="000000"/>
        </w:rPr>
        <w:t xml:space="preserve">, </w:t>
      </w:r>
      <w:hyperlink w:anchor="_ENREF_325" w:tooltip="Polanski, 2007 #5714" w:history="1">
        <w:r w:rsidR="004A784D">
          <w:rPr>
            <w:noProof/>
            <w:color w:val="000000"/>
          </w:rPr>
          <w:t>Polanski and Anderson, 2007</w:t>
        </w:r>
      </w:hyperlink>
      <w:r w:rsidR="007550E5">
        <w:rPr>
          <w:noProof/>
          <w:color w:val="000000"/>
        </w:rPr>
        <w:t>)</w:t>
      </w:r>
      <w:r w:rsidR="007550E5">
        <w:rPr>
          <w:color w:val="000000"/>
        </w:rPr>
        <w:fldChar w:fldCharType="end"/>
      </w:r>
      <w:r w:rsidR="00337132" w:rsidRPr="00873C4C">
        <w:rPr>
          <w:color w:val="000000"/>
        </w:rPr>
        <w:t xml:space="preserve">. </w:t>
      </w:r>
    </w:p>
    <w:p w:rsidR="00C241AC" w:rsidRDefault="00C241AC" w:rsidP="00057B42">
      <w:pPr>
        <w:spacing w:line="360" w:lineRule="auto"/>
        <w:jc w:val="both"/>
        <w:rPr>
          <w:color w:val="000000"/>
        </w:rPr>
      </w:pPr>
    </w:p>
    <w:p w:rsidR="00337132" w:rsidRPr="00873C4C" w:rsidRDefault="00647448" w:rsidP="00057B42">
      <w:pPr>
        <w:spacing w:line="360" w:lineRule="auto"/>
        <w:jc w:val="both"/>
        <w:rPr>
          <w:color w:val="000000"/>
        </w:rPr>
      </w:pPr>
      <w:r w:rsidRPr="00873C4C">
        <w:rPr>
          <w:color w:val="000000"/>
        </w:rPr>
        <w:t xml:space="preserve">Precise selection of a targeted chromatographically separated peptide in the first </w:t>
      </w:r>
      <w:r w:rsidRPr="00EF1862">
        <w:rPr>
          <w:color w:val="000000"/>
        </w:rPr>
        <w:t>quadrupole</w:t>
      </w:r>
      <w:r w:rsidRPr="00873C4C">
        <w:rPr>
          <w:color w:val="000000"/>
        </w:rPr>
        <w:t xml:space="preserve"> and a specific fragment ion mass in the third quadrupole allow a high degree of specificity to be achieved. </w:t>
      </w:r>
      <w:r w:rsidR="00337132" w:rsidRPr="00873C4C">
        <w:rPr>
          <w:color w:val="000000"/>
        </w:rPr>
        <w:t>Absolute quantitation is achieved through the addition of isotopically-coded internal standards. Specific antibodies with the required affinity and specificity for the targets may not be available to screen for proteins of interest using formats like ELISA and IHC, therefore MRM has become increasingly attractive for detecting proteomic components in a complex mixture.</w:t>
      </w:r>
    </w:p>
    <w:p w:rsidR="002908A3" w:rsidRDefault="002908A3" w:rsidP="00057B42">
      <w:pPr>
        <w:spacing w:line="360" w:lineRule="auto"/>
        <w:jc w:val="both"/>
        <w:rPr>
          <w:color w:val="000000"/>
        </w:rPr>
      </w:pPr>
    </w:p>
    <w:p w:rsidR="00337132" w:rsidRPr="00873C4C" w:rsidRDefault="00337132" w:rsidP="00057B42">
      <w:pPr>
        <w:spacing w:line="360" w:lineRule="auto"/>
        <w:jc w:val="both"/>
        <w:rPr>
          <w:color w:val="000000"/>
        </w:rPr>
      </w:pPr>
      <w:r w:rsidRPr="00873C4C">
        <w:rPr>
          <w:color w:val="000000"/>
        </w:rPr>
        <w:t xml:space="preserve">Stable isotope standards with capture by </w:t>
      </w:r>
      <w:r w:rsidR="00647448" w:rsidRPr="00873C4C">
        <w:rPr>
          <w:color w:val="000000"/>
        </w:rPr>
        <w:t>anti</w:t>
      </w:r>
      <w:r w:rsidR="00647448">
        <w:rPr>
          <w:color w:val="000000"/>
        </w:rPr>
        <w:t>-</w:t>
      </w:r>
      <w:r w:rsidR="00647448" w:rsidRPr="00873C4C">
        <w:rPr>
          <w:color w:val="000000"/>
        </w:rPr>
        <w:t>peptide</w:t>
      </w:r>
      <w:r w:rsidRPr="00873C4C">
        <w:rPr>
          <w:color w:val="000000"/>
        </w:rPr>
        <w:t xml:space="preserve"> antibodies (SISCAPA), is a new approach for verification/validation of candidate protein biomarkers from proteomics studies </w:t>
      </w:r>
      <w:r w:rsidRPr="00873C4C">
        <w:rPr>
          <w:color w:val="000000"/>
        </w:rPr>
        <w:fldChar w:fldCharType="begin"/>
      </w:r>
      <w:r w:rsidR="006F41FE">
        <w:rPr>
          <w:color w:val="000000"/>
        </w:rPr>
        <w:instrText xml:space="preserve"> ADDIN EN.CITE &lt;EndNote&gt;&lt;Cite&gt;&lt;Author&gt;Anderson&lt;/Author&gt;&lt;Year&gt;2009&lt;/Year&gt;&lt;RecNum&gt;1&lt;/RecNum&gt;&lt;DisplayText&gt;(Anderson et al., 2009)&lt;/DisplayText&gt;&lt;record&gt;&lt;rec-number&gt;1&lt;/rec-number&gt;&lt;ref-type name="Journal Article"&gt;17&lt;/ref-type&gt;&lt;contributors&gt;&lt;authors&gt;&lt;author&gt;Anderson, N. L.&lt;/author&gt;&lt;author&gt;Jackson, A.&lt;/author&gt;&lt;author&gt;Smith, D.&lt;/author&gt;&lt;author&gt;Hardie, D.&lt;/author&gt;&lt;author&gt;Borchers, C.&lt;/author&gt;&lt;author&gt;Pearson, T. W.&lt;/author&gt;&lt;/authors&gt;&lt;/contributors&gt;&lt;auth-address&gt;Plasma Proteome Institute, Washington, DC 20009-3450.&lt;/auth-address&gt;&lt;titles&gt;&lt;title&gt;SISCAPA peptide enrichment on magnetic beads using an inline beadtrap device&lt;/title&gt;&lt;secondary-title&gt;Mol Cell Proteomics&lt;/secondary-title&gt;&lt;/titles&gt;&lt;dates&gt;&lt;year&gt;2009&lt;/year&gt;&lt;pub-dates&gt;&lt;date&gt;Feb 4&lt;/date&gt;&lt;/pub-dates&gt;&lt;/dates&gt;&lt;accession-num&gt;19196707&lt;/accession-num&gt;&lt;urls&gt;&lt;related-urls&gt;&lt;url&gt;http://www.ncbi.nlm.nih.gov/entrez/query.fcgi?cmd=Retrieve&amp;amp;db=PubMed&amp;amp;dopt=Citation&amp;amp;list_uids=19196707 &lt;/url&gt;&lt;/related-urls&gt;&lt;/urls&gt;&lt;/record&gt;&lt;/Cite&gt;&lt;/EndNote&gt;</w:instrText>
      </w:r>
      <w:r w:rsidRPr="00873C4C">
        <w:rPr>
          <w:color w:val="000000"/>
        </w:rPr>
        <w:fldChar w:fldCharType="separate"/>
      </w:r>
      <w:r w:rsidR="006F41FE">
        <w:rPr>
          <w:noProof/>
          <w:color w:val="000000"/>
        </w:rPr>
        <w:t>(</w:t>
      </w:r>
      <w:hyperlink w:anchor="_ENREF_22" w:tooltip="Anderson, 2009 #1" w:history="1">
        <w:r w:rsidR="004A784D">
          <w:rPr>
            <w:noProof/>
            <w:color w:val="000000"/>
          </w:rPr>
          <w:t>Anderson et al., 2009</w:t>
        </w:r>
      </w:hyperlink>
      <w:r w:rsidR="006F41FE">
        <w:rPr>
          <w:noProof/>
          <w:color w:val="000000"/>
        </w:rPr>
        <w:t>)</w:t>
      </w:r>
      <w:r w:rsidRPr="00873C4C">
        <w:rPr>
          <w:color w:val="000000"/>
        </w:rPr>
        <w:fldChar w:fldCharType="end"/>
      </w:r>
      <w:r w:rsidRPr="00873C4C">
        <w:rPr>
          <w:color w:val="000000"/>
        </w:rPr>
        <w:t xml:space="preserve">. In this approach, </w:t>
      </w:r>
      <w:r w:rsidR="00647448" w:rsidRPr="00873C4C">
        <w:rPr>
          <w:color w:val="000000"/>
        </w:rPr>
        <w:t>anti-peptide</w:t>
      </w:r>
      <w:r w:rsidRPr="00873C4C">
        <w:rPr>
          <w:color w:val="000000"/>
        </w:rPr>
        <w:t xml:space="preserve"> antibodies are made against the selected peptides formed by enzymatic digestion of the proteins of interest. These antibodies are then used to enrich specific peptides along with spiked stable-isotope-</w:t>
      </w:r>
      <w:r w:rsidR="00676041" w:rsidRPr="00873C4C">
        <w:rPr>
          <w:color w:val="000000"/>
        </w:rPr>
        <w:t>labelled</w:t>
      </w:r>
      <w:r w:rsidRPr="00873C4C">
        <w:rPr>
          <w:color w:val="000000"/>
        </w:rPr>
        <w:t xml:space="preserve"> internal standards of the same sequence. This fraction containing both biological and synthetic (labelled) peptides of interest can then be </w:t>
      </w:r>
      <w:r w:rsidR="00647448" w:rsidRPr="00873C4C">
        <w:rPr>
          <w:color w:val="000000"/>
        </w:rPr>
        <w:t>analysed</w:t>
      </w:r>
      <w:r w:rsidRPr="00873C4C">
        <w:rPr>
          <w:color w:val="000000"/>
        </w:rPr>
        <w:t xml:space="preserve"> by the MRM process described above</w:t>
      </w:r>
      <w:r w:rsidR="0045713B">
        <w:rPr>
          <w:color w:val="000000"/>
        </w:rPr>
        <w:t xml:space="preserve"> </w:t>
      </w:r>
      <w:r w:rsidR="0045713B">
        <w:rPr>
          <w:color w:val="000000"/>
        </w:rPr>
        <w:fldChar w:fldCharType="begin">
          <w:fldData xml:space="preserve">PEVuZE5vdGU+PENpdGU+PEF1dGhvcj5BYnJ1enpvPC9BdXRob3I+PFllYXI+MjAwNzwvWWVhcj48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</w:fldData>
        </w:fldChar>
      </w:r>
      <w:r w:rsidR="0045713B">
        <w:rPr>
          <w:color w:val="000000"/>
        </w:rPr>
        <w:instrText xml:space="preserve"> ADDIN EN.CITE </w:instrText>
      </w:r>
      <w:r w:rsidR="0045713B">
        <w:rPr>
          <w:color w:val="000000"/>
        </w:rPr>
        <w:fldChar w:fldCharType="begin">
          <w:fldData xml:space="preserve">PEVuZE5vdGU+PENpdGU+PEF1dGhvcj5BYnJ1enpvPC9BdXRob3I+PFllYXI+MjAwNzwvWWVhcj48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</w:fldData>
        </w:fldChar>
      </w:r>
      <w:r w:rsidR="0045713B">
        <w:rPr>
          <w:color w:val="000000"/>
        </w:rPr>
        <w:instrText xml:space="preserve"> ADDIN EN.CITE.DATA </w:instrText>
      </w:r>
      <w:r w:rsidR="0045713B">
        <w:rPr>
          <w:color w:val="000000"/>
        </w:rPr>
      </w:r>
      <w:r w:rsidR="0045713B">
        <w:rPr>
          <w:color w:val="000000"/>
        </w:rPr>
        <w:fldChar w:fldCharType="end"/>
      </w:r>
      <w:r w:rsidR="0045713B">
        <w:rPr>
          <w:color w:val="000000"/>
        </w:rPr>
      </w:r>
      <w:r w:rsidR="0045713B">
        <w:rPr>
          <w:color w:val="000000"/>
        </w:rPr>
        <w:fldChar w:fldCharType="separate"/>
      </w:r>
      <w:r w:rsidR="0045713B">
        <w:rPr>
          <w:noProof/>
          <w:color w:val="000000"/>
        </w:rPr>
        <w:t>(</w:t>
      </w:r>
      <w:hyperlink w:anchor="_ENREF_3" w:tooltip="Abruzzo, 2007 #5712" w:history="1">
        <w:r w:rsidR="004A784D">
          <w:rPr>
            <w:noProof/>
            <w:color w:val="000000"/>
          </w:rPr>
          <w:t>Abruzzo et al., 2007</w:t>
        </w:r>
      </w:hyperlink>
      <w:r w:rsidR="0045713B">
        <w:rPr>
          <w:noProof/>
          <w:color w:val="000000"/>
        </w:rPr>
        <w:t>)</w:t>
      </w:r>
      <w:r w:rsidR="0045713B">
        <w:rPr>
          <w:color w:val="000000"/>
        </w:rPr>
        <w:fldChar w:fldCharType="end"/>
      </w:r>
      <w:r w:rsidR="007550E5">
        <w:rPr>
          <w:color w:val="000000"/>
        </w:rPr>
        <w:t xml:space="preserve"> </w:t>
      </w:r>
      <w:r w:rsidRPr="00873C4C">
        <w:rPr>
          <w:color w:val="000000"/>
        </w:rPr>
        <w:t xml:space="preserve">. </w:t>
      </w:r>
    </w:p>
    <w:p w:rsidR="009B73EA" w:rsidRDefault="009B73EA" w:rsidP="00057B42">
      <w:pPr>
        <w:spacing w:line="360" w:lineRule="auto"/>
        <w:jc w:val="both"/>
        <w:rPr>
          <w:color w:val="000000"/>
        </w:rPr>
      </w:pPr>
    </w:p>
    <w:p w:rsidR="00202F41" w:rsidRDefault="00202F41" w:rsidP="00057B42">
      <w:pPr>
        <w:spacing w:after="240" w:line="360" w:lineRule="auto"/>
        <w:jc w:val="center"/>
        <w:rPr>
          <w:b/>
          <w:color w:val="000000"/>
          <w:sz w:val="72"/>
          <w:lang w:eastAsia="en-US"/>
        </w:rPr>
      </w:pPr>
    </w:p>
    <w:p w:rsidR="00EF3E20" w:rsidRDefault="00EF3E20" w:rsidP="00057B42">
      <w:pPr>
        <w:spacing w:after="240" w:line="360" w:lineRule="auto"/>
        <w:jc w:val="center"/>
        <w:rPr>
          <w:b/>
          <w:color w:val="000000"/>
          <w:sz w:val="72"/>
          <w:lang w:eastAsia="en-US"/>
        </w:rPr>
      </w:pPr>
    </w:p>
    <w:p w:rsidR="00D81086" w:rsidRDefault="00D81086" w:rsidP="00057B42">
      <w:pPr>
        <w:spacing w:after="240" w:line="360" w:lineRule="auto"/>
        <w:jc w:val="center"/>
        <w:rPr>
          <w:b/>
          <w:color w:val="000000"/>
          <w:sz w:val="72"/>
          <w:lang w:eastAsia="en-US"/>
        </w:rPr>
      </w:pPr>
    </w:p>
    <w:p w:rsidR="00D81086" w:rsidRDefault="00D81086" w:rsidP="00057B42">
      <w:pPr>
        <w:spacing w:after="240" w:line="360" w:lineRule="auto"/>
        <w:jc w:val="center"/>
        <w:rPr>
          <w:b/>
          <w:color w:val="000000"/>
          <w:sz w:val="72"/>
          <w:lang w:eastAsia="en-US"/>
        </w:rPr>
      </w:pPr>
    </w:p>
    <w:p w:rsidR="00E53409" w:rsidRDefault="00E53409" w:rsidP="00057B42">
      <w:pPr>
        <w:spacing w:after="240" w:line="360" w:lineRule="auto"/>
        <w:jc w:val="center"/>
        <w:rPr>
          <w:b/>
          <w:color w:val="000000"/>
          <w:sz w:val="72"/>
          <w:lang w:eastAsia="en-US"/>
        </w:rPr>
      </w:pPr>
    </w:p>
    <w:p w:rsidR="00202F41" w:rsidRDefault="00202F41" w:rsidP="00057B42">
      <w:pPr>
        <w:spacing w:after="240" w:line="360" w:lineRule="auto"/>
        <w:jc w:val="center"/>
        <w:rPr>
          <w:b/>
          <w:color w:val="000000"/>
          <w:sz w:val="72"/>
          <w:lang w:eastAsia="en-US"/>
        </w:rPr>
      </w:pPr>
      <w:r w:rsidRPr="00720963">
        <w:rPr>
          <w:b/>
          <w:color w:val="000000"/>
          <w:sz w:val="72"/>
          <w:lang w:eastAsia="en-US"/>
        </w:rPr>
        <w:t>Aims of study</w:t>
      </w:r>
    </w:p>
    <w:p w:rsidR="00202F41" w:rsidRDefault="00202F41" w:rsidP="00057B42">
      <w:pPr>
        <w:spacing w:line="360" w:lineRule="auto"/>
        <w:rPr>
          <w:b/>
          <w:color w:val="000000"/>
          <w:sz w:val="72"/>
          <w:lang w:eastAsia="en-US"/>
        </w:rPr>
      </w:pPr>
      <w:r>
        <w:rPr>
          <w:b/>
          <w:color w:val="000000"/>
          <w:sz w:val="72"/>
          <w:lang w:eastAsia="en-US"/>
        </w:rPr>
        <w:br w:type="page"/>
      </w:r>
    </w:p>
    <w:p w:rsidR="00202F41" w:rsidRDefault="00202F41" w:rsidP="00645687">
      <w:pPr>
        <w:pStyle w:val="Heading2"/>
      </w:pPr>
      <w:bookmarkStart w:id="559" w:name="_Toc306570523"/>
      <w:bookmarkStart w:id="560" w:name="_Toc312169216"/>
      <w:bookmarkStart w:id="561" w:name="_Toc312172143"/>
      <w:bookmarkStart w:id="562" w:name="_Toc312257692"/>
      <w:r w:rsidRPr="00873C4C">
        <w:lastRenderedPageBreak/>
        <w:t>Aims of study</w:t>
      </w:r>
      <w:bookmarkEnd w:id="559"/>
      <w:bookmarkEnd w:id="560"/>
      <w:bookmarkEnd w:id="561"/>
      <w:bookmarkEnd w:id="562"/>
    </w:p>
    <w:p w:rsidR="00202F41" w:rsidRPr="00873C4C" w:rsidRDefault="00202F41" w:rsidP="00057B42">
      <w:pPr>
        <w:spacing w:line="360" w:lineRule="auto"/>
        <w:rPr>
          <w:lang w:eastAsia="en-US"/>
        </w:rPr>
      </w:pPr>
    </w:p>
    <w:p w:rsidR="00202F41" w:rsidRPr="00873C4C" w:rsidRDefault="00202F41" w:rsidP="00057B42">
      <w:pPr>
        <w:spacing w:line="360" w:lineRule="auto"/>
        <w:rPr>
          <w:color w:val="000000"/>
          <w:lang w:eastAsia="en-US"/>
        </w:rPr>
      </w:pPr>
    </w:p>
    <w:p w:rsidR="00202F41" w:rsidRDefault="00202F41" w:rsidP="00057B42">
      <w:pPr>
        <w:numPr>
          <w:ilvl w:val="0"/>
          <w:numId w:val="5"/>
        </w:numPr>
        <w:spacing w:after="240" w:line="360" w:lineRule="auto"/>
        <w:contextualSpacing/>
        <w:jc w:val="both"/>
        <w:rPr>
          <w:rFonts w:eastAsia="Times New Roman"/>
          <w:color w:val="000000"/>
          <w:lang w:eastAsia="en-US"/>
        </w:rPr>
      </w:pPr>
      <w:r w:rsidRPr="00873C4C">
        <w:rPr>
          <w:rFonts w:eastAsia="Times New Roman"/>
          <w:color w:val="000000"/>
          <w:lang w:eastAsia="en-US"/>
        </w:rPr>
        <w:t>To perform proteomic profiling of serum from multiple myel</w:t>
      </w:r>
      <w:r>
        <w:rPr>
          <w:rFonts w:eastAsia="Times New Roman"/>
          <w:color w:val="000000"/>
          <w:lang w:eastAsia="en-US"/>
        </w:rPr>
        <w:t>oma patients with a view to bio</w:t>
      </w:r>
      <w:r w:rsidRPr="00873C4C">
        <w:rPr>
          <w:rFonts w:eastAsia="Times New Roman"/>
          <w:color w:val="000000"/>
          <w:lang w:eastAsia="en-US"/>
        </w:rPr>
        <w:t xml:space="preserve">marker discovery; in particular to </w:t>
      </w:r>
      <w:r w:rsidR="009F6A1E">
        <w:rPr>
          <w:rFonts w:eastAsia="Times New Roman"/>
          <w:color w:val="000000"/>
          <w:lang w:eastAsia="en-US"/>
        </w:rPr>
        <w:t>describe</w:t>
      </w:r>
      <w:r w:rsidRPr="00873C4C">
        <w:rPr>
          <w:rFonts w:eastAsia="Times New Roman"/>
          <w:color w:val="000000"/>
          <w:lang w:eastAsia="en-US"/>
        </w:rPr>
        <w:t xml:space="preserve"> a panel predictive of response to thalidomide based therapy (Personalized medicine).</w:t>
      </w:r>
    </w:p>
    <w:p w:rsidR="00EF3E20" w:rsidRDefault="00EF3E20" w:rsidP="00057B42">
      <w:pPr>
        <w:spacing w:after="240" w:line="360" w:lineRule="auto"/>
        <w:ind w:left="360"/>
        <w:contextualSpacing/>
        <w:jc w:val="both"/>
        <w:rPr>
          <w:rFonts w:eastAsia="Times New Roman"/>
          <w:color w:val="000000"/>
          <w:lang w:eastAsia="en-US"/>
        </w:rPr>
      </w:pPr>
    </w:p>
    <w:p w:rsidR="00202F41" w:rsidRDefault="00202F41" w:rsidP="00057B42">
      <w:pPr>
        <w:numPr>
          <w:ilvl w:val="0"/>
          <w:numId w:val="5"/>
        </w:numPr>
        <w:spacing w:before="240" w:after="240" w:line="360" w:lineRule="auto"/>
        <w:contextualSpacing/>
        <w:jc w:val="both"/>
        <w:rPr>
          <w:rFonts w:eastAsia="Times New Roman"/>
          <w:color w:val="000000"/>
          <w:lang w:eastAsia="en-US"/>
        </w:rPr>
      </w:pPr>
      <w:r w:rsidRPr="00873C4C">
        <w:rPr>
          <w:rFonts w:eastAsia="Times New Roman"/>
          <w:color w:val="000000"/>
          <w:lang w:eastAsia="en-US"/>
        </w:rPr>
        <w:t xml:space="preserve">To confirm accuracy and reproducibility of these biomarker panel using ELISA based assay on raw unfractionated serum samples from the original cohort of patients. </w:t>
      </w:r>
    </w:p>
    <w:p w:rsidR="00EF3E20" w:rsidRDefault="00EF3E20" w:rsidP="00057B42">
      <w:pPr>
        <w:pStyle w:val="ListParagraph"/>
        <w:spacing w:line="360" w:lineRule="auto"/>
        <w:jc w:val="both"/>
        <w:rPr>
          <w:color w:val="000000"/>
        </w:rPr>
      </w:pPr>
    </w:p>
    <w:p w:rsidR="00202F41" w:rsidRDefault="00202F41" w:rsidP="00057B42">
      <w:pPr>
        <w:numPr>
          <w:ilvl w:val="0"/>
          <w:numId w:val="5"/>
        </w:numPr>
        <w:spacing w:after="240" w:line="360" w:lineRule="auto"/>
        <w:contextualSpacing/>
        <w:jc w:val="both"/>
        <w:rPr>
          <w:rFonts w:eastAsia="Times New Roman"/>
          <w:color w:val="000000"/>
          <w:lang w:eastAsia="en-US"/>
        </w:rPr>
      </w:pPr>
      <w:r w:rsidRPr="00873C4C">
        <w:rPr>
          <w:rFonts w:eastAsia="Times New Roman"/>
          <w:color w:val="000000"/>
          <w:lang w:eastAsia="en-US"/>
        </w:rPr>
        <w:t>To undertake quantification of discovered novel protein biomarkers in the serum of original cohort of patients, three months after initiation of anti-myeloma therapy (Day-100) using ELISA based assay on unfractionated serum samples (as a more robust approach likely to be applicable in most clinical laboratories).</w:t>
      </w:r>
    </w:p>
    <w:p w:rsidR="00EF3E20" w:rsidRDefault="00EF3E20" w:rsidP="00057B42">
      <w:pPr>
        <w:pStyle w:val="ListParagraph"/>
        <w:spacing w:line="360" w:lineRule="auto"/>
        <w:jc w:val="both"/>
        <w:rPr>
          <w:color w:val="000000"/>
        </w:rPr>
      </w:pPr>
    </w:p>
    <w:p w:rsidR="00202F41" w:rsidRDefault="00202F41" w:rsidP="00057B42">
      <w:pPr>
        <w:numPr>
          <w:ilvl w:val="0"/>
          <w:numId w:val="5"/>
        </w:numPr>
        <w:spacing w:after="240" w:line="360" w:lineRule="auto"/>
        <w:contextualSpacing/>
        <w:jc w:val="both"/>
        <w:rPr>
          <w:rFonts w:eastAsia="Times New Roman"/>
          <w:color w:val="000000"/>
          <w:lang w:eastAsia="en-US"/>
        </w:rPr>
      </w:pPr>
      <w:r w:rsidRPr="00873C4C">
        <w:rPr>
          <w:rFonts w:eastAsia="Times New Roman"/>
          <w:color w:val="000000"/>
          <w:lang w:eastAsia="en-US"/>
        </w:rPr>
        <w:t xml:space="preserve">To examine the effect of various storage times </w:t>
      </w:r>
      <w:r w:rsidR="0010315E">
        <w:rPr>
          <w:rFonts w:eastAsia="Times New Roman"/>
          <w:color w:val="000000"/>
          <w:lang w:eastAsia="en-US"/>
        </w:rPr>
        <w:t>and</w:t>
      </w:r>
      <w:r w:rsidRPr="00873C4C">
        <w:rPr>
          <w:rFonts w:eastAsia="Times New Roman"/>
          <w:color w:val="000000"/>
          <w:lang w:eastAsia="en-US"/>
        </w:rPr>
        <w:t xml:space="preserve"> temperatures on the serum levels of the discovered protein biomarkers in multiple myeloma patients</w:t>
      </w:r>
      <w:r w:rsidR="00EF3E20">
        <w:rPr>
          <w:rFonts w:eastAsia="Times New Roman"/>
          <w:color w:val="000000"/>
          <w:lang w:eastAsia="en-US"/>
        </w:rPr>
        <w:t>.</w:t>
      </w:r>
    </w:p>
    <w:p w:rsidR="00EF3E20" w:rsidRDefault="00EF3E20" w:rsidP="00057B42">
      <w:pPr>
        <w:pStyle w:val="ListParagraph"/>
        <w:spacing w:line="360" w:lineRule="auto"/>
        <w:jc w:val="both"/>
        <w:rPr>
          <w:color w:val="000000"/>
        </w:rPr>
      </w:pPr>
    </w:p>
    <w:p w:rsidR="00202F41" w:rsidRDefault="00202F41" w:rsidP="00057B42">
      <w:pPr>
        <w:numPr>
          <w:ilvl w:val="0"/>
          <w:numId w:val="5"/>
        </w:numPr>
        <w:spacing w:after="240" w:line="360" w:lineRule="auto"/>
        <w:contextualSpacing/>
        <w:jc w:val="both"/>
        <w:rPr>
          <w:rFonts w:eastAsia="Times New Roman"/>
          <w:color w:val="000000"/>
          <w:lang w:eastAsia="en-US"/>
        </w:rPr>
      </w:pPr>
      <w:r w:rsidRPr="00873C4C">
        <w:rPr>
          <w:rFonts w:eastAsia="Times New Roman"/>
          <w:color w:val="000000"/>
          <w:lang w:eastAsia="en-US"/>
        </w:rPr>
        <w:t>In a separate strand of the thesis, to attempt quantification of thalidomide level in the serum of multiple myeloma patients and to investigate possible association with response rates to thalidomide-based regimens and associated clinical side effects experienced by patients.</w:t>
      </w:r>
    </w:p>
    <w:p w:rsidR="00202F41" w:rsidRDefault="00202F41" w:rsidP="00057B42">
      <w:pPr>
        <w:pStyle w:val="ListParagraph"/>
        <w:spacing w:line="360" w:lineRule="auto"/>
        <w:jc w:val="both"/>
        <w:rPr>
          <w:color w:val="000000"/>
        </w:rPr>
      </w:pPr>
    </w:p>
    <w:p w:rsidR="00202F41" w:rsidRDefault="00202F41" w:rsidP="00057B42">
      <w:pPr>
        <w:numPr>
          <w:ilvl w:val="0"/>
          <w:numId w:val="5"/>
        </w:numPr>
        <w:spacing w:after="240" w:line="360" w:lineRule="auto"/>
        <w:contextualSpacing/>
        <w:jc w:val="both"/>
        <w:rPr>
          <w:rFonts w:eastAsia="Times New Roman"/>
          <w:color w:val="000000"/>
          <w:lang w:eastAsia="en-US"/>
        </w:rPr>
      </w:pPr>
      <w:r w:rsidRPr="00873C4C">
        <w:rPr>
          <w:rFonts w:eastAsia="Times New Roman"/>
          <w:color w:val="000000"/>
          <w:lang w:eastAsia="en-US"/>
        </w:rPr>
        <w:t>In a small single patient study, to quantify serum VEGF level in a patient with POEM syndrome and to investigate any correlation with disease activity and response to therapy.</w:t>
      </w:r>
    </w:p>
    <w:p w:rsidR="00202F41" w:rsidRDefault="00202F41" w:rsidP="00057B42">
      <w:pPr>
        <w:spacing w:line="360" w:lineRule="auto"/>
        <w:jc w:val="both"/>
        <w:rPr>
          <w:rFonts w:eastAsia="Times New Roman"/>
          <w:color w:val="000000"/>
          <w:lang w:eastAsia="en-US"/>
        </w:rPr>
      </w:pPr>
      <w:r>
        <w:rPr>
          <w:rFonts w:eastAsia="Times New Roman"/>
          <w:color w:val="000000"/>
          <w:lang w:eastAsia="en-US"/>
        </w:rPr>
        <w:br w:type="page"/>
      </w:r>
    </w:p>
    <w:p w:rsidR="008049C3" w:rsidRPr="00873C4C" w:rsidRDefault="008049C3" w:rsidP="00D81086">
      <w:pPr>
        <w:pStyle w:val="Heading1"/>
        <w:ind w:left="0" w:firstLine="0"/>
      </w:pPr>
      <w:bookmarkStart w:id="563" w:name="_Toc306570582"/>
      <w:bookmarkStart w:id="564" w:name="_Toc307067647"/>
      <w:bookmarkStart w:id="565" w:name="_Toc312169217"/>
      <w:bookmarkStart w:id="566" w:name="_Toc312172144"/>
      <w:bookmarkStart w:id="567" w:name="_Toc312257693"/>
      <w:bookmarkEnd w:id="563"/>
      <w:bookmarkEnd w:id="564"/>
      <w:bookmarkEnd w:id="565"/>
      <w:bookmarkEnd w:id="566"/>
      <w:bookmarkEnd w:id="567"/>
    </w:p>
    <w:p w:rsidR="00481030" w:rsidRDefault="00481030" w:rsidP="00057B42">
      <w:pPr>
        <w:spacing w:line="360" w:lineRule="auto"/>
        <w:jc w:val="center"/>
        <w:rPr>
          <w:b/>
          <w:color w:val="000000"/>
          <w:sz w:val="72"/>
          <w:szCs w:val="96"/>
        </w:rPr>
      </w:pPr>
    </w:p>
    <w:p w:rsidR="00E53409" w:rsidRDefault="00E53409" w:rsidP="00057B42">
      <w:pPr>
        <w:spacing w:line="360" w:lineRule="auto"/>
        <w:jc w:val="center"/>
        <w:rPr>
          <w:b/>
          <w:color w:val="000000"/>
          <w:sz w:val="72"/>
          <w:szCs w:val="96"/>
        </w:rPr>
      </w:pPr>
    </w:p>
    <w:p w:rsidR="002D284F" w:rsidRPr="00481030" w:rsidRDefault="002D284F" w:rsidP="00057B42">
      <w:pPr>
        <w:spacing w:line="360" w:lineRule="auto"/>
        <w:jc w:val="center"/>
        <w:rPr>
          <w:b/>
          <w:color w:val="000000"/>
          <w:sz w:val="72"/>
          <w:szCs w:val="96"/>
        </w:rPr>
      </w:pPr>
      <w:r w:rsidRPr="00481030">
        <w:rPr>
          <w:b/>
          <w:color w:val="000000"/>
          <w:sz w:val="72"/>
          <w:szCs w:val="96"/>
        </w:rPr>
        <w:t>Chapter 2</w:t>
      </w:r>
      <w:r w:rsidR="00481030">
        <w:rPr>
          <w:b/>
          <w:color w:val="000000"/>
          <w:sz w:val="72"/>
          <w:szCs w:val="96"/>
        </w:rPr>
        <w:t>.0</w:t>
      </w:r>
    </w:p>
    <w:p w:rsidR="002D284F" w:rsidRPr="00481030" w:rsidRDefault="002D284F" w:rsidP="00057B42">
      <w:pPr>
        <w:spacing w:line="360" w:lineRule="auto"/>
        <w:jc w:val="center"/>
        <w:rPr>
          <w:b/>
          <w:color w:val="000000"/>
          <w:sz w:val="72"/>
          <w:szCs w:val="96"/>
        </w:rPr>
      </w:pPr>
      <w:r w:rsidRPr="00481030">
        <w:rPr>
          <w:b/>
          <w:color w:val="000000"/>
          <w:sz w:val="72"/>
          <w:szCs w:val="96"/>
        </w:rPr>
        <w:t>Material</w:t>
      </w:r>
      <w:r w:rsidR="00921E40">
        <w:rPr>
          <w:b/>
          <w:color w:val="000000"/>
          <w:sz w:val="72"/>
          <w:szCs w:val="96"/>
        </w:rPr>
        <w:t>s</w:t>
      </w:r>
      <w:r w:rsidRPr="00481030">
        <w:rPr>
          <w:b/>
          <w:color w:val="000000"/>
          <w:sz w:val="72"/>
          <w:szCs w:val="96"/>
        </w:rPr>
        <w:t xml:space="preserve"> and </w:t>
      </w:r>
    </w:p>
    <w:p w:rsidR="002D284F" w:rsidRPr="00873C4C" w:rsidRDefault="002D284F" w:rsidP="00057B42">
      <w:pPr>
        <w:spacing w:line="360" w:lineRule="auto"/>
        <w:jc w:val="center"/>
        <w:rPr>
          <w:b/>
          <w:color w:val="000000"/>
          <w:sz w:val="96"/>
          <w:szCs w:val="96"/>
        </w:rPr>
      </w:pPr>
      <w:r w:rsidRPr="00481030">
        <w:rPr>
          <w:b/>
          <w:color w:val="000000"/>
          <w:sz w:val="72"/>
          <w:szCs w:val="96"/>
        </w:rPr>
        <w:t>Methods</w:t>
      </w:r>
    </w:p>
    <w:p w:rsidR="002D284F" w:rsidRPr="00873C4C" w:rsidRDefault="002D284F" w:rsidP="00057B42">
      <w:pPr>
        <w:spacing w:line="360" w:lineRule="auto"/>
        <w:jc w:val="both"/>
        <w:rPr>
          <w:b/>
          <w:color w:val="000000"/>
        </w:rPr>
      </w:pPr>
    </w:p>
    <w:p w:rsidR="002D284F" w:rsidRPr="00873C4C" w:rsidRDefault="002D284F" w:rsidP="00057B42">
      <w:pPr>
        <w:spacing w:line="360" w:lineRule="auto"/>
        <w:jc w:val="both"/>
        <w:rPr>
          <w:b/>
          <w:color w:val="000000"/>
        </w:rPr>
      </w:pPr>
    </w:p>
    <w:p w:rsidR="002D284F" w:rsidRPr="00873C4C" w:rsidRDefault="002D284F" w:rsidP="00057B42">
      <w:pPr>
        <w:spacing w:line="360" w:lineRule="auto"/>
        <w:jc w:val="both"/>
        <w:rPr>
          <w:b/>
          <w:color w:val="000000"/>
        </w:rPr>
      </w:pPr>
    </w:p>
    <w:p w:rsidR="00481030" w:rsidRDefault="00481030" w:rsidP="00057B42">
      <w:pPr>
        <w:spacing w:line="360" w:lineRule="auto"/>
        <w:rPr>
          <w:rFonts w:cs="Arial"/>
          <w:b/>
          <w:bCs/>
          <w:iCs/>
          <w:sz w:val="26"/>
          <w:szCs w:val="26"/>
          <w:lang w:eastAsia="en-US"/>
        </w:rPr>
      </w:pPr>
      <w:r>
        <w:br w:type="page"/>
      </w:r>
    </w:p>
    <w:p w:rsidR="002D284F" w:rsidRDefault="002D284F" w:rsidP="00645687">
      <w:pPr>
        <w:pStyle w:val="Heading2"/>
      </w:pPr>
      <w:r w:rsidRPr="00873C4C">
        <w:lastRenderedPageBreak/>
        <w:tab/>
      </w:r>
      <w:bookmarkStart w:id="568" w:name="_Toc306570583"/>
      <w:bookmarkStart w:id="569" w:name="_Toc307067648"/>
      <w:bookmarkStart w:id="570" w:name="_Toc312169218"/>
      <w:bookmarkStart w:id="571" w:name="_Toc312172145"/>
      <w:bookmarkStart w:id="572" w:name="_Toc312257694"/>
      <w:r w:rsidRPr="00873C4C">
        <w:t>Biological Bank</w:t>
      </w:r>
      <w:bookmarkEnd w:id="568"/>
      <w:bookmarkEnd w:id="569"/>
      <w:bookmarkEnd w:id="570"/>
      <w:bookmarkEnd w:id="571"/>
      <w:bookmarkEnd w:id="572"/>
    </w:p>
    <w:p w:rsidR="004B395A" w:rsidRPr="004B395A" w:rsidRDefault="004B395A" w:rsidP="004B395A">
      <w:pPr>
        <w:rPr>
          <w:lang w:eastAsia="en-US"/>
        </w:rPr>
      </w:pPr>
    </w:p>
    <w:p w:rsidR="002D284F" w:rsidRPr="00873C4C" w:rsidRDefault="002D284F" w:rsidP="00645687">
      <w:pPr>
        <w:pStyle w:val="Heading3"/>
      </w:pPr>
      <w:r w:rsidRPr="00873C4C">
        <w:tab/>
      </w:r>
      <w:bookmarkStart w:id="573" w:name="_Toc306570584"/>
      <w:bookmarkStart w:id="574" w:name="_Toc307067649"/>
      <w:bookmarkStart w:id="575" w:name="_Toc312169219"/>
      <w:bookmarkStart w:id="576" w:name="_Toc312172146"/>
      <w:bookmarkStart w:id="577" w:name="_Toc312257695"/>
      <w:r w:rsidRPr="00873C4C">
        <w:t>Sample Collection</w:t>
      </w:r>
      <w:bookmarkEnd w:id="573"/>
      <w:bookmarkEnd w:id="574"/>
      <w:bookmarkEnd w:id="575"/>
      <w:bookmarkEnd w:id="576"/>
      <w:bookmarkEnd w:id="577"/>
      <w:r w:rsidRPr="00873C4C">
        <w:t xml:space="preserve">  </w:t>
      </w:r>
    </w:p>
    <w:p w:rsidR="002D284F" w:rsidRPr="00873C4C" w:rsidRDefault="002D284F" w:rsidP="00057B42">
      <w:pPr>
        <w:spacing w:line="360" w:lineRule="auto"/>
        <w:jc w:val="both"/>
        <w:rPr>
          <w:color w:val="000000"/>
        </w:rPr>
      </w:pPr>
      <w:r w:rsidRPr="00873C4C">
        <w:rPr>
          <w:color w:val="000000"/>
        </w:rPr>
        <w:t>The bone marrow samples were obtained from patients following informed consent in accordance with the Declaration of Helsinki protocol. In addition to the institutional policies of Mater Misericordiae University and Beaumont Hospital, Dublin which are based on office of the Data Protection Commissioner 2006 ‘Promoting Health Research and Protecting Patient Rights’ and European Union Data Protection Commissioners working through the Article 29 Working Party, which concludes that, in order to be a valid, ‘consent’ must be a “freely given, specific and informed indication of the data subject’s wishes.</w:t>
      </w:r>
    </w:p>
    <w:p w:rsidR="008049C3" w:rsidRPr="00873C4C" w:rsidRDefault="008049C3" w:rsidP="00057B42">
      <w:pPr>
        <w:spacing w:line="360" w:lineRule="auto"/>
        <w:jc w:val="both"/>
        <w:rPr>
          <w:color w:val="000000"/>
        </w:rPr>
      </w:pPr>
    </w:p>
    <w:p w:rsidR="002D284F" w:rsidRPr="00873C4C" w:rsidRDefault="002D284F" w:rsidP="00645687">
      <w:pPr>
        <w:pStyle w:val="Heading3"/>
      </w:pPr>
      <w:r w:rsidRPr="00873C4C">
        <w:tab/>
      </w:r>
      <w:bookmarkStart w:id="578" w:name="_Toc306570585"/>
      <w:bookmarkStart w:id="579" w:name="_Toc307067650"/>
      <w:r w:rsidR="008329E6">
        <w:t xml:space="preserve"> </w:t>
      </w:r>
      <w:bookmarkStart w:id="580" w:name="_Toc312169220"/>
      <w:bookmarkStart w:id="581" w:name="_Toc312172147"/>
      <w:bookmarkStart w:id="582" w:name="_Toc312257696"/>
      <w:r w:rsidRPr="00873C4C">
        <w:t>Informed consent</w:t>
      </w:r>
      <w:bookmarkEnd w:id="578"/>
      <w:bookmarkEnd w:id="579"/>
      <w:bookmarkEnd w:id="580"/>
      <w:bookmarkEnd w:id="581"/>
      <w:bookmarkEnd w:id="582"/>
      <w:r w:rsidRPr="00873C4C">
        <w:t xml:space="preserve"> </w:t>
      </w:r>
    </w:p>
    <w:p w:rsidR="008049C3" w:rsidRPr="00873C4C" w:rsidRDefault="002D284F" w:rsidP="00057B42">
      <w:pPr>
        <w:spacing w:line="360" w:lineRule="auto"/>
        <w:jc w:val="both"/>
        <w:rPr>
          <w:color w:val="000000"/>
        </w:rPr>
      </w:pPr>
      <w:r w:rsidRPr="00873C4C">
        <w:rPr>
          <w:color w:val="000000"/>
        </w:rPr>
        <w:t>In our study, the patients were given an opportunity to explicitly grant or deny informed consent.  The consent were sought in a context where it can be freely given without any sense on the patient’s part that refusal would carry a penalty, whether real or implied, in relation to the medical management they are receiving</w:t>
      </w:r>
      <w:r w:rsidR="008049C3" w:rsidRPr="00873C4C">
        <w:rPr>
          <w:color w:val="000000"/>
        </w:rPr>
        <w:t xml:space="preserve"> (See sample of standard Patients Consent Form, in the appendix section). </w:t>
      </w:r>
    </w:p>
    <w:p w:rsidR="008049C3" w:rsidRPr="00873C4C" w:rsidRDefault="008049C3" w:rsidP="00057B42">
      <w:pPr>
        <w:spacing w:line="360" w:lineRule="auto"/>
        <w:jc w:val="both"/>
        <w:rPr>
          <w:color w:val="000000"/>
        </w:rPr>
      </w:pPr>
    </w:p>
    <w:p w:rsidR="002D284F" w:rsidRPr="00873C4C" w:rsidRDefault="008329E6" w:rsidP="00645687">
      <w:pPr>
        <w:pStyle w:val="Heading3"/>
      </w:pPr>
      <w:bookmarkStart w:id="583" w:name="_Toc306570586"/>
      <w:bookmarkStart w:id="584" w:name="_Toc307067651"/>
      <w:r>
        <w:tab/>
      </w:r>
      <w:bookmarkStart w:id="585" w:name="_Toc312169221"/>
      <w:bookmarkStart w:id="586" w:name="_Toc312172148"/>
      <w:bookmarkStart w:id="587" w:name="_Toc312257697"/>
      <w:r w:rsidR="002D284F" w:rsidRPr="00873C4C">
        <w:t>Patient information leaflet</w:t>
      </w:r>
      <w:bookmarkEnd w:id="583"/>
      <w:bookmarkEnd w:id="584"/>
      <w:bookmarkEnd w:id="585"/>
      <w:bookmarkEnd w:id="586"/>
      <w:bookmarkEnd w:id="587"/>
    </w:p>
    <w:p w:rsidR="002D284F" w:rsidRDefault="002D284F" w:rsidP="00057B42">
      <w:pPr>
        <w:spacing w:line="360" w:lineRule="auto"/>
        <w:jc w:val="both"/>
        <w:rPr>
          <w:color w:val="000000"/>
        </w:rPr>
      </w:pPr>
      <w:r w:rsidRPr="00873C4C">
        <w:rPr>
          <w:color w:val="000000"/>
        </w:rPr>
        <w:t>The Patient information leaflet, Standard Letter to Patients General Practitioner and consent form was prepared according to Mater Misericordiae University and Beaumont Hospital ethical committees. (</w:t>
      </w:r>
      <w:r w:rsidR="008049C3" w:rsidRPr="00873C4C">
        <w:rPr>
          <w:color w:val="000000"/>
        </w:rPr>
        <w:t>See</w:t>
      </w:r>
      <w:r w:rsidRPr="00873C4C">
        <w:rPr>
          <w:color w:val="000000"/>
        </w:rPr>
        <w:t xml:space="preserve"> sample of Patient Information leaflet and Letter to the Patients General Practitioner are in the appendix section). </w:t>
      </w:r>
    </w:p>
    <w:p w:rsidR="00057B42" w:rsidRDefault="00057B42" w:rsidP="00057B42">
      <w:pPr>
        <w:spacing w:line="360" w:lineRule="auto"/>
        <w:jc w:val="both"/>
        <w:rPr>
          <w:color w:val="000000"/>
        </w:rPr>
      </w:pPr>
    </w:p>
    <w:p w:rsidR="00CE1B6F" w:rsidRDefault="00CE1B6F" w:rsidP="00645687">
      <w:pPr>
        <w:pStyle w:val="Heading3"/>
      </w:pPr>
      <w:bookmarkStart w:id="588" w:name="_Toc306570587"/>
      <w:bookmarkStart w:id="589" w:name="_Toc307067652"/>
      <w:r>
        <w:tab/>
      </w:r>
      <w:bookmarkStart w:id="590" w:name="_Toc312169222"/>
      <w:bookmarkStart w:id="591" w:name="_Toc312172149"/>
      <w:bookmarkStart w:id="592" w:name="_Toc312257698"/>
      <w:r>
        <w:t>Safety Precautions</w:t>
      </w:r>
      <w:bookmarkEnd w:id="590"/>
      <w:bookmarkEnd w:id="591"/>
      <w:bookmarkEnd w:id="592"/>
    </w:p>
    <w:p w:rsidR="00CE1B6F" w:rsidRDefault="00CE1B6F" w:rsidP="00057B42">
      <w:pPr>
        <w:spacing w:line="360" w:lineRule="auto"/>
        <w:jc w:val="both"/>
      </w:pPr>
      <w:r>
        <w:t xml:space="preserve">All cell culture work was carried out in a class II down-flow re-circulating laminar flow cabinet (Nuaire Biological Cabinet) and any work, which involved toxic compounds, was carried out in a cytoguard (Gelman). Strict aseptic techniques were adhered to at all times. The laminar flow cabinet was swabbed with 70% industrial methylated spirits (IMS) before and after use, as were all the items used in the </w:t>
      </w:r>
      <w:r>
        <w:lastRenderedPageBreak/>
        <w:t>cabinet. Each cell line (including low and high passage cells) was assigned specific media and waste bottles and only one cell line was used at a time in the cabinet, which, was allowed to clear for 15 min between different cell lines. The cabinet and incubators were cleaned each week with industrial detergents (Virkon, Antec.International; TEGO, TH. Goldschmidt Ltd.). A separate Laboratory coat was kept for aseptic work and gloves were worn at all times during cell work.</w:t>
      </w:r>
    </w:p>
    <w:p w:rsidR="00CE1B6F" w:rsidRDefault="00CE1B6F" w:rsidP="00057B42">
      <w:pPr>
        <w:spacing w:line="360" w:lineRule="auto"/>
        <w:jc w:val="both"/>
      </w:pPr>
    </w:p>
    <w:p w:rsidR="00CE1B6F" w:rsidRDefault="00CE1B6F" w:rsidP="00645687">
      <w:pPr>
        <w:pStyle w:val="Heading3"/>
      </w:pPr>
      <w:bookmarkStart w:id="593" w:name="_Toc306570588"/>
      <w:bookmarkStart w:id="594" w:name="_Toc307067653"/>
      <w:r>
        <w:tab/>
      </w:r>
      <w:bookmarkStart w:id="595" w:name="_Toc312169223"/>
      <w:bookmarkStart w:id="596" w:name="_Toc312172150"/>
      <w:bookmarkStart w:id="597" w:name="_Toc312257699"/>
      <w:r w:rsidRPr="00E40201">
        <w:t>Glassware</w:t>
      </w:r>
      <w:bookmarkEnd w:id="593"/>
      <w:bookmarkEnd w:id="594"/>
      <w:bookmarkEnd w:id="595"/>
      <w:bookmarkEnd w:id="596"/>
      <w:bookmarkEnd w:id="597"/>
    </w:p>
    <w:p w:rsidR="00057B42" w:rsidRDefault="00CE1B6F" w:rsidP="00057B42">
      <w:pPr>
        <w:autoSpaceDE w:val="0"/>
        <w:autoSpaceDN w:val="0"/>
        <w:adjustRightInd w:val="0"/>
        <w:spacing w:line="360" w:lineRule="auto"/>
        <w:jc w:val="both"/>
        <w:rPr>
          <w:lang w:eastAsia="en-IE"/>
        </w:rPr>
      </w:pPr>
      <w:r w:rsidRPr="00E40201">
        <w:rPr>
          <w:lang w:eastAsia="en-IE"/>
        </w:rPr>
        <w:t>All glassware and lids were soaked in a 2% (v/v) solution of RBS-25 (VWR International)</w:t>
      </w:r>
      <w:r>
        <w:rPr>
          <w:lang w:eastAsia="en-IE"/>
        </w:rPr>
        <w:t xml:space="preserve"> </w:t>
      </w:r>
      <w:r w:rsidRPr="00E40201">
        <w:rPr>
          <w:lang w:eastAsia="en-IE"/>
        </w:rPr>
        <w:t>for at least 1 hour (hr). This is a deproteinising agent, which removes proteineous material</w:t>
      </w:r>
      <w:r>
        <w:rPr>
          <w:lang w:eastAsia="en-IE"/>
        </w:rPr>
        <w:t xml:space="preserve"> </w:t>
      </w:r>
      <w:r w:rsidRPr="00E40201">
        <w:rPr>
          <w:lang w:eastAsia="en-IE"/>
        </w:rPr>
        <w:t>from the bottles. Glassware was scrubbed and rinsed several times in tap water. The bottles</w:t>
      </w:r>
      <w:r>
        <w:rPr>
          <w:lang w:eastAsia="en-IE"/>
        </w:rPr>
        <w:t xml:space="preserve"> </w:t>
      </w:r>
      <w:r w:rsidRPr="00E40201">
        <w:rPr>
          <w:lang w:eastAsia="en-IE"/>
        </w:rPr>
        <w:t>were then washed by machine using Neodisher detergent, an organic, phosphate-based acid</w:t>
      </w:r>
      <w:r>
        <w:rPr>
          <w:lang w:eastAsia="en-IE"/>
        </w:rPr>
        <w:t xml:space="preserve"> </w:t>
      </w:r>
      <w:r w:rsidRPr="00E40201">
        <w:rPr>
          <w:lang w:eastAsia="en-IE"/>
        </w:rPr>
        <w:t>detergent. The bottles were then rinsed twice with distilled water, once with ultrapure water</w:t>
      </w:r>
      <w:r>
        <w:rPr>
          <w:lang w:eastAsia="en-IE"/>
        </w:rPr>
        <w:t xml:space="preserve"> </w:t>
      </w:r>
      <w:r w:rsidRPr="00E40201">
        <w:rPr>
          <w:lang w:eastAsia="en-IE"/>
        </w:rPr>
        <w:t xml:space="preserve">and sterilised by autoclaving. </w:t>
      </w:r>
    </w:p>
    <w:p w:rsidR="00D81086" w:rsidRDefault="00D81086" w:rsidP="00057B42">
      <w:pPr>
        <w:autoSpaceDE w:val="0"/>
        <w:autoSpaceDN w:val="0"/>
        <w:adjustRightInd w:val="0"/>
        <w:spacing w:line="360" w:lineRule="auto"/>
        <w:jc w:val="both"/>
        <w:rPr>
          <w:lang w:eastAsia="en-IE"/>
        </w:rPr>
      </w:pPr>
    </w:p>
    <w:p w:rsidR="00CE1B6F" w:rsidRDefault="00CE1B6F" w:rsidP="00645687">
      <w:pPr>
        <w:pStyle w:val="Heading3"/>
      </w:pPr>
      <w:r w:rsidRPr="00873C4C">
        <w:tab/>
      </w:r>
      <w:bookmarkStart w:id="598" w:name="_Toc306570589"/>
      <w:bookmarkStart w:id="599" w:name="_Toc307067654"/>
      <w:bookmarkStart w:id="600" w:name="_Toc312169224"/>
      <w:bookmarkStart w:id="601" w:name="_Toc312172151"/>
      <w:bookmarkStart w:id="602" w:name="_Toc312257700"/>
      <w:r w:rsidRPr="00873C4C">
        <w:t>Water</w:t>
      </w:r>
      <w:bookmarkEnd w:id="598"/>
      <w:bookmarkEnd w:id="599"/>
      <w:bookmarkEnd w:id="600"/>
      <w:bookmarkEnd w:id="601"/>
      <w:bookmarkEnd w:id="602"/>
    </w:p>
    <w:p w:rsidR="00CE1B6F" w:rsidRDefault="00CE1B6F" w:rsidP="00057B42">
      <w:pPr>
        <w:suppressAutoHyphens/>
        <w:spacing w:before="100" w:beforeAutospacing="1" w:after="100" w:afterAutospacing="1" w:line="360" w:lineRule="auto"/>
        <w:jc w:val="both"/>
        <w:rPr>
          <w:color w:val="000000"/>
          <w:spacing w:val="-3"/>
        </w:rPr>
      </w:pPr>
      <w:r w:rsidRPr="00873C4C">
        <w:rPr>
          <w:color w:val="000000"/>
        </w:rPr>
        <w:t>Ultra high pure water (UHP) was used in the preparation of all media and solutions.  Pre-treatment of water, involving activated carbon, pre-filtration and anti-scaling was first carried out. This water was then purified by a reverse osmosis system (Millipore Milli-RO 10 Plus, Elgastat UHP), which is low in organic salts, organic matter, colloids and bacteria with a standard of 12 - 18 M</w:t>
      </w:r>
      <w:r w:rsidRPr="00873C4C">
        <w:rPr>
          <w:color w:val="000000"/>
        </w:rPr>
        <w:sym w:font="Symbol" w:char="F057"/>
      </w:r>
      <w:r w:rsidRPr="00873C4C">
        <w:rPr>
          <w:color w:val="000000"/>
        </w:rPr>
        <w:t>/cm resistance</w:t>
      </w:r>
      <w:r w:rsidRPr="00873C4C">
        <w:rPr>
          <w:color w:val="000000"/>
          <w:spacing w:val="-3"/>
        </w:rPr>
        <w:t>.</w:t>
      </w:r>
      <w:r>
        <w:rPr>
          <w:color w:val="000000"/>
          <w:spacing w:val="-3"/>
        </w:rPr>
        <w:t xml:space="preserve"> </w:t>
      </w:r>
    </w:p>
    <w:p w:rsidR="00CE1B6F" w:rsidRDefault="00CE1B6F" w:rsidP="00057B42">
      <w:pPr>
        <w:suppressAutoHyphens/>
        <w:spacing w:before="100" w:beforeAutospacing="1" w:after="100" w:afterAutospacing="1" w:line="360" w:lineRule="auto"/>
        <w:jc w:val="both"/>
        <w:rPr>
          <w:color w:val="000000"/>
          <w:spacing w:val="-3"/>
        </w:rPr>
      </w:pPr>
    </w:p>
    <w:p w:rsidR="00CE1B6F" w:rsidRPr="00553460" w:rsidRDefault="00CE1B6F" w:rsidP="00645687">
      <w:pPr>
        <w:pStyle w:val="Heading3"/>
      </w:pPr>
      <w:r>
        <w:tab/>
      </w:r>
      <w:bookmarkStart w:id="603" w:name="_Toc312169225"/>
      <w:bookmarkStart w:id="604" w:name="_Toc312172152"/>
      <w:bookmarkStart w:id="605" w:name="_Toc312257701"/>
      <w:r w:rsidRPr="00553460">
        <w:t>Sterilisation</w:t>
      </w:r>
      <w:bookmarkEnd w:id="603"/>
      <w:bookmarkEnd w:id="604"/>
      <w:bookmarkEnd w:id="605"/>
    </w:p>
    <w:p w:rsidR="00CE1B6F" w:rsidRDefault="00CE1B6F" w:rsidP="00057B42">
      <w:pPr>
        <w:suppressAutoHyphens/>
        <w:spacing w:before="100" w:beforeAutospacing="1" w:after="100" w:afterAutospacing="1" w:line="360" w:lineRule="auto"/>
        <w:jc w:val="both"/>
        <w:rPr>
          <w:color w:val="000000"/>
          <w:spacing w:val="-3"/>
        </w:rPr>
      </w:pPr>
      <w:r w:rsidRPr="00553460">
        <w:rPr>
          <w:color w:val="000000"/>
          <w:spacing w:val="-3"/>
        </w:rPr>
        <w:t>Water, glassware and all thermostable solutions were sterilised by autoclaving at</w:t>
      </w:r>
      <w:r>
        <w:rPr>
          <w:color w:val="000000"/>
          <w:spacing w:val="-3"/>
        </w:rPr>
        <w:t xml:space="preserve"> </w:t>
      </w:r>
      <w:r w:rsidRPr="00553460">
        <w:rPr>
          <w:color w:val="000000"/>
          <w:spacing w:val="-3"/>
        </w:rPr>
        <w:t>121°C for 20 min under 15 p.s.i. pressures. Thermolabile solutions were filtered</w:t>
      </w:r>
      <w:r>
        <w:rPr>
          <w:color w:val="000000"/>
          <w:spacing w:val="-3"/>
        </w:rPr>
        <w:t xml:space="preserve"> </w:t>
      </w:r>
      <w:r w:rsidRPr="00553460">
        <w:rPr>
          <w:color w:val="000000"/>
          <w:spacing w:val="-3"/>
        </w:rPr>
        <w:t>through a 0.22 μm sterile filter (Millipore, millex-gv, SLGV-025BS). Low proteinbinding</w:t>
      </w:r>
      <w:r>
        <w:rPr>
          <w:color w:val="000000"/>
          <w:spacing w:val="-3"/>
        </w:rPr>
        <w:t xml:space="preserve"> </w:t>
      </w:r>
      <w:r w:rsidRPr="00553460">
        <w:rPr>
          <w:color w:val="000000"/>
          <w:spacing w:val="-3"/>
        </w:rPr>
        <w:t>filters were used for all protein-containing solutions. Acrodisc (Pall Gelman</w:t>
      </w:r>
      <w:r>
        <w:rPr>
          <w:color w:val="000000"/>
          <w:spacing w:val="-3"/>
        </w:rPr>
        <w:t xml:space="preserve"> </w:t>
      </w:r>
      <w:r w:rsidRPr="00553460">
        <w:rPr>
          <w:color w:val="000000"/>
          <w:spacing w:val="-3"/>
        </w:rPr>
        <w:t>Laboratory, C4187) 0.8/0.2 μm filters were used for non-serum/protein solutions.</w:t>
      </w:r>
    </w:p>
    <w:p w:rsidR="007C0C5B" w:rsidRDefault="00481030" w:rsidP="00645687">
      <w:pPr>
        <w:pStyle w:val="Heading3"/>
        <w:numPr>
          <w:ilvl w:val="0"/>
          <w:numId w:val="0"/>
        </w:numPr>
      </w:pPr>
      <w:r>
        <w:lastRenderedPageBreak/>
        <w:tab/>
      </w:r>
    </w:p>
    <w:p w:rsidR="00481030" w:rsidRDefault="002D284F" w:rsidP="00645687">
      <w:pPr>
        <w:pStyle w:val="Heading3"/>
      </w:pPr>
      <w:bookmarkStart w:id="606" w:name="_Toc312169226"/>
      <w:bookmarkStart w:id="607" w:name="_Toc312172153"/>
      <w:bookmarkStart w:id="608" w:name="_Toc312257702"/>
      <w:r w:rsidRPr="00873C4C">
        <w:t>Serum Specimen Procurement, Proc</w:t>
      </w:r>
      <w:r w:rsidR="00F45562">
        <w:t xml:space="preserve">essing and </w:t>
      </w:r>
      <w:r w:rsidR="00481030">
        <w:t>Storage for</w:t>
      </w:r>
      <w:bookmarkEnd w:id="606"/>
      <w:bookmarkEnd w:id="607"/>
      <w:bookmarkEnd w:id="608"/>
      <w:r w:rsidR="004B395A">
        <w:t xml:space="preserve"> </w:t>
      </w:r>
    </w:p>
    <w:p w:rsidR="002D284F" w:rsidRPr="00873C4C" w:rsidRDefault="00F45562" w:rsidP="00645687">
      <w:pPr>
        <w:pStyle w:val="Heading3"/>
        <w:numPr>
          <w:ilvl w:val="0"/>
          <w:numId w:val="0"/>
        </w:numPr>
      </w:pPr>
      <w:bookmarkStart w:id="609" w:name="_Toc312169227"/>
      <w:bookmarkStart w:id="610" w:name="_Toc312172154"/>
      <w:bookmarkStart w:id="611" w:name="_Toc312257703"/>
      <w:bookmarkEnd w:id="588"/>
      <w:bookmarkEnd w:id="589"/>
      <w:r w:rsidRPr="00873C4C">
        <w:t>Proteomics</w:t>
      </w:r>
      <w:bookmarkEnd w:id="609"/>
      <w:bookmarkEnd w:id="610"/>
      <w:bookmarkEnd w:id="611"/>
    </w:p>
    <w:p w:rsidR="002D284F" w:rsidRPr="00873C4C" w:rsidRDefault="002D284F" w:rsidP="00057B42">
      <w:pPr>
        <w:spacing w:line="360" w:lineRule="auto"/>
        <w:jc w:val="both"/>
        <w:rPr>
          <w:color w:val="000000"/>
        </w:rPr>
      </w:pPr>
      <w:r w:rsidRPr="00873C4C">
        <w:rPr>
          <w:color w:val="000000"/>
        </w:rPr>
        <w:t xml:space="preserve">Serum sample were obtained by standard phlebotomy procedures from consented patients or healthy volunteers as following: </w:t>
      </w:r>
    </w:p>
    <w:p w:rsidR="002D284F" w:rsidRPr="00873C4C" w:rsidRDefault="002D284F" w:rsidP="00057B42">
      <w:pPr>
        <w:spacing w:line="360" w:lineRule="auto"/>
        <w:jc w:val="both"/>
        <w:rPr>
          <w:color w:val="000000"/>
        </w:rPr>
      </w:pPr>
      <w:r w:rsidRPr="00873C4C">
        <w:rPr>
          <w:color w:val="000000"/>
        </w:rPr>
        <w:t>1.</w:t>
      </w:r>
      <w:r w:rsidRPr="00873C4C">
        <w:rPr>
          <w:color w:val="000000"/>
        </w:rPr>
        <w:tab/>
        <w:t>Procure approx. 10 ml blood into in</w:t>
      </w:r>
      <w:r w:rsidR="00647448">
        <w:rPr>
          <w:color w:val="000000"/>
        </w:rPr>
        <w:t xml:space="preserve"> Gold capped plastic vacutainers</w:t>
      </w:r>
      <w:r w:rsidRPr="00873C4C">
        <w:rPr>
          <w:color w:val="000000"/>
        </w:rPr>
        <w:t xml:space="preserve"> serum tube containing no additives.</w:t>
      </w:r>
    </w:p>
    <w:p w:rsidR="002D284F" w:rsidRPr="00873C4C" w:rsidRDefault="002D284F" w:rsidP="00057B42">
      <w:pPr>
        <w:spacing w:line="360" w:lineRule="auto"/>
        <w:jc w:val="both"/>
        <w:rPr>
          <w:color w:val="000000"/>
        </w:rPr>
      </w:pPr>
      <w:r w:rsidRPr="00873C4C">
        <w:rPr>
          <w:color w:val="000000"/>
        </w:rPr>
        <w:t>2.</w:t>
      </w:r>
      <w:r w:rsidRPr="00873C4C">
        <w:rPr>
          <w:color w:val="000000"/>
        </w:rPr>
        <w:tab/>
        <w:t>Al</w:t>
      </w:r>
      <w:r w:rsidR="008049C3" w:rsidRPr="00873C4C">
        <w:rPr>
          <w:color w:val="000000"/>
        </w:rPr>
        <w:t>low the blood to clot for 30-60</w:t>
      </w:r>
      <w:r w:rsidR="00534633">
        <w:rPr>
          <w:color w:val="000000"/>
        </w:rPr>
        <w:t xml:space="preserve"> minutes</w:t>
      </w:r>
      <w:r w:rsidRPr="00873C4C">
        <w:rPr>
          <w:color w:val="000000"/>
        </w:rPr>
        <w:t xml:space="preserve"> at room temperature.</w:t>
      </w:r>
    </w:p>
    <w:p w:rsidR="002D284F" w:rsidRPr="00873C4C" w:rsidRDefault="002D284F" w:rsidP="00057B42">
      <w:pPr>
        <w:spacing w:line="360" w:lineRule="auto"/>
        <w:jc w:val="both"/>
        <w:rPr>
          <w:color w:val="000000"/>
        </w:rPr>
      </w:pPr>
      <w:r w:rsidRPr="00873C4C">
        <w:rPr>
          <w:color w:val="000000"/>
        </w:rPr>
        <w:t>3.</w:t>
      </w:r>
      <w:r w:rsidRPr="00873C4C">
        <w:rPr>
          <w:color w:val="000000"/>
        </w:rPr>
        <w:tab/>
        <w:t xml:space="preserve">The identifiable code number was </w:t>
      </w:r>
      <w:r w:rsidR="008049C3" w:rsidRPr="00873C4C">
        <w:rPr>
          <w:color w:val="000000"/>
        </w:rPr>
        <w:t>given</w:t>
      </w:r>
      <w:r w:rsidRPr="00873C4C">
        <w:rPr>
          <w:color w:val="000000"/>
        </w:rPr>
        <w:t xml:space="preserve"> to the specimen according to Mater University Hospital’s Ethical committee.</w:t>
      </w:r>
    </w:p>
    <w:p w:rsidR="002D284F" w:rsidRPr="00873C4C" w:rsidRDefault="002D284F" w:rsidP="00057B42">
      <w:pPr>
        <w:spacing w:line="360" w:lineRule="auto"/>
        <w:jc w:val="both"/>
        <w:rPr>
          <w:color w:val="000000"/>
        </w:rPr>
      </w:pPr>
      <w:r w:rsidRPr="00873C4C">
        <w:rPr>
          <w:color w:val="000000"/>
        </w:rPr>
        <w:t>4.</w:t>
      </w:r>
      <w:r w:rsidRPr="00873C4C">
        <w:rPr>
          <w:color w:val="000000"/>
        </w:rPr>
        <w:tab/>
        <w:t>In accordance with HSE (Health Service</w:t>
      </w:r>
      <w:r w:rsidR="008049C3" w:rsidRPr="00873C4C">
        <w:rPr>
          <w:color w:val="000000"/>
        </w:rPr>
        <w:t>s Executive) safety regulations.</w:t>
      </w:r>
      <w:r w:rsidRPr="00873C4C">
        <w:rPr>
          <w:color w:val="000000"/>
        </w:rPr>
        <w:t xml:space="preserve"> The serum specimen containers were placed in a leak proof and again placed in a secondary leak proof container for transport to the laboratory.  Securely self-sealed plastic bags are used for this purpose.  The paper requisition forms are to be placed in the outer pocket.</w:t>
      </w:r>
    </w:p>
    <w:p w:rsidR="002D284F" w:rsidRPr="00873C4C" w:rsidRDefault="002D284F" w:rsidP="00057B42">
      <w:pPr>
        <w:spacing w:line="360" w:lineRule="auto"/>
        <w:jc w:val="both"/>
        <w:rPr>
          <w:color w:val="000000"/>
        </w:rPr>
      </w:pPr>
      <w:r w:rsidRPr="00873C4C">
        <w:rPr>
          <w:color w:val="000000"/>
        </w:rPr>
        <w:t>5.</w:t>
      </w:r>
      <w:r w:rsidRPr="00873C4C">
        <w:rPr>
          <w:color w:val="000000"/>
        </w:rPr>
        <w:tab/>
        <w:t>Sample</w:t>
      </w:r>
      <w:r w:rsidR="00481030">
        <w:rPr>
          <w:color w:val="000000"/>
        </w:rPr>
        <w:t>s</w:t>
      </w:r>
      <w:r w:rsidRPr="00873C4C">
        <w:rPr>
          <w:color w:val="000000"/>
        </w:rPr>
        <w:t xml:space="preserve"> </w:t>
      </w:r>
      <w:r w:rsidR="008049C3" w:rsidRPr="00873C4C">
        <w:rPr>
          <w:color w:val="000000"/>
        </w:rPr>
        <w:t>were</w:t>
      </w:r>
      <w:r w:rsidRPr="00873C4C">
        <w:rPr>
          <w:color w:val="000000"/>
        </w:rPr>
        <w:t xml:space="preserve"> tran</w:t>
      </w:r>
      <w:r w:rsidR="00F45562">
        <w:rPr>
          <w:color w:val="000000"/>
        </w:rPr>
        <w:t>sferred to the laboratory on ice</w:t>
      </w:r>
      <w:r w:rsidRPr="00873C4C">
        <w:rPr>
          <w:color w:val="000000"/>
        </w:rPr>
        <w:t xml:space="preserve"> for further processing.</w:t>
      </w:r>
    </w:p>
    <w:p w:rsidR="002D284F" w:rsidRPr="00873C4C" w:rsidRDefault="002D284F" w:rsidP="00057B42">
      <w:pPr>
        <w:spacing w:line="360" w:lineRule="auto"/>
        <w:jc w:val="both"/>
        <w:rPr>
          <w:color w:val="000000"/>
        </w:rPr>
      </w:pPr>
      <w:r w:rsidRPr="00873C4C">
        <w:rPr>
          <w:color w:val="000000"/>
        </w:rPr>
        <w:t>6.</w:t>
      </w:r>
      <w:r w:rsidRPr="00873C4C">
        <w:rPr>
          <w:color w:val="000000"/>
        </w:rPr>
        <w:tab/>
        <w:t xml:space="preserve">The un-clotted liquid </w:t>
      </w:r>
      <w:r w:rsidR="008049C3" w:rsidRPr="00873C4C">
        <w:rPr>
          <w:color w:val="000000"/>
        </w:rPr>
        <w:t>was</w:t>
      </w:r>
      <w:r w:rsidRPr="00873C4C">
        <w:rPr>
          <w:color w:val="000000"/>
        </w:rPr>
        <w:t xml:space="preserve"> removed by a Pasteur pipette from the clot and place into a clean into a 15</w:t>
      </w:r>
      <w:r w:rsidR="008049C3" w:rsidRPr="00873C4C">
        <w:rPr>
          <w:color w:val="000000"/>
        </w:rPr>
        <w:t xml:space="preserve"> </w:t>
      </w:r>
      <w:r w:rsidRPr="00873C4C">
        <w:rPr>
          <w:color w:val="000000"/>
        </w:rPr>
        <w:t>ml tube labelled with the code of the serum. The tube is compatible with the centrifuge being used. (The un-clotted liquid is a mixture of serum, red blood cells, white blood cells and platelets).</w:t>
      </w:r>
    </w:p>
    <w:p w:rsidR="002D284F" w:rsidRPr="00873C4C" w:rsidRDefault="002D284F" w:rsidP="00057B42">
      <w:pPr>
        <w:spacing w:line="360" w:lineRule="auto"/>
        <w:jc w:val="both"/>
        <w:rPr>
          <w:color w:val="000000"/>
        </w:rPr>
      </w:pPr>
      <w:r w:rsidRPr="00873C4C">
        <w:rPr>
          <w:color w:val="000000"/>
        </w:rPr>
        <w:t>7.</w:t>
      </w:r>
      <w:r w:rsidRPr="00873C4C">
        <w:rPr>
          <w:color w:val="000000"/>
        </w:rPr>
        <w:tab/>
        <w:t>Sample</w:t>
      </w:r>
      <w:r w:rsidR="008049C3" w:rsidRPr="00873C4C">
        <w:rPr>
          <w:color w:val="000000"/>
        </w:rPr>
        <w:t>s</w:t>
      </w:r>
      <w:r w:rsidRPr="00873C4C">
        <w:rPr>
          <w:color w:val="000000"/>
        </w:rPr>
        <w:t xml:space="preserve"> were centrifuged at 400 x g for 30 minutes at 4</w:t>
      </w:r>
      <w:r w:rsidR="00534633">
        <w:rPr>
          <w:color w:val="000000"/>
          <w:vertAlign w:val="superscript"/>
        </w:rPr>
        <w:t>o</w:t>
      </w:r>
      <w:r w:rsidRPr="00873C4C">
        <w:rPr>
          <w:color w:val="000000"/>
        </w:rPr>
        <w:t xml:space="preserve">C </w:t>
      </w:r>
      <w:r w:rsidR="008049C3" w:rsidRPr="00873C4C">
        <w:rPr>
          <w:color w:val="000000"/>
        </w:rPr>
        <w:t>temperatures</w:t>
      </w:r>
      <w:r w:rsidRPr="00873C4C">
        <w:rPr>
          <w:color w:val="000000"/>
        </w:rPr>
        <w:t>.</w:t>
      </w:r>
    </w:p>
    <w:p w:rsidR="002D284F" w:rsidRPr="00873C4C" w:rsidRDefault="002D284F" w:rsidP="00057B42">
      <w:pPr>
        <w:spacing w:line="360" w:lineRule="auto"/>
        <w:jc w:val="both"/>
        <w:rPr>
          <w:color w:val="000000"/>
        </w:rPr>
      </w:pPr>
      <w:r w:rsidRPr="00873C4C">
        <w:rPr>
          <w:color w:val="000000"/>
        </w:rPr>
        <w:t>8.</w:t>
      </w:r>
      <w:r w:rsidRPr="00873C4C">
        <w:rPr>
          <w:color w:val="000000"/>
        </w:rPr>
        <w:tab/>
        <w:t xml:space="preserve">The </w:t>
      </w:r>
      <w:r w:rsidR="008049C3" w:rsidRPr="00873C4C">
        <w:rPr>
          <w:color w:val="000000"/>
        </w:rPr>
        <w:t>clarified serum</w:t>
      </w:r>
      <w:r w:rsidRPr="00873C4C">
        <w:rPr>
          <w:color w:val="000000"/>
        </w:rPr>
        <w:t xml:space="preserve"> </w:t>
      </w:r>
      <w:r w:rsidR="008049C3" w:rsidRPr="00873C4C">
        <w:rPr>
          <w:color w:val="000000"/>
        </w:rPr>
        <w:t>was</w:t>
      </w:r>
      <w:r w:rsidRPr="00873C4C">
        <w:rPr>
          <w:color w:val="000000"/>
        </w:rPr>
        <w:t xml:space="preserve"> removed from the pellet and </w:t>
      </w:r>
      <w:r w:rsidR="008049C3" w:rsidRPr="00873C4C">
        <w:rPr>
          <w:color w:val="000000"/>
        </w:rPr>
        <w:t>dispense</w:t>
      </w:r>
      <w:r w:rsidR="00D81086">
        <w:rPr>
          <w:color w:val="000000"/>
        </w:rPr>
        <w:t>d</w:t>
      </w:r>
      <w:r w:rsidRPr="00873C4C">
        <w:rPr>
          <w:color w:val="000000"/>
        </w:rPr>
        <w:t xml:space="preserve"> (as approx</w:t>
      </w:r>
      <w:r w:rsidR="00D81086">
        <w:rPr>
          <w:color w:val="000000"/>
        </w:rPr>
        <w:t xml:space="preserve">imately </w:t>
      </w:r>
      <w:r w:rsidRPr="00873C4C">
        <w:rPr>
          <w:color w:val="000000"/>
        </w:rPr>
        <w:t>0</w:t>
      </w:r>
      <w:r w:rsidR="002E2A56">
        <w:rPr>
          <w:color w:val="000000"/>
        </w:rPr>
        <w:t>.</w:t>
      </w:r>
      <w:r w:rsidRPr="00873C4C">
        <w:rPr>
          <w:color w:val="000000"/>
        </w:rPr>
        <w:t>5-1 ml volumes x3) into labelled cryovial tubes.</w:t>
      </w:r>
    </w:p>
    <w:p w:rsidR="002D284F" w:rsidRPr="00873C4C" w:rsidRDefault="002D284F" w:rsidP="00057B42">
      <w:pPr>
        <w:spacing w:line="360" w:lineRule="auto"/>
        <w:jc w:val="both"/>
        <w:rPr>
          <w:color w:val="000000"/>
        </w:rPr>
      </w:pPr>
      <w:r w:rsidRPr="00873C4C">
        <w:rPr>
          <w:color w:val="000000"/>
        </w:rPr>
        <w:t>9.</w:t>
      </w:r>
      <w:r w:rsidRPr="00873C4C">
        <w:rPr>
          <w:color w:val="000000"/>
        </w:rPr>
        <w:tab/>
        <w:t>Sample</w:t>
      </w:r>
      <w:r w:rsidR="008049C3" w:rsidRPr="00873C4C">
        <w:rPr>
          <w:color w:val="000000"/>
        </w:rPr>
        <w:t>s</w:t>
      </w:r>
      <w:r w:rsidRPr="00873C4C">
        <w:rPr>
          <w:color w:val="000000"/>
        </w:rPr>
        <w:t xml:space="preserve"> were store</w:t>
      </w:r>
      <w:r w:rsidR="00D81086">
        <w:rPr>
          <w:color w:val="000000"/>
        </w:rPr>
        <w:t>d</w:t>
      </w:r>
      <w:r w:rsidRPr="00873C4C">
        <w:rPr>
          <w:color w:val="000000"/>
        </w:rPr>
        <w:t xml:space="preserve"> at -80ºC for further analysis.</w:t>
      </w:r>
    </w:p>
    <w:p w:rsidR="002D284F" w:rsidRPr="00873C4C" w:rsidRDefault="002D284F" w:rsidP="00057B42">
      <w:pPr>
        <w:spacing w:line="360" w:lineRule="auto"/>
        <w:jc w:val="both"/>
        <w:rPr>
          <w:color w:val="000000"/>
        </w:rPr>
      </w:pPr>
      <w:r w:rsidRPr="00873C4C">
        <w:rPr>
          <w:color w:val="000000"/>
        </w:rPr>
        <w:t>10.</w:t>
      </w:r>
      <w:r w:rsidRPr="00873C4C">
        <w:rPr>
          <w:color w:val="000000"/>
        </w:rPr>
        <w:tab/>
        <w:t xml:space="preserve">The time from sample procurement to storage at -80ºC was </w:t>
      </w:r>
      <w:r w:rsidR="008049C3" w:rsidRPr="00873C4C">
        <w:rPr>
          <w:color w:val="000000"/>
        </w:rPr>
        <w:t>not more</w:t>
      </w:r>
      <w:r w:rsidRPr="00873C4C">
        <w:rPr>
          <w:color w:val="000000"/>
        </w:rPr>
        <w:t xml:space="preserve"> than 3 hours.</w:t>
      </w:r>
    </w:p>
    <w:p w:rsidR="002D284F" w:rsidRPr="00873C4C" w:rsidRDefault="002D284F" w:rsidP="00057B42">
      <w:pPr>
        <w:numPr>
          <w:ilvl w:val="0"/>
          <w:numId w:val="6"/>
        </w:numPr>
        <w:spacing w:line="360" w:lineRule="auto"/>
        <w:jc w:val="both"/>
        <w:rPr>
          <w:color w:val="000000"/>
        </w:rPr>
      </w:pPr>
      <w:r w:rsidRPr="00873C4C">
        <w:rPr>
          <w:color w:val="000000"/>
        </w:rPr>
        <w:t xml:space="preserve">Following patient or healthy </w:t>
      </w:r>
      <w:r w:rsidR="00647448" w:rsidRPr="00873C4C">
        <w:rPr>
          <w:color w:val="000000"/>
        </w:rPr>
        <w:t>volunteers’</w:t>
      </w:r>
      <w:r w:rsidRPr="00873C4C">
        <w:rPr>
          <w:color w:val="000000"/>
        </w:rPr>
        <w:t xml:space="preserve"> details were included: Patient or Volunteers age, sex.  </w:t>
      </w:r>
    </w:p>
    <w:p w:rsidR="002D284F" w:rsidRPr="00873C4C" w:rsidRDefault="002D284F" w:rsidP="00057B42">
      <w:pPr>
        <w:numPr>
          <w:ilvl w:val="0"/>
          <w:numId w:val="6"/>
        </w:numPr>
        <w:tabs>
          <w:tab w:val="clear" w:pos="720"/>
          <w:tab w:val="num" w:pos="0"/>
        </w:tabs>
        <w:spacing w:line="360" w:lineRule="auto"/>
        <w:ind w:left="0" w:firstLine="0"/>
        <w:jc w:val="both"/>
        <w:rPr>
          <w:color w:val="000000"/>
        </w:rPr>
      </w:pPr>
      <w:r w:rsidRPr="00873C4C">
        <w:rPr>
          <w:color w:val="000000"/>
        </w:rPr>
        <w:t xml:space="preserve">If from the serum sample was obtained from multiple myeloma patients, following additional information was also collected: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 xml:space="preserve">Type and stage of Myeloma / MGUS </w:t>
      </w:r>
      <w:r w:rsidR="00647448" w:rsidRPr="00873C4C">
        <w:rPr>
          <w:color w:val="000000"/>
        </w:rPr>
        <w:t>etc.</w:t>
      </w:r>
      <w:r w:rsidRPr="00873C4C">
        <w:rPr>
          <w:color w:val="000000"/>
        </w:rPr>
        <w:t xml:space="preserve">,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 xml:space="preserve">B2M,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lastRenderedPageBreak/>
        <w:t xml:space="preserve">Bone </w:t>
      </w:r>
      <w:r w:rsidR="0010315E">
        <w:rPr>
          <w:color w:val="000000"/>
        </w:rPr>
        <w:t>and</w:t>
      </w:r>
      <w:r w:rsidRPr="00873C4C">
        <w:rPr>
          <w:color w:val="000000"/>
        </w:rPr>
        <w:t xml:space="preserve"> Renal </w:t>
      </w:r>
    </w:p>
    <w:p w:rsidR="002D284F" w:rsidRPr="00873C4C" w:rsidRDefault="008049C3" w:rsidP="00057B42">
      <w:pPr>
        <w:numPr>
          <w:ilvl w:val="1"/>
          <w:numId w:val="6"/>
        </w:numPr>
        <w:tabs>
          <w:tab w:val="clear" w:pos="1080"/>
          <w:tab w:val="num" w:pos="0"/>
        </w:tabs>
        <w:spacing w:line="360" w:lineRule="auto"/>
        <w:ind w:left="0" w:firstLine="0"/>
        <w:jc w:val="both"/>
        <w:rPr>
          <w:color w:val="000000"/>
        </w:rPr>
      </w:pPr>
      <w:r w:rsidRPr="00873C4C">
        <w:rPr>
          <w:color w:val="000000"/>
        </w:rPr>
        <w:t>B</w:t>
      </w:r>
      <w:r w:rsidR="002D284F" w:rsidRPr="00873C4C">
        <w:rPr>
          <w:color w:val="000000"/>
        </w:rPr>
        <w:t xml:space="preserve">ony abnormalities.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 xml:space="preserve">Current treatment including the Cycle number of current regimen,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 xml:space="preserve">results of recent myeloma investigations including latest re-staging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 xml:space="preserve">radiology scans and </w:t>
      </w:r>
    </w:p>
    <w:p w:rsidR="002D284F" w:rsidRPr="00873C4C" w:rsidRDefault="002D284F" w:rsidP="00057B42">
      <w:pPr>
        <w:numPr>
          <w:ilvl w:val="1"/>
          <w:numId w:val="6"/>
        </w:numPr>
        <w:tabs>
          <w:tab w:val="clear" w:pos="1080"/>
          <w:tab w:val="num" w:pos="0"/>
        </w:tabs>
        <w:spacing w:line="360" w:lineRule="auto"/>
        <w:ind w:left="0" w:firstLine="0"/>
        <w:jc w:val="both"/>
        <w:rPr>
          <w:color w:val="000000"/>
        </w:rPr>
      </w:pPr>
      <w:r w:rsidRPr="00873C4C">
        <w:rPr>
          <w:color w:val="000000"/>
        </w:rPr>
        <w:t>Details of prior treatment regimen.</w:t>
      </w:r>
    </w:p>
    <w:p w:rsidR="002D284F" w:rsidRPr="00873C4C" w:rsidRDefault="002D284F" w:rsidP="00057B42">
      <w:pPr>
        <w:numPr>
          <w:ilvl w:val="0"/>
          <w:numId w:val="6"/>
        </w:numPr>
        <w:spacing w:line="360" w:lineRule="auto"/>
        <w:jc w:val="both"/>
        <w:rPr>
          <w:color w:val="000000"/>
        </w:rPr>
      </w:pPr>
      <w:r w:rsidRPr="00873C4C">
        <w:rPr>
          <w:color w:val="000000"/>
        </w:rPr>
        <w:t xml:space="preserve">The cryovial tubes were labelled with 3 forms of identification i.e. Samples code number, Date of collection and operators signature. </w:t>
      </w:r>
    </w:p>
    <w:p w:rsidR="008049C3" w:rsidRDefault="008049C3" w:rsidP="00057B42">
      <w:pPr>
        <w:pStyle w:val="BodyText"/>
        <w:spacing w:line="360" w:lineRule="auto"/>
        <w:rPr>
          <w:b/>
          <w:bCs/>
          <w:iCs/>
          <w:color w:val="000000"/>
        </w:rPr>
      </w:pPr>
    </w:p>
    <w:p w:rsidR="00156B1B" w:rsidRDefault="00156B1B" w:rsidP="00057B42">
      <w:pPr>
        <w:spacing w:line="360" w:lineRule="auto"/>
        <w:rPr>
          <w:color w:val="000000"/>
          <w:sz w:val="26"/>
          <w:szCs w:val="26"/>
          <w:lang w:eastAsia="en-US"/>
        </w:rPr>
      </w:pPr>
      <w:r>
        <w:br w:type="page"/>
      </w:r>
    </w:p>
    <w:p w:rsidR="002D284F" w:rsidRDefault="00156B1B" w:rsidP="00645687">
      <w:pPr>
        <w:pStyle w:val="Heading3"/>
      </w:pPr>
      <w:bookmarkStart w:id="612" w:name="_Toc306570590"/>
      <w:bookmarkStart w:id="613" w:name="_Toc307067655"/>
      <w:r>
        <w:lastRenderedPageBreak/>
        <w:tab/>
      </w:r>
      <w:bookmarkStart w:id="614" w:name="_Toc312169228"/>
      <w:bookmarkStart w:id="615" w:name="_Toc312172155"/>
      <w:bookmarkStart w:id="616" w:name="_Toc312257704"/>
      <w:r w:rsidR="002D284F" w:rsidRPr="00873C4C">
        <w:t>Preparati</w:t>
      </w:r>
      <w:r w:rsidR="008C1620" w:rsidRPr="00873C4C">
        <w:t xml:space="preserve">on of Bone marrow </w:t>
      </w:r>
      <w:bookmarkEnd w:id="612"/>
      <w:bookmarkEnd w:id="613"/>
      <w:r w:rsidR="00F45562">
        <w:t>medium</w:t>
      </w:r>
      <w:bookmarkEnd w:id="614"/>
      <w:bookmarkEnd w:id="615"/>
      <w:bookmarkEnd w:id="616"/>
      <w:r w:rsidR="002D284F" w:rsidRPr="00873C4C">
        <w:t xml:space="preserve"> </w:t>
      </w:r>
    </w:p>
    <w:p w:rsidR="00481030" w:rsidRDefault="008C1620" w:rsidP="00057B42">
      <w:pPr>
        <w:pStyle w:val="BodyText"/>
        <w:spacing w:line="360" w:lineRule="auto"/>
        <w:jc w:val="both"/>
        <w:rPr>
          <w:color w:val="000000"/>
        </w:rPr>
      </w:pPr>
      <w:r w:rsidRPr="00873C4C">
        <w:rPr>
          <w:color w:val="000000"/>
        </w:rPr>
        <w:t>All medium were prepared Under Aseptic Conditions. T</w:t>
      </w:r>
      <w:r w:rsidR="002D284F" w:rsidRPr="00873C4C">
        <w:rPr>
          <w:color w:val="000000"/>
        </w:rPr>
        <w:t xml:space="preserve">he required medium </w:t>
      </w:r>
      <w:r w:rsidRPr="00873C4C">
        <w:rPr>
          <w:color w:val="000000"/>
        </w:rPr>
        <w:t>c</w:t>
      </w:r>
      <w:r w:rsidR="002D284F" w:rsidRPr="00873C4C">
        <w:rPr>
          <w:color w:val="000000"/>
        </w:rPr>
        <w:t>omponents were initially aliquoted and stored at -20</w:t>
      </w:r>
      <w:r w:rsidR="002D284F" w:rsidRPr="00873C4C">
        <w:rPr>
          <w:color w:val="000000"/>
          <w:vertAlign w:val="superscript"/>
        </w:rPr>
        <w:t>o</w:t>
      </w:r>
      <w:r w:rsidR="002D284F" w:rsidRPr="00873C4C">
        <w:rPr>
          <w:color w:val="000000"/>
        </w:rPr>
        <w:t xml:space="preserve">C until </w:t>
      </w:r>
      <w:r w:rsidR="00647448" w:rsidRPr="00873C4C">
        <w:rPr>
          <w:color w:val="000000"/>
        </w:rPr>
        <w:t>required</w:t>
      </w:r>
      <w:r w:rsidR="00647448">
        <w:rPr>
          <w:color w:val="000000"/>
        </w:rPr>
        <w:t>. These include</w:t>
      </w:r>
      <w:r w:rsidR="00481030">
        <w:rPr>
          <w:color w:val="000000"/>
        </w:rPr>
        <w:t>:</w:t>
      </w:r>
    </w:p>
    <w:p w:rsidR="002D284F" w:rsidRPr="00873C4C" w:rsidRDefault="002D284F" w:rsidP="00057B42">
      <w:pPr>
        <w:pStyle w:val="BodyText"/>
        <w:numPr>
          <w:ilvl w:val="0"/>
          <w:numId w:val="20"/>
        </w:numPr>
        <w:spacing w:line="360" w:lineRule="auto"/>
        <w:ind w:left="0" w:firstLine="0"/>
        <w:jc w:val="both"/>
        <w:rPr>
          <w:color w:val="000000"/>
        </w:rPr>
      </w:pPr>
      <w:r w:rsidRPr="00873C4C">
        <w:rPr>
          <w:color w:val="000000"/>
        </w:rPr>
        <w:t>100 ml Pen Strep – into 20 X 5 ml aliquots</w:t>
      </w:r>
    </w:p>
    <w:p w:rsidR="002D284F" w:rsidRPr="00873C4C" w:rsidRDefault="002D284F" w:rsidP="00057B42">
      <w:pPr>
        <w:pStyle w:val="BodyText"/>
        <w:numPr>
          <w:ilvl w:val="0"/>
          <w:numId w:val="20"/>
        </w:numPr>
        <w:overflowPunct w:val="0"/>
        <w:autoSpaceDE w:val="0"/>
        <w:autoSpaceDN w:val="0"/>
        <w:adjustRightInd w:val="0"/>
        <w:spacing w:after="0" w:line="360" w:lineRule="auto"/>
        <w:ind w:left="0" w:firstLine="0"/>
        <w:jc w:val="both"/>
        <w:textAlignment w:val="baseline"/>
        <w:rPr>
          <w:color w:val="000000"/>
        </w:rPr>
      </w:pPr>
      <w:r w:rsidRPr="00873C4C">
        <w:rPr>
          <w:color w:val="000000"/>
        </w:rPr>
        <w:t xml:space="preserve">100 ml </w:t>
      </w:r>
      <w:r w:rsidRPr="00873C4C">
        <w:rPr>
          <w:color w:val="000000"/>
          <w:lang w:val="en-US"/>
        </w:rPr>
        <w:t>Fungizone</w:t>
      </w:r>
      <w:r w:rsidRPr="00873C4C">
        <w:rPr>
          <w:color w:val="000000"/>
        </w:rPr>
        <w:t xml:space="preserve"> – into 20 X 5 ml aliquots</w:t>
      </w:r>
    </w:p>
    <w:p w:rsidR="002D284F" w:rsidRPr="00873C4C" w:rsidRDefault="002D284F" w:rsidP="00057B42">
      <w:pPr>
        <w:pStyle w:val="BodyText"/>
        <w:spacing w:line="360" w:lineRule="auto"/>
        <w:jc w:val="both"/>
        <w:rPr>
          <w:color w:val="000000"/>
        </w:rPr>
      </w:pPr>
      <w:r w:rsidRPr="00873C4C">
        <w:rPr>
          <w:color w:val="000000"/>
        </w:rPr>
        <w:t>They were labelled with the following details: initials, date, and expiratory date</w:t>
      </w:r>
    </w:p>
    <w:p w:rsidR="002D284F" w:rsidRPr="00873C4C" w:rsidRDefault="002D284F" w:rsidP="00057B42">
      <w:pPr>
        <w:pStyle w:val="BodyText"/>
        <w:spacing w:line="360" w:lineRule="auto"/>
        <w:jc w:val="both"/>
        <w:rPr>
          <w:color w:val="000000"/>
        </w:rPr>
      </w:pPr>
      <w:r w:rsidRPr="00873C4C">
        <w:rPr>
          <w:color w:val="000000"/>
        </w:rPr>
        <w:t xml:space="preserve">The </w:t>
      </w:r>
      <w:r w:rsidR="009F7603" w:rsidRPr="00873C4C">
        <w:rPr>
          <w:color w:val="000000"/>
        </w:rPr>
        <w:t>Supplier name, catalogue number</w:t>
      </w:r>
      <w:r w:rsidRPr="00873C4C">
        <w:rPr>
          <w:color w:val="000000"/>
        </w:rPr>
        <w:t>, Lo</w:t>
      </w:r>
      <w:r w:rsidR="00D81086">
        <w:rPr>
          <w:color w:val="000000"/>
        </w:rPr>
        <w:t>t</w:t>
      </w:r>
      <w:r w:rsidRPr="00873C4C">
        <w:rPr>
          <w:color w:val="000000"/>
        </w:rPr>
        <w:t xml:space="preserve"> No. and Expiry Date, were recorded in the </w:t>
      </w:r>
      <w:r w:rsidR="00647448" w:rsidRPr="00873C4C">
        <w:rPr>
          <w:color w:val="000000"/>
        </w:rPr>
        <w:t>laboratory note</w:t>
      </w:r>
      <w:r w:rsidRPr="00873C4C">
        <w:rPr>
          <w:color w:val="000000"/>
        </w:rPr>
        <w:t xml:space="preserve">-book. </w:t>
      </w:r>
    </w:p>
    <w:p w:rsidR="002D284F" w:rsidRPr="00873C4C" w:rsidRDefault="002D284F" w:rsidP="00057B42">
      <w:pPr>
        <w:pStyle w:val="BodyText"/>
        <w:spacing w:line="360" w:lineRule="auto"/>
        <w:ind w:left="436" w:hanging="436"/>
        <w:jc w:val="both"/>
        <w:rPr>
          <w:color w:val="000000"/>
        </w:rPr>
      </w:pPr>
      <w:r w:rsidRPr="00873C4C">
        <w:rPr>
          <w:color w:val="000000"/>
        </w:rPr>
        <w:t>As required, batches of medium for specimen collection were prepared, the number</w:t>
      </w:r>
    </w:p>
    <w:p w:rsidR="002D284F" w:rsidRPr="00873C4C" w:rsidRDefault="002D284F" w:rsidP="00057B42">
      <w:pPr>
        <w:pStyle w:val="BodyText"/>
        <w:spacing w:line="360" w:lineRule="auto"/>
        <w:ind w:left="436" w:hanging="436"/>
        <w:jc w:val="both"/>
        <w:rPr>
          <w:color w:val="000000"/>
        </w:rPr>
      </w:pPr>
      <w:r w:rsidRPr="00873C4C">
        <w:rPr>
          <w:color w:val="000000"/>
        </w:rPr>
        <w:t xml:space="preserve">of prepared jars were depended on likely number of bone marrow specimens – fresh </w:t>
      </w:r>
    </w:p>
    <w:p w:rsidR="002D284F" w:rsidRDefault="002D284F" w:rsidP="00057B42">
      <w:pPr>
        <w:pStyle w:val="BodyText"/>
        <w:spacing w:line="360" w:lineRule="auto"/>
        <w:ind w:left="436" w:hanging="436"/>
        <w:jc w:val="both"/>
        <w:rPr>
          <w:color w:val="000000"/>
        </w:rPr>
      </w:pPr>
      <w:r w:rsidRPr="00873C4C">
        <w:rPr>
          <w:color w:val="000000"/>
        </w:rPr>
        <w:t>batches of medium were prepared each month)</w:t>
      </w:r>
      <w:r w:rsidR="00365F6D">
        <w:rPr>
          <w:color w:val="000000"/>
        </w:rPr>
        <w:t>.</w:t>
      </w:r>
    </w:p>
    <w:p w:rsidR="00CE1B6F" w:rsidRDefault="00CE1B6F" w:rsidP="00057B42">
      <w:pPr>
        <w:pStyle w:val="BodyText"/>
        <w:spacing w:line="360" w:lineRule="auto"/>
        <w:ind w:left="436" w:hanging="436"/>
        <w:jc w:val="both"/>
        <w:rPr>
          <w:color w:val="000000"/>
        </w:rPr>
      </w:pPr>
    </w:p>
    <w:p w:rsidR="008C1620" w:rsidRDefault="008C1620" w:rsidP="00645687">
      <w:pPr>
        <w:pStyle w:val="Heading3"/>
      </w:pPr>
      <w:r w:rsidRPr="00873C4C">
        <w:tab/>
      </w:r>
      <w:bookmarkStart w:id="617" w:name="_Toc306570591"/>
      <w:bookmarkStart w:id="618" w:name="_Toc307067656"/>
      <w:bookmarkStart w:id="619" w:name="_Toc312169229"/>
      <w:bookmarkStart w:id="620" w:name="_Toc312172156"/>
      <w:bookmarkStart w:id="621" w:name="_Toc312257705"/>
      <w:r w:rsidRPr="00873C4C">
        <w:t>Bone Marrow media recipe</w:t>
      </w:r>
      <w:bookmarkEnd w:id="617"/>
      <w:bookmarkEnd w:id="618"/>
      <w:bookmarkEnd w:id="619"/>
      <w:bookmarkEnd w:id="620"/>
      <w:bookmarkEnd w:id="621"/>
    </w:p>
    <w:p w:rsidR="002D284F" w:rsidRPr="00873C4C" w:rsidRDefault="002D284F" w:rsidP="00057B42">
      <w:pPr>
        <w:pStyle w:val="BodyText"/>
        <w:spacing w:line="360" w:lineRule="auto"/>
        <w:ind w:left="436" w:hanging="436"/>
        <w:jc w:val="both"/>
        <w:rPr>
          <w:color w:val="000000"/>
        </w:rPr>
      </w:pPr>
      <w:r w:rsidRPr="00873C4C">
        <w:rPr>
          <w:color w:val="000000"/>
        </w:rPr>
        <w:t>For the 500</w:t>
      </w:r>
      <w:r w:rsidR="008C1620" w:rsidRPr="00873C4C">
        <w:rPr>
          <w:color w:val="000000"/>
        </w:rPr>
        <w:t xml:space="preserve"> </w:t>
      </w:r>
      <w:r w:rsidRPr="00873C4C">
        <w:rPr>
          <w:color w:val="000000"/>
        </w:rPr>
        <w:t>ml of Bone Marrow media following recipe were used:</w:t>
      </w:r>
    </w:p>
    <w:p w:rsidR="002D284F" w:rsidRPr="00873C4C" w:rsidRDefault="00481030" w:rsidP="00057B42">
      <w:pPr>
        <w:pStyle w:val="BodyText"/>
        <w:spacing w:line="360" w:lineRule="auto"/>
        <w:jc w:val="both"/>
        <w:rPr>
          <w:color w:val="000000"/>
        </w:rPr>
      </w:pPr>
      <w:r>
        <w:rPr>
          <w:color w:val="000000"/>
        </w:rPr>
        <w:t xml:space="preserve">1. </w:t>
      </w:r>
      <w:r w:rsidR="00647448" w:rsidRPr="00873C4C">
        <w:rPr>
          <w:color w:val="000000"/>
        </w:rPr>
        <w:t>500</w:t>
      </w:r>
      <w:r w:rsidR="00647448">
        <w:rPr>
          <w:color w:val="000000"/>
        </w:rPr>
        <w:t xml:space="preserve"> </w:t>
      </w:r>
      <w:r w:rsidR="00647448" w:rsidRPr="00873C4C">
        <w:rPr>
          <w:color w:val="000000"/>
        </w:rPr>
        <w:t>ml</w:t>
      </w:r>
      <w:r w:rsidR="002D284F" w:rsidRPr="00873C4C">
        <w:rPr>
          <w:color w:val="000000"/>
        </w:rPr>
        <w:t xml:space="preserve"> of RPMI 1640 medium (RPMI = Roswell </w:t>
      </w:r>
      <w:r w:rsidR="00F45562">
        <w:rPr>
          <w:color w:val="000000"/>
        </w:rPr>
        <w:t xml:space="preserve">Park Memorial Institute Culture </w:t>
      </w:r>
      <w:r w:rsidR="002D284F" w:rsidRPr="00873C4C">
        <w:rPr>
          <w:color w:val="000000"/>
        </w:rPr>
        <w:t>Medium)</w:t>
      </w:r>
    </w:p>
    <w:p w:rsidR="002D284F" w:rsidRPr="00873C4C" w:rsidRDefault="00481030" w:rsidP="00057B42">
      <w:pPr>
        <w:pStyle w:val="BodyText"/>
        <w:spacing w:line="360" w:lineRule="auto"/>
        <w:jc w:val="both"/>
        <w:rPr>
          <w:color w:val="000000"/>
        </w:rPr>
      </w:pPr>
      <w:r>
        <w:rPr>
          <w:color w:val="000000"/>
        </w:rPr>
        <w:t>2. Five</w:t>
      </w:r>
      <w:r w:rsidR="002D284F" w:rsidRPr="00873C4C">
        <w:rPr>
          <w:color w:val="000000"/>
        </w:rPr>
        <w:t xml:space="preserve"> ml of Pen-Strep (100X)</w:t>
      </w:r>
    </w:p>
    <w:p w:rsidR="002D284F" w:rsidRPr="00873C4C" w:rsidRDefault="00481030" w:rsidP="00057B42">
      <w:pPr>
        <w:pStyle w:val="BodyText"/>
        <w:spacing w:line="360" w:lineRule="auto"/>
        <w:ind w:left="436" w:hanging="436"/>
        <w:jc w:val="both"/>
        <w:rPr>
          <w:color w:val="000000"/>
        </w:rPr>
      </w:pPr>
      <w:r>
        <w:rPr>
          <w:color w:val="000000"/>
        </w:rPr>
        <w:t>3. Five</w:t>
      </w:r>
      <w:r w:rsidR="002D284F" w:rsidRPr="00873C4C">
        <w:rPr>
          <w:color w:val="000000"/>
        </w:rPr>
        <w:t xml:space="preserve"> ml of Fungizone (100X)</w:t>
      </w:r>
    </w:p>
    <w:p w:rsidR="002D284F" w:rsidRPr="00873C4C" w:rsidRDefault="00481030" w:rsidP="00057B42">
      <w:pPr>
        <w:pStyle w:val="BodyText"/>
        <w:spacing w:line="360" w:lineRule="auto"/>
        <w:ind w:left="436" w:hanging="436"/>
        <w:jc w:val="both"/>
        <w:rPr>
          <w:color w:val="000000"/>
        </w:rPr>
      </w:pPr>
      <w:r>
        <w:rPr>
          <w:color w:val="000000"/>
        </w:rPr>
        <w:t xml:space="preserve">3. </w:t>
      </w:r>
      <w:r w:rsidR="004B07D1">
        <w:rPr>
          <w:color w:val="000000"/>
        </w:rPr>
        <w:t>T</w:t>
      </w:r>
      <w:r>
        <w:rPr>
          <w:color w:val="000000"/>
        </w:rPr>
        <w:t>wo ml of Heparin (F</w:t>
      </w:r>
      <w:r w:rsidR="002D284F" w:rsidRPr="00873C4C">
        <w:rPr>
          <w:color w:val="000000"/>
        </w:rPr>
        <w:t>inal concentration</w:t>
      </w:r>
      <w:r>
        <w:rPr>
          <w:color w:val="000000"/>
        </w:rPr>
        <w:t xml:space="preserve"> of </w:t>
      </w:r>
      <w:r w:rsidR="00647448">
        <w:rPr>
          <w:color w:val="000000"/>
        </w:rPr>
        <w:t>heparin</w:t>
      </w:r>
      <w:r>
        <w:rPr>
          <w:color w:val="000000"/>
        </w:rPr>
        <w:t>=</w:t>
      </w:r>
      <w:r w:rsidR="002D284F" w:rsidRPr="00873C4C">
        <w:rPr>
          <w:color w:val="000000"/>
        </w:rPr>
        <w:t xml:space="preserve"> 80 units per ml)</w:t>
      </w:r>
    </w:p>
    <w:p w:rsidR="002D284F" w:rsidRPr="00873C4C" w:rsidRDefault="002D284F" w:rsidP="00057B42">
      <w:pPr>
        <w:pStyle w:val="BodyText"/>
        <w:spacing w:line="360" w:lineRule="auto"/>
        <w:ind w:left="436" w:hanging="436"/>
        <w:jc w:val="both"/>
        <w:rPr>
          <w:color w:val="000000"/>
          <w:lang w:val="en-US"/>
        </w:rPr>
      </w:pPr>
      <w:r w:rsidRPr="00873C4C">
        <w:rPr>
          <w:color w:val="000000"/>
          <w:lang w:val="en-US"/>
        </w:rPr>
        <w:t xml:space="preserve">The above were prepared in the following concentration: </w:t>
      </w:r>
    </w:p>
    <w:p w:rsidR="002D284F" w:rsidRPr="00873C4C" w:rsidRDefault="00481030" w:rsidP="00057B42">
      <w:pPr>
        <w:pStyle w:val="BodyText"/>
        <w:spacing w:line="360" w:lineRule="auto"/>
        <w:ind w:left="436" w:hanging="436"/>
        <w:jc w:val="both"/>
        <w:rPr>
          <w:color w:val="000000"/>
          <w:lang w:val="en-US"/>
        </w:rPr>
      </w:pPr>
      <w:r>
        <w:rPr>
          <w:color w:val="000000"/>
          <w:lang w:val="en-US"/>
        </w:rPr>
        <w:t xml:space="preserve">1.  </w:t>
      </w:r>
      <w:r w:rsidR="002D284F" w:rsidRPr="00873C4C">
        <w:rPr>
          <w:color w:val="000000"/>
          <w:lang w:val="en-US"/>
        </w:rPr>
        <w:t xml:space="preserve">97% RPMI medium </w:t>
      </w:r>
    </w:p>
    <w:p w:rsidR="002D284F" w:rsidRPr="00873C4C" w:rsidRDefault="00481030" w:rsidP="00057B42">
      <w:pPr>
        <w:pStyle w:val="BodyText"/>
        <w:spacing w:line="360" w:lineRule="auto"/>
        <w:ind w:left="436" w:hanging="436"/>
        <w:jc w:val="both"/>
        <w:rPr>
          <w:color w:val="000000"/>
          <w:lang w:val="en-US"/>
        </w:rPr>
      </w:pPr>
      <w:r>
        <w:rPr>
          <w:color w:val="000000"/>
          <w:lang w:val="en-US"/>
        </w:rPr>
        <w:t xml:space="preserve">2.  </w:t>
      </w:r>
      <w:r w:rsidR="002D284F" w:rsidRPr="00873C4C">
        <w:rPr>
          <w:color w:val="000000"/>
          <w:lang w:val="en-US"/>
        </w:rPr>
        <w:t xml:space="preserve">1% </w:t>
      </w:r>
      <w:r w:rsidR="00647448" w:rsidRPr="00873C4C">
        <w:rPr>
          <w:color w:val="000000"/>
          <w:lang w:val="en-US"/>
        </w:rPr>
        <w:t>Pen Strep</w:t>
      </w:r>
    </w:p>
    <w:p w:rsidR="002D284F" w:rsidRPr="00873C4C" w:rsidRDefault="00481030" w:rsidP="00057B42">
      <w:pPr>
        <w:pStyle w:val="BodyText"/>
        <w:spacing w:line="360" w:lineRule="auto"/>
        <w:ind w:left="436" w:hanging="436"/>
        <w:jc w:val="both"/>
        <w:rPr>
          <w:color w:val="000000"/>
          <w:lang w:val="en-US"/>
        </w:rPr>
      </w:pPr>
      <w:r>
        <w:rPr>
          <w:color w:val="000000"/>
          <w:lang w:val="en-US"/>
        </w:rPr>
        <w:t xml:space="preserve">3.  </w:t>
      </w:r>
      <w:r w:rsidR="002D284F" w:rsidRPr="00873C4C">
        <w:rPr>
          <w:color w:val="000000"/>
          <w:lang w:val="en-US"/>
        </w:rPr>
        <w:t>1% Fungizone</w:t>
      </w:r>
    </w:p>
    <w:p w:rsidR="002D284F" w:rsidRDefault="002D284F" w:rsidP="00057B42">
      <w:pPr>
        <w:pStyle w:val="BodyText"/>
        <w:spacing w:line="360" w:lineRule="auto"/>
        <w:jc w:val="both"/>
        <w:rPr>
          <w:color w:val="000000"/>
          <w:lang w:val="en-US"/>
        </w:rPr>
      </w:pPr>
      <w:r w:rsidRPr="00873C4C">
        <w:rPr>
          <w:color w:val="000000"/>
          <w:lang w:val="en-US"/>
        </w:rPr>
        <w:t>Prepared media were aliquoted into the 20 ml / 50 ml sterile Falcon tubes (</w:t>
      </w:r>
      <w:r w:rsidRPr="00873C4C">
        <w:rPr>
          <w:i/>
          <w:color w:val="000000"/>
          <w:lang w:val="en-US"/>
        </w:rPr>
        <w:t>i.e.</w:t>
      </w:r>
      <w:r w:rsidRPr="00873C4C">
        <w:rPr>
          <w:color w:val="000000"/>
          <w:lang w:val="en-US"/>
        </w:rPr>
        <w:t xml:space="preserve"> blue screw-topped jars) and sealed with </w:t>
      </w:r>
      <w:r w:rsidR="00481030" w:rsidRPr="00873C4C">
        <w:rPr>
          <w:color w:val="000000"/>
          <w:lang w:val="en-US"/>
        </w:rPr>
        <w:t>Para film</w:t>
      </w:r>
      <w:r w:rsidRPr="00873C4C">
        <w:rPr>
          <w:color w:val="000000"/>
          <w:lang w:val="en-US"/>
        </w:rPr>
        <w:t xml:space="preserve">. The tubes were stored at </w:t>
      </w:r>
      <w:r w:rsidR="00647448" w:rsidRPr="00873C4C">
        <w:rPr>
          <w:color w:val="000000"/>
          <w:lang w:val="en-US"/>
        </w:rPr>
        <w:t>4</w:t>
      </w:r>
      <w:r w:rsidR="002E2A56">
        <w:rPr>
          <w:color w:val="000000"/>
          <w:vertAlign w:val="superscript"/>
          <w:lang w:val="en-US"/>
        </w:rPr>
        <w:t>o</w:t>
      </w:r>
      <w:r w:rsidR="00647448" w:rsidRPr="00873C4C">
        <w:rPr>
          <w:color w:val="000000"/>
          <w:lang w:val="en-US"/>
        </w:rPr>
        <w:t>C</w:t>
      </w:r>
      <w:r w:rsidRPr="00873C4C">
        <w:rPr>
          <w:color w:val="000000"/>
          <w:lang w:val="en-US"/>
        </w:rPr>
        <w:t xml:space="preserve"> until required.</w:t>
      </w:r>
    </w:p>
    <w:p w:rsidR="004B07D1" w:rsidRDefault="004B07D1" w:rsidP="00057B42">
      <w:pPr>
        <w:spacing w:line="360" w:lineRule="auto"/>
        <w:rPr>
          <w:color w:val="000000"/>
          <w:lang w:val="en-US"/>
        </w:rPr>
      </w:pPr>
    </w:p>
    <w:p w:rsidR="002D284F" w:rsidRPr="00873C4C" w:rsidRDefault="002D284F" w:rsidP="00057B42">
      <w:pPr>
        <w:spacing w:line="360" w:lineRule="auto"/>
        <w:jc w:val="both"/>
        <w:rPr>
          <w:color w:val="000000"/>
        </w:rPr>
      </w:pPr>
      <w:r w:rsidRPr="00873C4C">
        <w:rPr>
          <w:color w:val="000000"/>
          <w:lang w:val="en-US"/>
        </w:rPr>
        <w:t xml:space="preserve">Tube was labeled displaying as following: </w:t>
      </w:r>
    </w:p>
    <w:p w:rsidR="002D284F" w:rsidRPr="00873C4C" w:rsidRDefault="002D284F" w:rsidP="00057B42">
      <w:pPr>
        <w:pBdr>
          <w:top w:val="single" w:sz="4" w:space="1" w:color="auto"/>
          <w:left w:val="single" w:sz="4" w:space="4" w:color="auto"/>
          <w:bottom w:val="single" w:sz="4" w:space="1" w:color="auto"/>
          <w:right w:val="single" w:sz="4" w:space="4" w:color="auto"/>
        </w:pBdr>
        <w:spacing w:line="360" w:lineRule="auto"/>
        <w:jc w:val="center"/>
        <w:rPr>
          <w:b/>
          <w:color w:val="000000"/>
        </w:rPr>
      </w:pPr>
      <w:r w:rsidRPr="00873C4C">
        <w:rPr>
          <w:b/>
          <w:color w:val="000000"/>
        </w:rPr>
        <w:t>Multiple Myeloma Project</w:t>
      </w:r>
    </w:p>
    <w:p w:rsidR="002D284F" w:rsidRPr="00873C4C" w:rsidRDefault="002D284F" w:rsidP="00057B42">
      <w:pPr>
        <w:pBdr>
          <w:top w:val="single" w:sz="4" w:space="1" w:color="auto"/>
          <w:left w:val="single" w:sz="4" w:space="4" w:color="auto"/>
          <w:bottom w:val="single" w:sz="4" w:space="1" w:color="auto"/>
          <w:right w:val="single" w:sz="4" w:space="4" w:color="auto"/>
        </w:pBdr>
        <w:spacing w:line="360" w:lineRule="auto"/>
        <w:jc w:val="center"/>
        <w:rPr>
          <w:b/>
          <w:color w:val="000000"/>
        </w:rPr>
      </w:pPr>
      <w:r w:rsidRPr="00873C4C">
        <w:rPr>
          <w:b/>
          <w:color w:val="000000"/>
        </w:rPr>
        <w:t xml:space="preserve">Please add </w:t>
      </w:r>
      <w:r w:rsidR="00647448" w:rsidRPr="00873C4C">
        <w:rPr>
          <w:b/>
          <w:color w:val="000000"/>
        </w:rPr>
        <w:t>20</w:t>
      </w:r>
      <w:r w:rsidR="00647448">
        <w:rPr>
          <w:b/>
          <w:color w:val="000000"/>
        </w:rPr>
        <w:t xml:space="preserve"> </w:t>
      </w:r>
      <w:r w:rsidR="00647448" w:rsidRPr="00873C4C">
        <w:rPr>
          <w:b/>
          <w:color w:val="000000"/>
        </w:rPr>
        <w:t>ml</w:t>
      </w:r>
      <w:r w:rsidRPr="00873C4C">
        <w:rPr>
          <w:b/>
          <w:color w:val="000000"/>
        </w:rPr>
        <w:t xml:space="preserve"> of Bone Marrow</w:t>
      </w:r>
    </w:p>
    <w:p w:rsidR="002D284F" w:rsidRPr="00873C4C" w:rsidRDefault="002D284F" w:rsidP="00057B42">
      <w:pPr>
        <w:pBdr>
          <w:top w:val="single" w:sz="4" w:space="1" w:color="auto"/>
          <w:left w:val="single" w:sz="4" w:space="4" w:color="auto"/>
          <w:bottom w:val="single" w:sz="4" w:space="1" w:color="auto"/>
          <w:right w:val="single" w:sz="4" w:space="4" w:color="auto"/>
        </w:pBdr>
        <w:spacing w:line="360" w:lineRule="auto"/>
        <w:jc w:val="center"/>
        <w:rPr>
          <w:color w:val="000000"/>
        </w:rPr>
      </w:pPr>
      <w:r w:rsidRPr="00873C4C">
        <w:rPr>
          <w:b/>
          <w:color w:val="000000"/>
        </w:rPr>
        <w:t>Expiry date: dd/mm/yyyy</w:t>
      </w:r>
    </w:p>
    <w:p w:rsidR="002D284F" w:rsidRPr="00873C4C" w:rsidRDefault="002D284F" w:rsidP="00057B42">
      <w:pPr>
        <w:spacing w:line="360" w:lineRule="auto"/>
        <w:jc w:val="both"/>
        <w:rPr>
          <w:color w:val="000000"/>
        </w:rPr>
      </w:pPr>
    </w:p>
    <w:p w:rsidR="002D284F" w:rsidRPr="00873C4C" w:rsidRDefault="002D284F" w:rsidP="00057B42">
      <w:pPr>
        <w:pStyle w:val="BodyText"/>
        <w:spacing w:line="360" w:lineRule="auto"/>
        <w:rPr>
          <w:color w:val="000000"/>
          <w:lang w:val="en-US"/>
        </w:rPr>
      </w:pPr>
      <w:r w:rsidRPr="00873C4C">
        <w:rPr>
          <w:color w:val="000000"/>
          <w:lang w:val="en-US"/>
        </w:rPr>
        <w:t>The tubes containing the above media were stored at 4</w:t>
      </w:r>
      <w:r w:rsidRPr="00873C4C">
        <w:rPr>
          <w:color w:val="000000"/>
          <w:vertAlign w:val="superscript"/>
          <w:lang w:val="en-US"/>
        </w:rPr>
        <w:t>o</w:t>
      </w:r>
      <w:r w:rsidRPr="00873C4C">
        <w:rPr>
          <w:color w:val="000000"/>
          <w:lang w:val="en-US"/>
        </w:rPr>
        <w:t>C until required.</w:t>
      </w:r>
    </w:p>
    <w:p w:rsidR="002D284F" w:rsidRDefault="00365F6D" w:rsidP="00645687">
      <w:pPr>
        <w:pStyle w:val="Heading3"/>
      </w:pPr>
      <w:r>
        <w:br w:type="page"/>
      </w:r>
      <w:r w:rsidR="008C1620" w:rsidRPr="00873C4C">
        <w:lastRenderedPageBreak/>
        <w:tab/>
      </w:r>
      <w:bookmarkStart w:id="622" w:name="_Toc306570592"/>
      <w:bookmarkStart w:id="623" w:name="_Toc307067657"/>
      <w:bookmarkStart w:id="624" w:name="_Toc312169230"/>
      <w:bookmarkStart w:id="625" w:name="_Toc312172157"/>
      <w:bookmarkStart w:id="626" w:name="_Toc312257706"/>
      <w:r w:rsidR="002D284F" w:rsidRPr="00873C4C">
        <w:t>Processing of Bone Marrow Aspirates</w:t>
      </w:r>
      <w:bookmarkEnd w:id="622"/>
      <w:bookmarkEnd w:id="623"/>
      <w:bookmarkEnd w:id="624"/>
      <w:bookmarkEnd w:id="625"/>
      <w:bookmarkEnd w:id="626"/>
    </w:p>
    <w:p w:rsidR="002D284F" w:rsidRPr="00873C4C" w:rsidRDefault="002D284F" w:rsidP="00057B42">
      <w:pPr>
        <w:spacing w:line="360" w:lineRule="auto"/>
        <w:jc w:val="both"/>
        <w:rPr>
          <w:color w:val="000000"/>
        </w:rPr>
      </w:pPr>
      <w:r w:rsidRPr="00873C4C">
        <w:rPr>
          <w:color w:val="000000"/>
        </w:rPr>
        <w:t>In the laboratory bone marrow aspirates were kept at room temperature until processed.  The whole process from bone marrow aspirates</w:t>
      </w:r>
      <w:r w:rsidR="00BD1453">
        <w:rPr>
          <w:color w:val="000000"/>
        </w:rPr>
        <w:t xml:space="preserve"> from patients to the </w:t>
      </w:r>
      <w:r w:rsidRPr="00873C4C">
        <w:rPr>
          <w:color w:val="000000"/>
        </w:rPr>
        <w:t>80</w:t>
      </w:r>
      <w:r w:rsidR="00BD1453" w:rsidRPr="00BD1453">
        <w:rPr>
          <w:color w:val="000000"/>
          <w:vertAlign w:val="superscript"/>
        </w:rPr>
        <w:t>0</w:t>
      </w:r>
      <w:r w:rsidR="00BD1453">
        <w:rPr>
          <w:color w:val="000000"/>
        </w:rPr>
        <w:t xml:space="preserve">C </w:t>
      </w:r>
      <w:r w:rsidRPr="00873C4C">
        <w:rPr>
          <w:color w:val="000000"/>
        </w:rPr>
        <w:t>freezers were completed within 3 hours of collection.</w:t>
      </w:r>
    </w:p>
    <w:p w:rsidR="002D284F" w:rsidRPr="00873C4C" w:rsidRDefault="002D284F" w:rsidP="00057B42">
      <w:pPr>
        <w:spacing w:line="360" w:lineRule="auto"/>
        <w:jc w:val="both"/>
        <w:rPr>
          <w:color w:val="000000"/>
        </w:rPr>
      </w:pPr>
      <w:r w:rsidRPr="00873C4C">
        <w:rPr>
          <w:color w:val="000000"/>
        </w:rPr>
        <w:t xml:space="preserve">All plastic wear </w:t>
      </w:r>
      <w:r w:rsidR="00647448">
        <w:rPr>
          <w:color w:val="000000"/>
        </w:rPr>
        <w:t xml:space="preserve">were </w:t>
      </w:r>
      <w:r w:rsidR="00647448" w:rsidRPr="00873C4C">
        <w:rPr>
          <w:color w:val="000000"/>
        </w:rPr>
        <w:t>sterili</w:t>
      </w:r>
      <w:r w:rsidR="00647448">
        <w:rPr>
          <w:color w:val="000000"/>
        </w:rPr>
        <w:t>zed using</w:t>
      </w:r>
      <w:r w:rsidRPr="00873C4C">
        <w:rPr>
          <w:color w:val="000000"/>
        </w:rPr>
        <w:t xml:space="preserve"> standard sterile techniques.</w:t>
      </w:r>
    </w:p>
    <w:p w:rsidR="002D284F" w:rsidRPr="00481030" w:rsidRDefault="00BD1453" w:rsidP="00057B42">
      <w:pPr>
        <w:pStyle w:val="ListParagraph"/>
        <w:numPr>
          <w:ilvl w:val="3"/>
          <w:numId w:val="21"/>
        </w:numPr>
        <w:spacing w:line="360" w:lineRule="auto"/>
        <w:ind w:left="0" w:firstLine="0"/>
        <w:jc w:val="both"/>
        <w:rPr>
          <w:color w:val="000000"/>
        </w:rPr>
      </w:pPr>
      <w:r>
        <w:rPr>
          <w:color w:val="000000"/>
        </w:rPr>
        <w:t>C</w:t>
      </w:r>
      <w:r w:rsidR="002D284F" w:rsidRPr="00481030">
        <w:rPr>
          <w:color w:val="000000"/>
        </w:rPr>
        <w:t>lear 10</w:t>
      </w:r>
      <w:r w:rsidR="002E2A56">
        <w:rPr>
          <w:color w:val="000000"/>
        </w:rPr>
        <w:t xml:space="preserve"> </w:t>
      </w:r>
      <w:r w:rsidR="002D284F" w:rsidRPr="00481030">
        <w:rPr>
          <w:color w:val="000000"/>
        </w:rPr>
        <w:t>ml tubes</w:t>
      </w:r>
    </w:p>
    <w:p w:rsidR="002D284F" w:rsidRPr="00481030" w:rsidRDefault="00BD1453" w:rsidP="00057B42">
      <w:pPr>
        <w:pStyle w:val="ListParagraph"/>
        <w:numPr>
          <w:ilvl w:val="3"/>
          <w:numId w:val="21"/>
        </w:numPr>
        <w:spacing w:line="360" w:lineRule="auto"/>
        <w:ind w:left="0" w:firstLine="0"/>
        <w:jc w:val="both"/>
        <w:rPr>
          <w:color w:val="000000"/>
        </w:rPr>
      </w:pPr>
      <w:r>
        <w:rPr>
          <w:color w:val="000000"/>
        </w:rPr>
        <w:t>C</w:t>
      </w:r>
      <w:r w:rsidR="002D284F" w:rsidRPr="00481030">
        <w:rPr>
          <w:color w:val="000000"/>
        </w:rPr>
        <w:t>lear 15</w:t>
      </w:r>
      <w:r w:rsidR="002E2A56">
        <w:rPr>
          <w:color w:val="000000"/>
        </w:rPr>
        <w:t xml:space="preserve"> </w:t>
      </w:r>
      <w:r w:rsidR="002D284F" w:rsidRPr="00481030">
        <w:rPr>
          <w:color w:val="000000"/>
        </w:rPr>
        <w:t>ml tubes</w:t>
      </w:r>
    </w:p>
    <w:p w:rsidR="002D284F" w:rsidRPr="00481030" w:rsidRDefault="00BD1453" w:rsidP="00057B42">
      <w:pPr>
        <w:pStyle w:val="ListParagraph"/>
        <w:numPr>
          <w:ilvl w:val="3"/>
          <w:numId w:val="21"/>
        </w:numPr>
        <w:spacing w:line="360" w:lineRule="auto"/>
        <w:ind w:left="0" w:firstLine="0"/>
        <w:jc w:val="both"/>
        <w:rPr>
          <w:color w:val="000000"/>
        </w:rPr>
      </w:pPr>
      <w:r>
        <w:rPr>
          <w:color w:val="000000"/>
        </w:rPr>
        <w:t>C</w:t>
      </w:r>
      <w:r w:rsidR="002D284F" w:rsidRPr="00481030">
        <w:rPr>
          <w:color w:val="000000"/>
        </w:rPr>
        <w:t>lear 50</w:t>
      </w:r>
      <w:r w:rsidR="002E2A56">
        <w:rPr>
          <w:color w:val="000000"/>
        </w:rPr>
        <w:t xml:space="preserve"> </w:t>
      </w:r>
      <w:r w:rsidR="002D284F" w:rsidRPr="00481030">
        <w:rPr>
          <w:color w:val="000000"/>
        </w:rPr>
        <w:t>ml tubes</w:t>
      </w:r>
    </w:p>
    <w:p w:rsidR="002D284F" w:rsidRPr="00481030" w:rsidRDefault="00647448" w:rsidP="00057B42">
      <w:pPr>
        <w:pStyle w:val="ListParagraph"/>
        <w:numPr>
          <w:ilvl w:val="3"/>
          <w:numId w:val="21"/>
        </w:numPr>
        <w:spacing w:line="360" w:lineRule="auto"/>
        <w:ind w:left="0" w:firstLine="0"/>
        <w:jc w:val="both"/>
        <w:rPr>
          <w:color w:val="000000"/>
        </w:rPr>
      </w:pPr>
      <w:r>
        <w:rPr>
          <w:color w:val="000000"/>
        </w:rPr>
        <w:t>C</w:t>
      </w:r>
      <w:r w:rsidRPr="00481030">
        <w:rPr>
          <w:color w:val="000000"/>
        </w:rPr>
        <w:t>ryovial</w:t>
      </w:r>
    </w:p>
    <w:p w:rsidR="002D284F" w:rsidRPr="00481030" w:rsidRDefault="00BD1453" w:rsidP="00057B42">
      <w:pPr>
        <w:pStyle w:val="ListParagraph"/>
        <w:numPr>
          <w:ilvl w:val="3"/>
          <w:numId w:val="21"/>
        </w:numPr>
        <w:spacing w:line="360" w:lineRule="auto"/>
        <w:ind w:left="0" w:firstLine="0"/>
        <w:jc w:val="both"/>
        <w:rPr>
          <w:color w:val="000000"/>
        </w:rPr>
      </w:pPr>
      <w:r>
        <w:rPr>
          <w:color w:val="000000"/>
        </w:rPr>
        <w:t>P</w:t>
      </w:r>
      <w:r w:rsidR="002D284F" w:rsidRPr="00481030">
        <w:rPr>
          <w:color w:val="000000"/>
        </w:rPr>
        <w:t>lastic pasteur pipettes</w:t>
      </w:r>
    </w:p>
    <w:p w:rsidR="002D284F" w:rsidRPr="00481030" w:rsidRDefault="00BD1453" w:rsidP="00057B42">
      <w:pPr>
        <w:pStyle w:val="ListParagraph"/>
        <w:numPr>
          <w:ilvl w:val="3"/>
          <w:numId w:val="21"/>
        </w:numPr>
        <w:spacing w:line="360" w:lineRule="auto"/>
        <w:ind w:left="0" w:firstLine="0"/>
        <w:jc w:val="both"/>
        <w:rPr>
          <w:color w:val="000000"/>
        </w:rPr>
      </w:pPr>
      <w:r>
        <w:rPr>
          <w:color w:val="000000"/>
        </w:rPr>
        <w:t>1</w:t>
      </w:r>
      <w:r w:rsidR="002E2A56">
        <w:rPr>
          <w:color w:val="000000"/>
        </w:rPr>
        <w:t xml:space="preserve"> </w:t>
      </w:r>
      <w:r>
        <w:rPr>
          <w:color w:val="000000"/>
        </w:rPr>
        <w:t>ml, 5</w:t>
      </w:r>
      <w:r w:rsidR="002E2A56">
        <w:rPr>
          <w:color w:val="000000"/>
        </w:rPr>
        <w:t xml:space="preserve"> </w:t>
      </w:r>
      <w:r>
        <w:rPr>
          <w:color w:val="000000"/>
        </w:rPr>
        <w:t>ml and</w:t>
      </w:r>
      <w:r w:rsidR="002D284F" w:rsidRPr="00481030">
        <w:rPr>
          <w:color w:val="000000"/>
        </w:rPr>
        <w:t xml:space="preserve"> 10</w:t>
      </w:r>
      <w:r w:rsidR="002E2A56">
        <w:rPr>
          <w:color w:val="000000"/>
        </w:rPr>
        <w:t xml:space="preserve"> </w:t>
      </w:r>
      <w:r w:rsidR="002D284F" w:rsidRPr="00481030">
        <w:rPr>
          <w:color w:val="000000"/>
        </w:rPr>
        <w:t>ml pipettes</w:t>
      </w:r>
    </w:p>
    <w:p w:rsidR="002D284F" w:rsidRPr="00873C4C" w:rsidRDefault="002D284F" w:rsidP="00057B42">
      <w:pPr>
        <w:spacing w:line="360" w:lineRule="auto"/>
        <w:jc w:val="both"/>
        <w:rPr>
          <w:color w:val="000000"/>
        </w:rPr>
      </w:pPr>
      <w:r w:rsidRPr="00873C4C">
        <w:rPr>
          <w:color w:val="000000"/>
        </w:rPr>
        <w:t xml:space="preserve">Once the Bone Marrows </w:t>
      </w:r>
      <w:r w:rsidR="00BD1453" w:rsidRPr="00873C4C">
        <w:rPr>
          <w:color w:val="000000"/>
        </w:rPr>
        <w:t>specimens were</w:t>
      </w:r>
      <w:r w:rsidRPr="00873C4C">
        <w:rPr>
          <w:color w:val="000000"/>
        </w:rPr>
        <w:t xml:space="preserve"> received, the sample code number details were recorded in the “MM samples” laboratory note book. </w:t>
      </w:r>
    </w:p>
    <w:p w:rsidR="008329E6" w:rsidRDefault="002D284F" w:rsidP="00057B42">
      <w:pPr>
        <w:spacing w:line="360" w:lineRule="auto"/>
        <w:jc w:val="both"/>
        <w:rPr>
          <w:color w:val="000000"/>
        </w:rPr>
      </w:pPr>
      <w:r w:rsidRPr="00873C4C">
        <w:rPr>
          <w:color w:val="000000"/>
        </w:rPr>
        <w:t xml:space="preserve">The bone marrow </w:t>
      </w:r>
      <w:r w:rsidR="00647448" w:rsidRPr="00873C4C">
        <w:rPr>
          <w:color w:val="000000"/>
        </w:rPr>
        <w:t>speci</w:t>
      </w:r>
      <w:r w:rsidR="00647448">
        <w:rPr>
          <w:color w:val="000000"/>
        </w:rPr>
        <w:t>mens were</w:t>
      </w:r>
      <w:r w:rsidR="00BD1453">
        <w:rPr>
          <w:color w:val="000000"/>
        </w:rPr>
        <w:t xml:space="preserve"> aliquoted into 2-3 or </w:t>
      </w:r>
      <w:r w:rsidRPr="00873C4C">
        <w:rPr>
          <w:color w:val="000000"/>
        </w:rPr>
        <w:t>15</w:t>
      </w:r>
      <w:r w:rsidR="002E2A56">
        <w:rPr>
          <w:color w:val="000000"/>
        </w:rPr>
        <w:t xml:space="preserve"> </w:t>
      </w:r>
      <w:r w:rsidRPr="00873C4C">
        <w:rPr>
          <w:color w:val="000000"/>
        </w:rPr>
        <w:t xml:space="preserve">ml </w:t>
      </w:r>
      <w:r w:rsidR="00647448" w:rsidRPr="00873C4C">
        <w:rPr>
          <w:color w:val="000000"/>
        </w:rPr>
        <w:t>tubes,</w:t>
      </w:r>
      <w:r w:rsidRPr="00873C4C">
        <w:rPr>
          <w:color w:val="000000"/>
        </w:rPr>
        <w:t xml:space="preserve"> depending on the sample amount. The tubes were centrifuged at 400 rcf, for 30 minutes at </w:t>
      </w:r>
      <w:r w:rsidR="00647448" w:rsidRPr="00873C4C">
        <w:rPr>
          <w:color w:val="000000"/>
        </w:rPr>
        <w:t>4</w:t>
      </w:r>
      <w:r w:rsidR="00647448" w:rsidRPr="00873C4C">
        <w:rPr>
          <w:color w:val="000000"/>
          <w:vertAlign w:val="superscript"/>
        </w:rPr>
        <w:t>°</w:t>
      </w:r>
      <w:r w:rsidR="00647448" w:rsidRPr="00873C4C">
        <w:rPr>
          <w:color w:val="000000"/>
        </w:rPr>
        <w:t>C</w:t>
      </w:r>
      <w:r w:rsidRPr="00873C4C">
        <w:rPr>
          <w:color w:val="000000"/>
        </w:rPr>
        <w:t xml:space="preserve">. The supernatant (media layer) </w:t>
      </w:r>
      <w:r w:rsidR="002E2A56">
        <w:rPr>
          <w:color w:val="000000"/>
        </w:rPr>
        <w:t>–</w:t>
      </w:r>
      <w:r w:rsidRPr="00873C4C">
        <w:rPr>
          <w:color w:val="000000"/>
        </w:rPr>
        <w:t xml:space="preserve"> 500</w:t>
      </w:r>
      <w:r w:rsidR="002E2A56">
        <w:rPr>
          <w:color w:val="000000"/>
        </w:rPr>
        <w:t xml:space="preserve"> </w:t>
      </w:r>
      <w:r w:rsidRPr="00873C4C">
        <w:rPr>
          <w:color w:val="000000"/>
        </w:rPr>
        <w:t>µl to 1</w:t>
      </w:r>
      <w:r w:rsidR="002E2A56">
        <w:rPr>
          <w:color w:val="000000"/>
        </w:rPr>
        <w:t xml:space="preserve"> ml </w:t>
      </w:r>
      <w:r w:rsidRPr="00873C4C">
        <w:rPr>
          <w:color w:val="000000"/>
        </w:rPr>
        <w:t>into 2 cryovial. The whole concentrated bone marrow pellet was aliquoted into as 2-3 cryovial containing mini</w:t>
      </w:r>
      <w:r w:rsidR="002E2A56">
        <w:rPr>
          <w:color w:val="000000"/>
        </w:rPr>
        <w:t xml:space="preserve">mum of 1 </w:t>
      </w:r>
      <w:r w:rsidRPr="00873C4C">
        <w:rPr>
          <w:color w:val="000000"/>
        </w:rPr>
        <w:t>ml. The cryovial tubes were labelled with 3 forms of identification i.e. Samples code number, Date of collection and operators signature.</w:t>
      </w:r>
    </w:p>
    <w:p w:rsidR="002D284F" w:rsidRPr="00873C4C" w:rsidRDefault="002D284F" w:rsidP="00057B42">
      <w:pPr>
        <w:spacing w:line="360" w:lineRule="auto"/>
        <w:jc w:val="both"/>
        <w:rPr>
          <w:color w:val="000000"/>
        </w:rPr>
      </w:pPr>
    </w:p>
    <w:p w:rsidR="002D284F" w:rsidRPr="00873C4C" w:rsidRDefault="008C1620" w:rsidP="00645687">
      <w:pPr>
        <w:pStyle w:val="Heading3"/>
      </w:pPr>
      <w:r w:rsidRPr="00873C4C">
        <w:tab/>
      </w:r>
      <w:bookmarkStart w:id="627" w:name="_Toc306570593"/>
      <w:bookmarkStart w:id="628" w:name="_Toc307067658"/>
      <w:bookmarkStart w:id="629" w:name="_Toc312169231"/>
      <w:bookmarkStart w:id="630" w:name="_Toc312172158"/>
      <w:bookmarkStart w:id="631" w:name="_Toc312257707"/>
      <w:r w:rsidR="002D284F" w:rsidRPr="00873C4C">
        <w:t>Plasma and Stromal cells isolation</w:t>
      </w:r>
      <w:bookmarkEnd w:id="627"/>
      <w:bookmarkEnd w:id="628"/>
      <w:bookmarkEnd w:id="629"/>
      <w:bookmarkEnd w:id="630"/>
      <w:bookmarkEnd w:id="631"/>
    </w:p>
    <w:p w:rsidR="002D284F" w:rsidRPr="00873C4C" w:rsidRDefault="008C1620" w:rsidP="00057B42">
      <w:pPr>
        <w:tabs>
          <w:tab w:val="left" w:pos="426"/>
        </w:tabs>
        <w:spacing w:line="360" w:lineRule="auto"/>
        <w:jc w:val="both"/>
        <w:rPr>
          <w:color w:val="000000"/>
        </w:rPr>
      </w:pPr>
      <w:r w:rsidRPr="00873C4C">
        <w:rPr>
          <w:color w:val="000000"/>
        </w:rPr>
        <w:t>Plasma and Stromal cells were isolated by positive sele</w:t>
      </w:r>
      <w:r w:rsidR="00647448">
        <w:rPr>
          <w:color w:val="000000"/>
        </w:rPr>
        <w:t>ction using CD138 micro beads (</w:t>
      </w:r>
      <w:r w:rsidRPr="00873C4C">
        <w:rPr>
          <w:color w:val="000000"/>
        </w:rPr>
        <w:t>Miltenyi Biotec; bergisch Gladbach, Germany).</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10 ml of marrow samples were collected from consented patients in the BM collection media as above.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Bone Marrow was filtered through a 0.70</w:t>
      </w:r>
      <w:r w:rsidR="002E2A56">
        <w:rPr>
          <w:color w:val="000000"/>
        </w:rPr>
        <w:t xml:space="preserve"> </w:t>
      </w:r>
      <w:r w:rsidR="002E2A56" w:rsidRPr="00873C4C">
        <w:rPr>
          <w:color w:val="000000"/>
        </w:rPr>
        <w:t>µ</w:t>
      </w:r>
      <w:r w:rsidRPr="00873C4C">
        <w:rPr>
          <w:color w:val="000000"/>
        </w:rPr>
        <w:t>m filter into a 50</w:t>
      </w:r>
      <w:r w:rsidR="002E2A56">
        <w:rPr>
          <w:color w:val="000000"/>
        </w:rPr>
        <w:t xml:space="preserve"> </w:t>
      </w:r>
      <w:r w:rsidRPr="00873C4C">
        <w:rPr>
          <w:color w:val="000000"/>
        </w:rPr>
        <w:t>ml tube (</w:t>
      </w:r>
      <w:r w:rsidRPr="00873C4C">
        <w:rPr>
          <w:i/>
          <w:color w:val="000000"/>
        </w:rPr>
        <w:t>Falcon # 352350</w:t>
      </w:r>
      <w:r w:rsidRPr="00873C4C">
        <w:rPr>
          <w:color w:val="000000"/>
        </w:rPr>
        <w:t xml:space="preserve">)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Filtered specimen was </w:t>
      </w:r>
      <w:r w:rsidR="00647448" w:rsidRPr="00873C4C">
        <w:rPr>
          <w:color w:val="000000"/>
        </w:rPr>
        <w:t>aliquoted</w:t>
      </w:r>
      <w:r w:rsidR="00C0385F">
        <w:rPr>
          <w:color w:val="000000"/>
        </w:rPr>
        <w:t xml:space="preserve"> into 2 x </w:t>
      </w:r>
      <w:r w:rsidRPr="00873C4C">
        <w:rPr>
          <w:color w:val="000000"/>
        </w:rPr>
        <w:t>15</w:t>
      </w:r>
      <w:r w:rsidR="002E2A56">
        <w:rPr>
          <w:color w:val="000000"/>
        </w:rPr>
        <w:t xml:space="preserve"> </w:t>
      </w:r>
      <w:r w:rsidRPr="00873C4C">
        <w:rPr>
          <w:color w:val="000000"/>
        </w:rPr>
        <w:t>ml tubes</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The tubes were centrifuged for </w:t>
      </w:r>
      <w:r w:rsidR="00647448" w:rsidRPr="00873C4C">
        <w:rPr>
          <w:color w:val="000000"/>
        </w:rPr>
        <w:t>30</w:t>
      </w:r>
      <w:r w:rsidR="00647448">
        <w:rPr>
          <w:color w:val="000000"/>
        </w:rPr>
        <w:t xml:space="preserve"> </w:t>
      </w:r>
      <w:r w:rsidR="00647448" w:rsidRPr="00873C4C">
        <w:rPr>
          <w:color w:val="000000"/>
        </w:rPr>
        <w:t>min</w:t>
      </w:r>
      <w:r w:rsidR="00647448">
        <w:rPr>
          <w:color w:val="000000"/>
        </w:rPr>
        <w:t>utes</w:t>
      </w:r>
      <w:r w:rsidRPr="00873C4C">
        <w:rPr>
          <w:color w:val="000000"/>
        </w:rPr>
        <w:t xml:space="preserve">, </w:t>
      </w:r>
      <w:r w:rsidR="00647448" w:rsidRPr="00873C4C">
        <w:rPr>
          <w:color w:val="000000"/>
        </w:rPr>
        <w:t>400xG</w:t>
      </w:r>
      <w:r w:rsidRPr="00873C4C">
        <w:rPr>
          <w:color w:val="000000"/>
        </w:rPr>
        <w:t xml:space="preserve"> at </w:t>
      </w:r>
      <w:r w:rsidR="00647448" w:rsidRPr="00873C4C">
        <w:rPr>
          <w:color w:val="000000"/>
        </w:rPr>
        <w:t>4°C</w:t>
      </w:r>
      <w:r w:rsidRPr="00873C4C">
        <w:rPr>
          <w:color w:val="000000"/>
        </w:rPr>
        <w:t>.</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pelleted bone mar</w:t>
      </w:r>
      <w:r w:rsidR="00C0385F">
        <w:rPr>
          <w:color w:val="000000"/>
        </w:rPr>
        <w:t>row were resuspended it in 2-</w:t>
      </w:r>
      <w:r w:rsidRPr="00873C4C">
        <w:rPr>
          <w:color w:val="000000"/>
        </w:rPr>
        <w:t>3 volumes of MACS buffer (</w:t>
      </w:r>
      <w:r w:rsidRPr="00873C4C">
        <w:rPr>
          <w:i/>
          <w:color w:val="000000"/>
        </w:rPr>
        <w:t># 130-091-221</w:t>
      </w:r>
      <w:r w:rsidRPr="00873C4C">
        <w:rPr>
          <w:color w:val="000000"/>
        </w:rPr>
        <w:t xml:space="preserve">).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lastRenderedPageBreak/>
        <w:t>The 15</w:t>
      </w:r>
      <w:r w:rsidR="002777B2">
        <w:rPr>
          <w:color w:val="000000"/>
        </w:rPr>
        <w:t xml:space="preserve"> </w:t>
      </w:r>
      <w:r w:rsidRPr="00873C4C">
        <w:rPr>
          <w:color w:val="000000"/>
        </w:rPr>
        <w:t>ml of suspended bone marrow was layered over the 15</w:t>
      </w:r>
      <w:r w:rsidR="002E2A56">
        <w:rPr>
          <w:color w:val="000000"/>
        </w:rPr>
        <w:t xml:space="preserve"> </w:t>
      </w:r>
      <w:r w:rsidRPr="00873C4C">
        <w:rPr>
          <w:color w:val="000000"/>
        </w:rPr>
        <w:t>ml of Ficoll-Paque Plus (</w:t>
      </w:r>
      <w:r w:rsidRPr="00873C4C">
        <w:rPr>
          <w:i/>
          <w:color w:val="000000"/>
        </w:rPr>
        <w:t>GE Healthcare #17-1440-03</w:t>
      </w:r>
      <w:r w:rsidRPr="00873C4C">
        <w:rPr>
          <w:color w:val="000000"/>
        </w:rPr>
        <w:t xml:space="preserve">).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The layering was done very slowly to prevent mixing. </w:t>
      </w:r>
    </w:p>
    <w:p w:rsidR="00BD1453" w:rsidRPr="00BD1453" w:rsidRDefault="002D284F" w:rsidP="00057B42">
      <w:pPr>
        <w:numPr>
          <w:ilvl w:val="0"/>
          <w:numId w:val="9"/>
        </w:numPr>
        <w:tabs>
          <w:tab w:val="left" w:pos="426"/>
        </w:tabs>
        <w:spacing w:line="360" w:lineRule="auto"/>
        <w:ind w:left="0" w:firstLine="0"/>
        <w:jc w:val="both"/>
      </w:pPr>
      <w:r w:rsidRPr="00BD1453">
        <w:rPr>
          <w:color w:val="000000"/>
        </w:rPr>
        <w:t xml:space="preserve">The </w:t>
      </w:r>
      <w:r w:rsidR="002777B2" w:rsidRPr="00BD1453">
        <w:rPr>
          <w:color w:val="000000"/>
        </w:rPr>
        <w:t>specimens were</w:t>
      </w:r>
      <w:r w:rsidRPr="00BD1453">
        <w:rPr>
          <w:color w:val="000000"/>
        </w:rPr>
        <w:t xml:space="preserve"> centrifuged at </w:t>
      </w:r>
      <w:r w:rsidR="00647448" w:rsidRPr="00BD1453">
        <w:rPr>
          <w:color w:val="000000"/>
        </w:rPr>
        <w:t>400xG</w:t>
      </w:r>
      <w:r w:rsidRPr="00BD1453">
        <w:rPr>
          <w:color w:val="000000"/>
        </w:rPr>
        <w:t xml:space="preserve"> for 30 minutes. The</w:t>
      </w:r>
      <w:r w:rsidR="00BD1453" w:rsidRPr="00BD1453">
        <w:rPr>
          <w:color w:val="000000"/>
        </w:rPr>
        <w:t xml:space="preserve"> centrifuged brake was disabled</w:t>
      </w:r>
      <w:r w:rsidRPr="00BD1453">
        <w:rPr>
          <w:color w:val="000000"/>
        </w:rPr>
        <w:t>.</w:t>
      </w:r>
      <w:r w:rsidR="00BD1453" w:rsidRPr="00BD1453">
        <w:rPr>
          <w:color w:val="000000"/>
        </w:rPr>
        <w:t xml:space="preserve"> </w:t>
      </w:r>
      <w:r w:rsidR="00C0385F">
        <w:t>The  mononuclear cell</w:t>
      </w:r>
      <w:r w:rsidR="00BD1453" w:rsidRPr="00BD1453">
        <w:t xml:space="preserve"> layer was removed and collected </w:t>
      </w:r>
    </w:p>
    <w:p w:rsidR="002D284F" w:rsidRPr="00BD1453" w:rsidRDefault="002D284F" w:rsidP="00057B42">
      <w:pPr>
        <w:spacing w:line="360" w:lineRule="auto"/>
        <w:jc w:val="both"/>
      </w:pPr>
      <w:r w:rsidRPr="00BD1453">
        <w:t xml:space="preserve">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cell count was done u</w:t>
      </w:r>
      <w:r w:rsidR="002E2A56">
        <w:rPr>
          <w:color w:val="000000"/>
        </w:rPr>
        <w:t>sing a haemocytometer. The cell</w:t>
      </w:r>
      <w:r w:rsidRPr="00873C4C">
        <w:rPr>
          <w:color w:val="000000"/>
        </w:rPr>
        <w:t xml:space="preserve"> number sho</w:t>
      </w:r>
      <w:r w:rsidR="00C0385F">
        <w:rPr>
          <w:color w:val="000000"/>
        </w:rPr>
        <w:t xml:space="preserve">uld be approximately </w:t>
      </w:r>
      <w:r w:rsidR="00647448" w:rsidRPr="00873C4C">
        <w:rPr>
          <w:color w:val="000000"/>
        </w:rPr>
        <w:t>2x10</w:t>
      </w:r>
      <w:r w:rsidR="00647448" w:rsidRPr="00873C4C">
        <w:rPr>
          <w:color w:val="000000"/>
          <w:vertAlign w:val="superscript"/>
        </w:rPr>
        <w:t>7.</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The specimen containing cells were centrifuged for 10 minutes </w:t>
      </w:r>
      <w:r w:rsidR="00647448" w:rsidRPr="00873C4C">
        <w:rPr>
          <w:color w:val="000000"/>
        </w:rPr>
        <w:t>at 1500</w:t>
      </w:r>
      <w:r w:rsidRPr="00873C4C">
        <w:rPr>
          <w:color w:val="000000"/>
        </w:rPr>
        <w:t xml:space="preserve"> rpm.</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supernatant was removed and the pellet was resuspended as follows:</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For 1x10</w:t>
      </w:r>
      <w:r w:rsidRPr="00873C4C">
        <w:rPr>
          <w:color w:val="000000"/>
          <w:vertAlign w:val="superscript"/>
        </w:rPr>
        <w:t>7</w:t>
      </w:r>
      <w:r w:rsidRPr="00873C4C">
        <w:rPr>
          <w:color w:val="000000"/>
        </w:rPr>
        <w:t xml:space="preserve"> cells, 50</w:t>
      </w:r>
      <w:r w:rsidR="002E2A56">
        <w:rPr>
          <w:color w:val="000000"/>
        </w:rPr>
        <w:t xml:space="preserve"> </w:t>
      </w:r>
      <w:r w:rsidRPr="00873C4C">
        <w:rPr>
          <w:color w:val="000000"/>
        </w:rPr>
        <w:t>µl of MACS buffer and 80</w:t>
      </w:r>
      <w:r w:rsidR="002E2A56">
        <w:rPr>
          <w:color w:val="000000"/>
        </w:rPr>
        <w:t xml:space="preserve"> </w:t>
      </w:r>
      <w:r w:rsidRPr="00873C4C">
        <w:rPr>
          <w:color w:val="000000"/>
        </w:rPr>
        <w:t>µl of CD138 beads was added (</w:t>
      </w:r>
      <w:r w:rsidRPr="00873C4C">
        <w:rPr>
          <w:i/>
          <w:color w:val="000000"/>
        </w:rPr>
        <w:t>MACS #</w:t>
      </w:r>
      <w:r w:rsidRPr="00873C4C">
        <w:rPr>
          <w:color w:val="000000"/>
        </w:rPr>
        <w:t xml:space="preserve"> </w:t>
      </w:r>
      <w:r w:rsidRPr="00873C4C">
        <w:rPr>
          <w:i/>
          <w:color w:val="000000"/>
        </w:rPr>
        <w:t>130-051-301</w:t>
      </w:r>
      <w:r w:rsidRPr="00873C4C">
        <w:rPr>
          <w:color w:val="000000"/>
        </w:rPr>
        <w:t xml:space="preserve">). The specimen were gently mixed and placed at </w:t>
      </w:r>
      <w:r w:rsidR="00647448" w:rsidRPr="00873C4C">
        <w:rPr>
          <w:color w:val="000000"/>
        </w:rPr>
        <w:t>4°C</w:t>
      </w:r>
      <w:r w:rsidRPr="00873C4C">
        <w:rPr>
          <w:color w:val="000000"/>
        </w:rPr>
        <w:t xml:space="preserve"> for 15</w:t>
      </w:r>
      <w:r w:rsidR="002777B2">
        <w:rPr>
          <w:color w:val="000000"/>
        </w:rPr>
        <w:t xml:space="preserve"> </w:t>
      </w:r>
      <w:r w:rsidRPr="00873C4C">
        <w:rPr>
          <w:color w:val="000000"/>
        </w:rPr>
        <w:t>min</w:t>
      </w:r>
      <w:r w:rsidR="002777B2">
        <w:rPr>
          <w:color w:val="000000"/>
        </w:rPr>
        <w:t>utes</w:t>
      </w:r>
      <w:r w:rsidRPr="00873C4C">
        <w:rPr>
          <w:color w:val="000000"/>
        </w:rPr>
        <w:t xml:space="preserve"> with loose cap.</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LS column (</w:t>
      </w:r>
      <w:r w:rsidRPr="00873C4C">
        <w:rPr>
          <w:i/>
          <w:color w:val="000000"/>
        </w:rPr>
        <w:t>MACS # 130-042-401</w:t>
      </w:r>
      <w:r w:rsidRPr="00873C4C">
        <w:rPr>
          <w:color w:val="000000"/>
        </w:rPr>
        <w:t xml:space="preserve">) was placed in the magnet satnd.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pre-separation filter (</w:t>
      </w:r>
      <w:r w:rsidRPr="00873C4C">
        <w:rPr>
          <w:i/>
          <w:color w:val="000000"/>
        </w:rPr>
        <w:t>MACS #130-041-407</w:t>
      </w:r>
      <w:r w:rsidRPr="00873C4C">
        <w:rPr>
          <w:color w:val="000000"/>
        </w:rPr>
        <w:t>) was placed at the top of column.</w:t>
      </w:r>
    </w:p>
    <w:p w:rsidR="002D284F" w:rsidRPr="00873C4C" w:rsidRDefault="00647448" w:rsidP="00057B42">
      <w:pPr>
        <w:numPr>
          <w:ilvl w:val="0"/>
          <w:numId w:val="9"/>
        </w:numPr>
        <w:tabs>
          <w:tab w:val="left" w:pos="426"/>
        </w:tabs>
        <w:spacing w:line="360" w:lineRule="auto"/>
        <w:ind w:left="0" w:firstLine="0"/>
        <w:jc w:val="both"/>
        <w:rPr>
          <w:color w:val="000000"/>
        </w:rPr>
      </w:pPr>
      <w:r>
        <w:rPr>
          <w:color w:val="000000"/>
        </w:rPr>
        <w:t xml:space="preserve">Five </w:t>
      </w:r>
      <w:r w:rsidRPr="00873C4C">
        <w:rPr>
          <w:color w:val="000000"/>
        </w:rPr>
        <w:t>ml of MACS buffer were pass</w:t>
      </w:r>
      <w:r>
        <w:rPr>
          <w:color w:val="000000"/>
        </w:rPr>
        <w:t>ed</w:t>
      </w:r>
      <w:r w:rsidRPr="00873C4C">
        <w:rPr>
          <w:color w:val="000000"/>
        </w:rPr>
        <w:t xml:space="preserve"> through the column for initial preparation. </w:t>
      </w:r>
      <w:r w:rsidR="00C0385F">
        <w:rPr>
          <w:color w:val="000000"/>
        </w:rPr>
        <w:t>Flow through liquid</w:t>
      </w:r>
      <w:r w:rsidR="002D284F" w:rsidRPr="00873C4C">
        <w:rPr>
          <w:color w:val="000000"/>
        </w:rPr>
        <w:t xml:space="preserve"> was collected into a clinical waste bottle.</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The beads and cells were </w:t>
      </w:r>
      <w:r w:rsidR="002777B2" w:rsidRPr="00873C4C">
        <w:rPr>
          <w:color w:val="000000"/>
        </w:rPr>
        <w:t>resuspended</w:t>
      </w:r>
      <w:r w:rsidRPr="00873C4C">
        <w:rPr>
          <w:color w:val="000000"/>
        </w:rPr>
        <w:t xml:space="preserve"> with 3</w:t>
      </w:r>
      <w:r w:rsidR="002E2A56">
        <w:rPr>
          <w:color w:val="000000"/>
        </w:rPr>
        <w:t xml:space="preserve"> </w:t>
      </w:r>
      <w:r w:rsidRPr="00873C4C">
        <w:rPr>
          <w:color w:val="000000"/>
        </w:rPr>
        <w:t xml:space="preserve">ml of MACS buffer.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From this stage, all the cell fractions were kept on ice.</w:t>
      </w:r>
    </w:p>
    <w:p w:rsidR="002D284F" w:rsidRPr="00873C4C" w:rsidRDefault="002777B2" w:rsidP="00057B42">
      <w:pPr>
        <w:numPr>
          <w:ilvl w:val="0"/>
          <w:numId w:val="9"/>
        </w:numPr>
        <w:tabs>
          <w:tab w:val="left" w:pos="426"/>
        </w:tabs>
        <w:spacing w:line="360" w:lineRule="auto"/>
        <w:ind w:left="0" w:firstLine="0"/>
        <w:jc w:val="both"/>
        <w:rPr>
          <w:color w:val="000000"/>
        </w:rPr>
      </w:pPr>
      <w:r>
        <w:rPr>
          <w:color w:val="000000"/>
        </w:rPr>
        <w:t xml:space="preserve">Three </w:t>
      </w:r>
      <w:r w:rsidR="002D284F" w:rsidRPr="00873C4C">
        <w:rPr>
          <w:color w:val="000000"/>
        </w:rPr>
        <w:t xml:space="preserve">ml of cells-beads were passed through column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Column was rinsed with </w:t>
      </w:r>
      <w:r w:rsidR="00647448" w:rsidRPr="00873C4C">
        <w:rPr>
          <w:color w:val="000000"/>
        </w:rPr>
        <w:t>the 3</w:t>
      </w:r>
      <w:r w:rsidR="002E2A56">
        <w:rPr>
          <w:color w:val="000000"/>
        </w:rPr>
        <w:t xml:space="preserve"> </w:t>
      </w:r>
      <w:r w:rsidR="00647448" w:rsidRPr="00873C4C">
        <w:rPr>
          <w:color w:val="000000"/>
        </w:rPr>
        <w:t>ml</w:t>
      </w:r>
      <w:r w:rsidRPr="00873C4C">
        <w:rPr>
          <w:color w:val="000000"/>
        </w:rPr>
        <w:t xml:space="preserve"> of MACS buffer four times.</w:t>
      </w:r>
    </w:p>
    <w:p w:rsidR="002D284F" w:rsidRPr="00873C4C" w:rsidRDefault="00647448" w:rsidP="00057B42">
      <w:pPr>
        <w:numPr>
          <w:ilvl w:val="0"/>
          <w:numId w:val="9"/>
        </w:numPr>
        <w:tabs>
          <w:tab w:val="left" w:pos="426"/>
        </w:tabs>
        <w:spacing w:line="360" w:lineRule="auto"/>
        <w:ind w:left="0" w:firstLine="0"/>
        <w:jc w:val="both"/>
        <w:rPr>
          <w:color w:val="000000"/>
        </w:rPr>
      </w:pPr>
      <w:r w:rsidRPr="00873C4C">
        <w:rPr>
          <w:color w:val="000000"/>
        </w:rPr>
        <w:t>The sample</w:t>
      </w:r>
      <w:r w:rsidR="002D284F" w:rsidRPr="00873C4C">
        <w:rPr>
          <w:color w:val="000000"/>
        </w:rPr>
        <w:t xml:space="preserve"> were collected a tube as a Stromal cells and other types.</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LS column was removed from the magnet and place</w:t>
      </w:r>
      <w:r w:rsidR="00C0385F">
        <w:rPr>
          <w:color w:val="000000"/>
        </w:rPr>
        <w:t>d</w:t>
      </w:r>
      <w:r w:rsidRPr="00873C4C">
        <w:rPr>
          <w:color w:val="000000"/>
        </w:rPr>
        <w:t xml:space="preserve"> on top of a 15</w:t>
      </w:r>
      <w:r w:rsidR="002E2A56">
        <w:rPr>
          <w:color w:val="000000"/>
        </w:rPr>
        <w:t xml:space="preserve"> </w:t>
      </w:r>
      <w:r w:rsidRPr="00873C4C">
        <w:rPr>
          <w:color w:val="000000"/>
        </w:rPr>
        <w:t>ml tube. (The column contains the CD138 positive fraction).</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column was rinsed with the 5</w:t>
      </w:r>
      <w:r w:rsidR="002E2A56">
        <w:rPr>
          <w:color w:val="000000"/>
        </w:rPr>
        <w:t xml:space="preserve"> </w:t>
      </w:r>
      <w:r w:rsidRPr="00873C4C">
        <w:rPr>
          <w:color w:val="000000"/>
        </w:rPr>
        <w:t>ml of MACS buffer, twice to remove plasma cells from column.</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stromal and plasma cells fractions</w:t>
      </w:r>
      <w:r w:rsidR="00C0385F">
        <w:rPr>
          <w:color w:val="000000"/>
        </w:rPr>
        <w:t xml:space="preserve"> were</w:t>
      </w:r>
      <w:r w:rsidRPr="00873C4C">
        <w:rPr>
          <w:color w:val="000000"/>
        </w:rPr>
        <w:t xml:space="preserve"> centrifuged at </w:t>
      </w:r>
      <w:r w:rsidR="00647448" w:rsidRPr="00873C4C">
        <w:rPr>
          <w:color w:val="000000"/>
        </w:rPr>
        <w:t>1500</w:t>
      </w:r>
      <w:r w:rsidR="00647448">
        <w:rPr>
          <w:color w:val="000000"/>
        </w:rPr>
        <w:t xml:space="preserve"> </w:t>
      </w:r>
      <w:r w:rsidR="00647448" w:rsidRPr="00873C4C">
        <w:rPr>
          <w:color w:val="000000"/>
        </w:rPr>
        <w:t>rpm</w:t>
      </w:r>
      <w:r w:rsidRPr="00873C4C">
        <w:rPr>
          <w:color w:val="000000"/>
        </w:rPr>
        <w:t xml:space="preserve"> for </w:t>
      </w:r>
      <w:r w:rsidR="00647448" w:rsidRPr="00873C4C">
        <w:rPr>
          <w:color w:val="000000"/>
        </w:rPr>
        <w:t>10 minutes</w:t>
      </w:r>
      <w:r w:rsidRPr="00873C4C">
        <w:rPr>
          <w:color w:val="000000"/>
        </w:rPr>
        <w:t xml:space="preserve"> at 4</w:t>
      </w:r>
      <w:r w:rsidRPr="00873C4C">
        <w:rPr>
          <w:color w:val="000000"/>
          <w:vertAlign w:val="superscript"/>
        </w:rPr>
        <w:t>o</w:t>
      </w:r>
      <w:r w:rsidRPr="00873C4C">
        <w:rPr>
          <w:color w:val="000000"/>
        </w:rPr>
        <w:t>C.</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The Stromal cells</w:t>
      </w:r>
      <w:r w:rsidRPr="00873C4C">
        <w:rPr>
          <w:b/>
          <w:color w:val="000000"/>
        </w:rPr>
        <w:t xml:space="preserve"> </w:t>
      </w:r>
      <w:r w:rsidR="00647448" w:rsidRPr="00873C4C">
        <w:rPr>
          <w:color w:val="000000"/>
        </w:rPr>
        <w:t>pellet</w:t>
      </w:r>
      <w:r w:rsidR="00647448" w:rsidRPr="00873C4C">
        <w:rPr>
          <w:b/>
          <w:color w:val="000000"/>
        </w:rPr>
        <w:t xml:space="preserve"> </w:t>
      </w:r>
      <w:r w:rsidR="00647448" w:rsidRPr="00873C4C">
        <w:rPr>
          <w:color w:val="000000"/>
        </w:rPr>
        <w:t>was</w:t>
      </w:r>
      <w:r w:rsidRPr="00873C4C">
        <w:rPr>
          <w:color w:val="000000"/>
        </w:rPr>
        <w:t xml:space="preserve"> resuspended in the 5</w:t>
      </w:r>
      <w:r w:rsidR="002E2A56">
        <w:rPr>
          <w:color w:val="000000"/>
        </w:rPr>
        <w:t xml:space="preserve"> </w:t>
      </w:r>
      <w:r w:rsidRPr="00873C4C">
        <w:rPr>
          <w:color w:val="000000"/>
        </w:rPr>
        <w:t>ml of DMEM, 20% heat-inactivated serum, 1%</w:t>
      </w:r>
      <w:r w:rsidR="002E2A56">
        <w:rPr>
          <w:color w:val="000000"/>
        </w:rPr>
        <w:t xml:space="preserve"> </w:t>
      </w:r>
      <w:r w:rsidRPr="00873C4C">
        <w:rPr>
          <w:color w:val="000000"/>
        </w:rPr>
        <w:t>Pen-Strep, 1%</w:t>
      </w:r>
      <w:r w:rsidR="002E2A56">
        <w:rPr>
          <w:color w:val="000000"/>
        </w:rPr>
        <w:t xml:space="preserve"> Fungizone</w:t>
      </w:r>
      <w:r w:rsidRPr="00873C4C">
        <w:rPr>
          <w:color w:val="000000"/>
        </w:rPr>
        <w:t xml:space="preserve"> in a T25 flask.</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Plasma cells fraction: The cells were counted and documented in the laboratory book. 100-150 </w:t>
      </w:r>
      <w:r w:rsidR="002E2A56" w:rsidRPr="00873C4C">
        <w:rPr>
          <w:color w:val="000000"/>
        </w:rPr>
        <w:t>µ</w:t>
      </w:r>
      <w:r w:rsidRPr="00873C4C">
        <w:rPr>
          <w:color w:val="000000"/>
        </w:rPr>
        <w:t xml:space="preserve">L drop of this suspension were used to make a glass slide to be stained with MGG. </w:t>
      </w:r>
    </w:p>
    <w:p w:rsidR="002D284F" w:rsidRPr="00873C4C" w:rsidRDefault="002D284F" w:rsidP="00057B42">
      <w:pPr>
        <w:numPr>
          <w:ilvl w:val="0"/>
          <w:numId w:val="9"/>
        </w:numPr>
        <w:tabs>
          <w:tab w:val="left" w:pos="426"/>
        </w:tabs>
        <w:spacing w:line="360" w:lineRule="auto"/>
        <w:ind w:left="0" w:firstLine="0"/>
        <w:jc w:val="both"/>
        <w:rPr>
          <w:color w:val="000000"/>
        </w:rPr>
      </w:pPr>
      <w:r w:rsidRPr="00873C4C">
        <w:rPr>
          <w:color w:val="000000"/>
        </w:rPr>
        <w:t xml:space="preserve">The remaining fraction was </w:t>
      </w:r>
      <w:r w:rsidR="00647448" w:rsidRPr="00873C4C">
        <w:rPr>
          <w:color w:val="000000"/>
        </w:rPr>
        <w:t>aliquoted</w:t>
      </w:r>
      <w:r w:rsidRPr="00873C4C">
        <w:rPr>
          <w:color w:val="000000"/>
        </w:rPr>
        <w:t xml:space="preserve"> in in 2 </w:t>
      </w:r>
      <w:r w:rsidR="00647448" w:rsidRPr="00873C4C">
        <w:rPr>
          <w:color w:val="000000"/>
        </w:rPr>
        <w:t>cryovial</w:t>
      </w:r>
      <w:r w:rsidRPr="00873C4C">
        <w:rPr>
          <w:color w:val="000000"/>
        </w:rPr>
        <w:t xml:space="preserve"> and stored at -80ºC.</w:t>
      </w:r>
    </w:p>
    <w:p w:rsidR="004B07D1" w:rsidRPr="004B07D1" w:rsidRDefault="004B07D1" w:rsidP="00645687">
      <w:pPr>
        <w:pStyle w:val="Heading3"/>
      </w:pPr>
      <w:r>
        <w:lastRenderedPageBreak/>
        <w:tab/>
      </w:r>
      <w:bookmarkStart w:id="632" w:name="_Toc312169232"/>
      <w:bookmarkStart w:id="633" w:name="_Toc312172159"/>
      <w:bookmarkStart w:id="634" w:name="_Toc312257708"/>
      <w:r w:rsidRPr="004B07D1">
        <w:t>Cell Counting</w:t>
      </w:r>
      <w:bookmarkEnd w:id="632"/>
      <w:bookmarkEnd w:id="633"/>
      <w:bookmarkEnd w:id="634"/>
    </w:p>
    <w:p w:rsidR="00C241AC" w:rsidRDefault="004B07D1" w:rsidP="00057B42">
      <w:pPr>
        <w:tabs>
          <w:tab w:val="left" w:pos="426"/>
        </w:tabs>
        <w:spacing w:line="360" w:lineRule="auto"/>
        <w:jc w:val="both"/>
      </w:pPr>
      <w:r>
        <w:rPr>
          <w:color w:val="000000"/>
        </w:rPr>
        <w:t>Plasma c</w:t>
      </w:r>
      <w:r w:rsidRPr="004B07D1">
        <w:rPr>
          <w:color w:val="000000"/>
        </w:rPr>
        <w:t>ells in the 16 squares of the four outer corner grids of the</w:t>
      </w:r>
      <w:r>
        <w:rPr>
          <w:color w:val="000000"/>
        </w:rPr>
        <w:t xml:space="preserve"> </w:t>
      </w:r>
      <w:r w:rsidRPr="004B07D1">
        <w:rPr>
          <w:color w:val="000000"/>
        </w:rPr>
        <w:t>chamber were counted microscopically. An average per corner grid was calculated</w:t>
      </w:r>
      <w:r>
        <w:rPr>
          <w:color w:val="000000"/>
        </w:rPr>
        <w:t xml:space="preserve"> </w:t>
      </w:r>
      <w:r w:rsidRPr="004B07D1">
        <w:rPr>
          <w:color w:val="000000"/>
        </w:rPr>
        <w:t>with the dilution factor being taken into account. Final cell numbers were multiplied</w:t>
      </w:r>
      <w:r>
        <w:rPr>
          <w:color w:val="000000"/>
        </w:rPr>
        <w:t xml:space="preserve"> </w:t>
      </w:r>
      <w:r w:rsidRPr="004B07D1">
        <w:rPr>
          <w:color w:val="000000"/>
        </w:rPr>
        <w:t>by 104 to determine the number of cells per ml (volume occupied by sample in</w:t>
      </w:r>
      <w:r>
        <w:rPr>
          <w:color w:val="000000"/>
        </w:rPr>
        <w:t xml:space="preserve"> </w:t>
      </w:r>
      <w:r w:rsidRPr="004B07D1">
        <w:rPr>
          <w:color w:val="000000"/>
        </w:rPr>
        <w:t>chamber is 0.1</w:t>
      </w:r>
      <w:r w:rsidR="00475E33">
        <w:rPr>
          <w:color w:val="000000"/>
        </w:rPr>
        <w:t xml:space="preserve"> </w:t>
      </w:r>
      <w:r w:rsidRPr="004B07D1">
        <w:rPr>
          <w:color w:val="000000"/>
        </w:rPr>
        <w:t>cm x 0.1</w:t>
      </w:r>
      <w:r w:rsidR="00475E33">
        <w:rPr>
          <w:color w:val="000000"/>
        </w:rPr>
        <w:t xml:space="preserve"> </w:t>
      </w:r>
      <w:r w:rsidRPr="004B07D1">
        <w:rPr>
          <w:color w:val="000000"/>
        </w:rPr>
        <w:t>cm x 0.01</w:t>
      </w:r>
      <w:r w:rsidR="00475E33">
        <w:rPr>
          <w:color w:val="000000"/>
        </w:rPr>
        <w:t xml:space="preserve"> </w:t>
      </w:r>
      <w:r w:rsidRPr="004B07D1">
        <w:rPr>
          <w:color w:val="000000"/>
        </w:rPr>
        <w:t>cm i.e. 0.0001</w:t>
      </w:r>
      <w:r w:rsidR="00475E33">
        <w:rPr>
          <w:color w:val="000000"/>
        </w:rPr>
        <w:t xml:space="preserve"> </w:t>
      </w:r>
      <w:r w:rsidRPr="004B07D1">
        <w:rPr>
          <w:color w:val="000000"/>
        </w:rPr>
        <w:t>cm</w:t>
      </w:r>
      <w:r w:rsidRPr="00475E33">
        <w:rPr>
          <w:color w:val="000000"/>
          <w:vertAlign w:val="superscript"/>
        </w:rPr>
        <w:t>3</w:t>
      </w:r>
      <w:r w:rsidRPr="004B07D1">
        <w:rPr>
          <w:color w:val="000000"/>
        </w:rPr>
        <w:t xml:space="preserve"> therefore cell number x 10</w:t>
      </w:r>
      <w:r w:rsidRPr="00475E33">
        <w:rPr>
          <w:color w:val="000000"/>
          <w:vertAlign w:val="superscript"/>
        </w:rPr>
        <w:t>4</w:t>
      </w:r>
      <w:r w:rsidRPr="004B07D1">
        <w:rPr>
          <w:color w:val="000000"/>
        </w:rPr>
        <w:t xml:space="preserve"> is</w:t>
      </w:r>
      <w:r>
        <w:rPr>
          <w:color w:val="000000"/>
        </w:rPr>
        <w:t xml:space="preserve"> </w:t>
      </w:r>
      <w:r w:rsidRPr="004B07D1">
        <w:rPr>
          <w:color w:val="000000"/>
        </w:rPr>
        <w:t>equivalent to cells per ml). Non-viable cells were those, which stained blue while</w:t>
      </w:r>
      <w:r>
        <w:rPr>
          <w:color w:val="000000"/>
        </w:rPr>
        <w:t xml:space="preserve"> </w:t>
      </w:r>
      <w:r w:rsidRPr="004B07D1">
        <w:rPr>
          <w:color w:val="000000"/>
        </w:rPr>
        <w:t>viable cells excluded the trypan-blue dye and remained unstained.</w:t>
      </w:r>
      <w:r>
        <w:rPr>
          <w:color w:val="000000"/>
        </w:rPr>
        <w:t xml:space="preserve"> </w:t>
      </w:r>
      <w:r w:rsidR="00C241AC">
        <w:t xml:space="preserve"> </w:t>
      </w:r>
    </w:p>
    <w:p w:rsidR="00CA4D66" w:rsidRDefault="00CA4D66" w:rsidP="00057B42">
      <w:pPr>
        <w:tabs>
          <w:tab w:val="left" w:pos="426"/>
        </w:tabs>
        <w:spacing w:line="360" w:lineRule="auto"/>
        <w:jc w:val="both"/>
      </w:pPr>
    </w:p>
    <w:p w:rsidR="00CA4D66" w:rsidRDefault="00E836ED" w:rsidP="00057B42">
      <w:pPr>
        <w:spacing w:line="360" w:lineRule="auto"/>
      </w:pPr>
      <w:r w:rsidRPr="00873C4C">
        <w:tab/>
      </w:r>
      <w:bookmarkStart w:id="635" w:name="_Toc306570594"/>
      <w:bookmarkStart w:id="636" w:name="_Toc307067659"/>
    </w:p>
    <w:p w:rsidR="00CA4D66" w:rsidRDefault="00CA4D66" w:rsidP="00057B42">
      <w:pPr>
        <w:spacing w:line="360" w:lineRule="auto"/>
        <w:rPr>
          <w:b/>
          <w:color w:val="000000"/>
          <w:sz w:val="26"/>
          <w:szCs w:val="26"/>
          <w:lang w:eastAsia="en-US"/>
        </w:rPr>
      </w:pPr>
      <w:r>
        <w:br w:type="page"/>
      </w:r>
    </w:p>
    <w:p w:rsidR="002D284F" w:rsidRPr="00873C4C" w:rsidRDefault="00CA4D66" w:rsidP="00645687">
      <w:pPr>
        <w:pStyle w:val="Heading3"/>
      </w:pPr>
      <w:r>
        <w:lastRenderedPageBreak/>
        <w:tab/>
        <w:t xml:space="preserve"> </w:t>
      </w:r>
      <w:bookmarkStart w:id="637" w:name="_Toc312169233"/>
      <w:bookmarkStart w:id="638" w:name="_Toc312172160"/>
      <w:bookmarkStart w:id="639" w:name="_Toc312257709"/>
      <w:r w:rsidR="00E836ED" w:rsidRPr="00873C4C">
        <w:t>Immunodepletion</w:t>
      </w:r>
      <w:bookmarkEnd w:id="635"/>
      <w:bookmarkEnd w:id="636"/>
      <w:bookmarkEnd w:id="637"/>
      <w:bookmarkEnd w:id="638"/>
      <w:bookmarkEnd w:id="639"/>
    </w:p>
    <w:p w:rsidR="002D284F" w:rsidRPr="00873C4C" w:rsidRDefault="002D284F" w:rsidP="00057B42">
      <w:pPr>
        <w:spacing w:line="360" w:lineRule="auto"/>
        <w:jc w:val="both"/>
        <w:rPr>
          <w:color w:val="000000"/>
        </w:rPr>
      </w:pPr>
      <w:r w:rsidRPr="00873C4C">
        <w:rPr>
          <w:color w:val="000000"/>
        </w:rPr>
        <w:t xml:space="preserve">The Human 14 Multiple Affinity Removal System (MARS 14) spin cartridge system was used to deplete 14 of the most abundant proteins from the serum proteome. These proteins are albumin, IgG, antitrypsin, IgA, transferrin, haptoglobin, fibrinogen, alpha2-macroglobulin, alpha1-acid glycoprotein, IgM, apolipoprotein AI, apolipoprotein AII, complement C3, and transthyretin. </w:t>
      </w:r>
    </w:p>
    <w:p w:rsidR="00347EC4" w:rsidRDefault="00347EC4"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 depletion protocol involves only two buffers: Buffer A (for serum dilution, cartridge equilibration, and wash) and Buffer B (for elution of bound abundant proteins). 10</w:t>
      </w:r>
      <w:r w:rsidR="00C0385F" w:rsidRPr="00873C4C">
        <w:rPr>
          <w:color w:val="000000"/>
        </w:rPr>
        <w:t>µ</w:t>
      </w:r>
      <w:r w:rsidRPr="00873C4C">
        <w:rPr>
          <w:color w:val="000000"/>
        </w:rPr>
        <w:t xml:space="preserve">l of raw serum was diluted 1:20 in Buffer A, spin filtered through a 0.22 </w:t>
      </w:r>
      <w:r w:rsidR="00C0385F" w:rsidRPr="00873C4C">
        <w:rPr>
          <w:color w:val="000000"/>
        </w:rPr>
        <w:t>µ</w:t>
      </w:r>
      <w:r w:rsidRPr="00873C4C">
        <w:rPr>
          <w:color w:val="000000"/>
        </w:rPr>
        <w:t xml:space="preserve">m device and applied to the cartridge. </w:t>
      </w:r>
    </w:p>
    <w:p w:rsidR="00347EC4" w:rsidRDefault="00347EC4"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 cartridge</w:t>
      </w:r>
      <w:r w:rsidR="00C0385F">
        <w:rPr>
          <w:color w:val="000000"/>
        </w:rPr>
        <w:t xml:space="preserve"> was then centrifuged at 100xG</w:t>
      </w:r>
      <w:r w:rsidRPr="00873C4C">
        <w:rPr>
          <w:color w:val="000000"/>
        </w:rPr>
        <w:t xml:space="preserve"> for 1 min. The cartridge was allowed to sit at room tem</w:t>
      </w:r>
      <w:r w:rsidR="00C0385F">
        <w:rPr>
          <w:color w:val="000000"/>
        </w:rPr>
        <w:t xml:space="preserve">perature for 5 min and then 2 x </w:t>
      </w:r>
      <w:r w:rsidRPr="00873C4C">
        <w:rPr>
          <w:color w:val="000000"/>
        </w:rPr>
        <w:t xml:space="preserve">400 </w:t>
      </w:r>
      <w:r w:rsidR="00C0385F" w:rsidRPr="00873C4C">
        <w:rPr>
          <w:color w:val="000000"/>
        </w:rPr>
        <w:t>µ</w:t>
      </w:r>
      <w:r w:rsidRPr="00873C4C">
        <w:rPr>
          <w:color w:val="000000"/>
        </w:rPr>
        <w:t>l washes with Bu</w:t>
      </w:r>
      <w:r w:rsidR="00C0385F">
        <w:rPr>
          <w:color w:val="000000"/>
        </w:rPr>
        <w:t xml:space="preserve">ffer A were spun through at 100xG </w:t>
      </w:r>
      <w:r w:rsidRPr="00873C4C">
        <w:rPr>
          <w:color w:val="000000"/>
        </w:rPr>
        <w:t xml:space="preserve">for 2.5 min each. </w:t>
      </w:r>
    </w:p>
    <w:p w:rsidR="00347EC4" w:rsidRDefault="00347EC4"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three </w:t>
      </w:r>
      <w:r w:rsidR="00E836ED" w:rsidRPr="00873C4C">
        <w:rPr>
          <w:color w:val="000000"/>
        </w:rPr>
        <w:t>flows</w:t>
      </w:r>
      <w:r w:rsidRPr="00873C4C">
        <w:rPr>
          <w:color w:val="000000"/>
        </w:rPr>
        <w:t xml:space="preserve"> through fractions contain</w:t>
      </w:r>
      <w:r w:rsidR="00C0385F">
        <w:rPr>
          <w:color w:val="000000"/>
        </w:rPr>
        <w:t>ing</w:t>
      </w:r>
      <w:r w:rsidRPr="00873C4C">
        <w:rPr>
          <w:color w:val="000000"/>
        </w:rPr>
        <w:t xml:space="preserve"> serum proteins, now largely free of the 14 abundant proteins mentioned above, were pooled. The cartridge was regenerated by using a syringe to slowly push through 2.5 ml of Buffer B followed by 5 ml of Buffer A. The resulting d</w:t>
      </w:r>
      <w:r w:rsidR="00475E33">
        <w:rPr>
          <w:color w:val="000000"/>
        </w:rPr>
        <w:t>epleted serum was stored at -80</w:t>
      </w:r>
      <w:r w:rsidRPr="00873C4C">
        <w:rPr>
          <w:color w:val="000000"/>
        </w:rPr>
        <w:t>°C until protein precipitation was performed.</w:t>
      </w:r>
    </w:p>
    <w:p w:rsidR="002D284F" w:rsidRPr="00873C4C" w:rsidRDefault="002D284F" w:rsidP="00057B42">
      <w:pPr>
        <w:spacing w:line="360" w:lineRule="auto"/>
        <w:jc w:val="both"/>
        <w:rPr>
          <w:b/>
          <w:color w:val="000000"/>
        </w:rPr>
      </w:pPr>
    </w:p>
    <w:p w:rsidR="009A376D" w:rsidRPr="00B933E7" w:rsidRDefault="009A376D" w:rsidP="00057B42">
      <w:pPr>
        <w:spacing w:line="360" w:lineRule="auto"/>
      </w:pPr>
      <w:r>
        <w:t xml:space="preserve"> </w:t>
      </w:r>
    </w:p>
    <w:p w:rsidR="009A376D" w:rsidRDefault="009A376D" w:rsidP="00057B42">
      <w:pPr>
        <w:spacing w:line="360" w:lineRule="auto"/>
        <w:rPr>
          <w:b/>
          <w:color w:val="000000"/>
          <w:sz w:val="26"/>
          <w:szCs w:val="26"/>
          <w:lang w:eastAsia="en-US"/>
        </w:rPr>
      </w:pPr>
      <w:r>
        <w:br w:type="page"/>
      </w:r>
    </w:p>
    <w:p w:rsidR="002D284F" w:rsidRPr="00873C4C" w:rsidRDefault="00E836ED" w:rsidP="00645687">
      <w:pPr>
        <w:pStyle w:val="Heading3"/>
      </w:pPr>
      <w:r w:rsidRPr="00873C4C">
        <w:lastRenderedPageBreak/>
        <w:tab/>
      </w:r>
      <w:bookmarkStart w:id="640" w:name="_Toc306570595"/>
      <w:bookmarkStart w:id="641" w:name="_Toc307067660"/>
      <w:bookmarkStart w:id="642" w:name="_Toc312169234"/>
      <w:bookmarkStart w:id="643" w:name="_Toc312172161"/>
      <w:bookmarkStart w:id="644" w:name="_Toc312257710"/>
      <w:r w:rsidR="002D284F" w:rsidRPr="00873C4C">
        <w:t>Protein Precipitation and Quantification</w:t>
      </w:r>
      <w:bookmarkEnd w:id="640"/>
      <w:bookmarkEnd w:id="641"/>
      <w:bookmarkEnd w:id="642"/>
      <w:bookmarkEnd w:id="643"/>
      <w:bookmarkEnd w:id="644"/>
    </w:p>
    <w:p w:rsidR="002D284F" w:rsidRPr="00873C4C" w:rsidRDefault="002D284F" w:rsidP="00057B42">
      <w:pPr>
        <w:spacing w:line="360" w:lineRule="auto"/>
        <w:jc w:val="both"/>
        <w:rPr>
          <w:color w:val="000000"/>
        </w:rPr>
      </w:pPr>
      <w:r w:rsidRPr="00873C4C">
        <w:rPr>
          <w:color w:val="000000"/>
        </w:rPr>
        <w:t>Immunodepleted samples were precipitated using the ReadyPrep 2-D Cleanup kit (Bio-Rad), following the manufacturer's instructions. Briefly, 300 μl of precipitating agent 1 was added to the immunodepleted protein sample and mixed well by vortexing before incubation on ice for 15 min.</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 After 15 min, 300 μl of precipitating agent 2 was added and mixed by vortexing. The sam</w:t>
      </w:r>
      <w:r w:rsidR="00C0385F">
        <w:rPr>
          <w:color w:val="000000"/>
        </w:rPr>
        <w:t xml:space="preserve">ples were centrifuged at 12,000xG </w:t>
      </w:r>
      <w:r w:rsidRPr="00873C4C">
        <w:rPr>
          <w:color w:val="000000"/>
        </w:rPr>
        <w:t xml:space="preserve">for 5 min to form a tight pellet. Without disturbing the pellet, the supernatant was removed using a </w:t>
      </w:r>
      <w:r w:rsidR="00647448" w:rsidRPr="00647448">
        <w:rPr>
          <w:color w:val="000000"/>
        </w:rPr>
        <w:t>pipette</w:t>
      </w:r>
      <w:r w:rsidRPr="00873C4C">
        <w:rPr>
          <w:color w:val="000000"/>
        </w:rPr>
        <w:t xml:space="preserve">. 40 μl of wash reagent 1 was added on top of the pellet before centrifugation for 5 min. With a </w:t>
      </w:r>
      <w:r w:rsidR="00647448" w:rsidRPr="00EF1862">
        <w:rPr>
          <w:color w:val="000000"/>
        </w:rPr>
        <w:t>pipette</w:t>
      </w:r>
      <w:r w:rsidRPr="00873C4C">
        <w:rPr>
          <w:color w:val="000000"/>
        </w:rPr>
        <w:t xml:space="preserve">, the wash reagent was removed. 25 μl of ReadyPrep proteomic grade water was added on top of the pellet.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 sample was vortexed for 10–20 sec to dislodge the pellet. 1 ml of wash reagent 2 (</w:t>
      </w:r>
      <w:r w:rsidR="00647448" w:rsidRPr="00873C4C">
        <w:rPr>
          <w:color w:val="000000"/>
        </w:rPr>
        <w:t>pre</w:t>
      </w:r>
      <w:r w:rsidR="00647448">
        <w:rPr>
          <w:color w:val="000000"/>
        </w:rPr>
        <w:t xml:space="preserve"> </w:t>
      </w:r>
      <w:r w:rsidR="00647448" w:rsidRPr="00873C4C">
        <w:rPr>
          <w:color w:val="000000"/>
        </w:rPr>
        <w:t>chilled</w:t>
      </w:r>
      <w:r w:rsidRPr="00873C4C">
        <w:rPr>
          <w:color w:val="000000"/>
        </w:rPr>
        <w:t xml:space="preserve"> at -20°C for at least 1 hr) and 5 μl of wash 2 additive were added before vortexing the tube for 1 min. </w:t>
      </w:r>
    </w:p>
    <w:p w:rsidR="002D284F" w:rsidRPr="00873C4C" w:rsidRDefault="002D284F" w:rsidP="00057B42">
      <w:pPr>
        <w:spacing w:line="360" w:lineRule="auto"/>
        <w:jc w:val="both"/>
        <w:rPr>
          <w:color w:val="000000"/>
        </w:rPr>
      </w:pPr>
      <w:r w:rsidRPr="00873C4C">
        <w:rPr>
          <w:color w:val="000000"/>
        </w:rPr>
        <w:t xml:space="preserve">The tube was incubated at -20°C for 30 min with vortexing for 30 sec every 10 min during the incubation period. After the incubation period, the tube was centrifuged at top speed for 5 min to form a tight pellet.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supernatant was removed and the pellet allowed </w:t>
      </w:r>
      <w:r w:rsidR="00C0385F">
        <w:rPr>
          <w:color w:val="000000"/>
        </w:rPr>
        <w:t>to air dry</w:t>
      </w:r>
      <w:r w:rsidRPr="00873C4C">
        <w:rPr>
          <w:color w:val="000000"/>
        </w:rPr>
        <w:t xml:space="preserve"> at room temperature for no more than 5 min. The pellet was resuspended in 2D-DIGE lysis buffer (7</w:t>
      </w:r>
      <w:r w:rsidR="007A0571">
        <w:rPr>
          <w:color w:val="000000"/>
        </w:rPr>
        <w:t xml:space="preserve"> </w:t>
      </w:r>
      <w:r w:rsidRPr="00873C4C">
        <w:rPr>
          <w:color w:val="000000"/>
        </w:rPr>
        <w:t xml:space="preserve">M urea, 2 M thiourea, 4% CHAPS, and 30 mM Tris-HCl, pH 8.5), sonicated and centrifuged before protein quantification was performed. </w:t>
      </w:r>
    </w:p>
    <w:p w:rsidR="00E836ED" w:rsidRPr="00873C4C" w:rsidRDefault="00E836ED" w:rsidP="00057B42">
      <w:pPr>
        <w:spacing w:line="360" w:lineRule="auto"/>
        <w:jc w:val="both"/>
        <w:rPr>
          <w:b/>
          <w:color w:val="000000"/>
        </w:rPr>
      </w:pPr>
    </w:p>
    <w:p w:rsidR="002D284F" w:rsidRPr="00873C4C" w:rsidRDefault="00E836ED" w:rsidP="00645687">
      <w:pPr>
        <w:pStyle w:val="Heading3"/>
      </w:pPr>
      <w:r w:rsidRPr="00873C4C">
        <w:tab/>
      </w:r>
      <w:bookmarkStart w:id="645" w:name="_Toc306570596"/>
      <w:bookmarkStart w:id="646" w:name="_Toc307067661"/>
      <w:bookmarkStart w:id="647" w:name="_Toc312169235"/>
      <w:bookmarkStart w:id="648" w:name="_Toc312172162"/>
      <w:bookmarkStart w:id="649" w:name="_Toc312257711"/>
      <w:r w:rsidRPr="00873C4C">
        <w:t>Protein quantification</w:t>
      </w:r>
      <w:bookmarkEnd w:id="645"/>
      <w:bookmarkEnd w:id="646"/>
      <w:bookmarkEnd w:id="647"/>
      <w:bookmarkEnd w:id="648"/>
      <w:bookmarkEnd w:id="649"/>
    </w:p>
    <w:p w:rsidR="002D284F" w:rsidRPr="00873C4C" w:rsidRDefault="002D284F" w:rsidP="00057B42">
      <w:pPr>
        <w:spacing w:line="360" w:lineRule="auto"/>
        <w:jc w:val="both"/>
        <w:rPr>
          <w:color w:val="000000"/>
        </w:rPr>
      </w:pPr>
      <w:r w:rsidRPr="00873C4C">
        <w:rPr>
          <w:color w:val="000000"/>
        </w:rPr>
        <w:t>Protein levels were determined using the Bio-Rad protein assay kit (Bio-Rad, 500-0006) as follows. A 2</w:t>
      </w:r>
      <w:r w:rsidR="007A0571">
        <w:rPr>
          <w:color w:val="000000"/>
        </w:rPr>
        <w:t xml:space="preserve"> </w:t>
      </w:r>
      <w:r w:rsidRPr="00873C4C">
        <w:rPr>
          <w:color w:val="000000"/>
        </w:rPr>
        <w:t xml:space="preserve">mg/ml bovine serum albumin (BSA) solution (Sigma, A9543) was prepared freshly in lysis buffer.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A protein standard curve (0, 0.2, 0.4, 0.6, 0.8 and 1.0</w:t>
      </w:r>
      <w:r w:rsidR="007A0571">
        <w:rPr>
          <w:color w:val="000000"/>
        </w:rPr>
        <w:t xml:space="preserve"> </w:t>
      </w:r>
      <w:r w:rsidRPr="00873C4C">
        <w:rPr>
          <w:color w:val="000000"/>
        </w:rPr>
        <w:t xml:space="preserve">mg/ml) was prepared from the BSA stock with dilutions made in lysis buffer.  The Bio-Rad reagent was diluted 1:5 </w:t>
      </w:r>
      <w:r w:rsidRPr="00873C4C">
        <w:rPr>
          <w:color w:val="000000"/>
        </w:rPr>
        <w:lastRenderedPageBreak/>
        <w:t>in UHP water.  A 20</w:t>
      </w:r>
      <w:r w:rsidR="00E77AD7">
        <w:rPr>
          <w:color w:val="000000"/>
        </w:rPr>
        <w:t xml:space="preserve"> </w:t>
      </w:r>
      <w:r w:rsidR="00E77AD7" w:rsidRPr="001B2549">
        <w:rPr>
          <w:rFonts w:ascii="Arial" w:hAnsi="Arial" w:cs="Arial"/>
        </w:rPr>
        <w:sym w:font="Symbol" w:char="F06D"/>
      </w:r>
      <w:r w:rsidRPr="00873C4C">
        <w:rPr>
          <w:color w:val="000000"/>
        </w:rPr>
        <w:t>l volume of protein standard dilution or sample (diluted 1:10) was added to 980</w:t>
      </w:r>
      <w:r w:rsidR="00E77AD7">
        <w:rPr>
          <w:color w:val="000000"/>
        </w:rPr>
        <w:t xml:space="preserve"> </w:t>
      </w:r>
      <w:r w:rsidR="00E77AD7" w:rsidRPr="001B2549">
        <w:rPr>
          <w:rFonts w:ascii="Arial" w:hAnsi="Arial" w:cs="Arial"/>
        </w:rPr>
        <w:sym w:font="Symbol" w:char="F06D"/>
      </w:r>
      <w:r w:rsidRPr="00873C4C">
        <w:rPr>
          <w:color w:val="000000"/>
        </w:rPr>
        <w:t xml:space="preserve">l of diluted dye reagent and the mixture vortexed. </w:t>
      </w:r>
    </w:p>
    <w:p w:rsidR="009A376D" w:rsidRDefault="009A376D" w:rsidP="00057B42">
      <w:pPr>
        <w:spacing w:line="360" w:lineRule="auto"/>
        <w:jc w:val="both"/>
        <w:rPr>
          <w:color w:val="000000"/>
        </w:rPr>
      </w:pPr>
    </w:p>
    <w:p w:rsidR="00CB58B4" w:rsidRDefault="002D284F" w:rsidP="00057B42">
      <w:pPr>
        <w:spacing w:line="360" w:lineRule="auto"/>
        <w:jc w:val="both"/>
        <w:rPr>
          <w:color w:val="000000"/>
        </w:rPr>
      </w:pPr>
      <w:r w:rsidRPr="00873C4C">
        <w:rPr>
          <w:color w:val="000000"/>
        </w:rPr>
        <w:t xml:space="preserve">All Immunodepleted samples were assayed in triplicate. After 5 minutes incubation, absorbance was assessed at </w:t>
      </w:r>
      <w:r w:rsidR="00647448" w:rsidRPr="00873C4C">
        <w:rPr>
          <w:color w:val="000000"/>
        </w:rPr>
        <w:t>570 nm</w:t>
      </w:r>
      <w:r w:rsidRPr="00873C4C">
        <w:rPr>
          <w:color w:val="000000"/>
        </w:rPr>
        <w:t xml:space="preserve">.  The concentration of the protein samples was determined from the plot of the absorbance at </w:t>
      </w:r>
      <w:r w:rsidR="00647448" w:rsidRPr="00873C4C">
        <w:rPr>
          <w:color w:val="000000"/>
        </w:rPr>
        <w:t>570 nm</w:t>
      </w:r>
      <w:r w:rsidRPr="00873C4C">
        <w:rPr>
          <w:color w:val="000000"/>
        </w:rPr>
        <w:t xml:space="preserve"> versus the concentration of the protein standard.</w:t>
      </w:r>
    </w:p>
    <w:p w:rsidR="00CB58B4" w:rsidRDefault="00CB58B4" w:rsidP="00057B42">
      <w:pPr>
        <w:spacing w:line="360" w:lineRule="auto"/>
      </w:pPr>
      <w:r>
        <w:br w:type="page"/>
      </w:r>
    </w:p>
    <w:p w:rsidR="002D284F" w:rsidRPr="00873C4C" w:rsidRDefault="00365F6D" w:rsidP="00645687">
      <w:pPr>
        <w:pStyle w:val="Heading3"/>
      </w:pPr>
      <w:bookmarkStart w:id="650" w:name="_Toc306570597"/>
      <w:bookmarkStart w:id="651" w:name="_Toc307067662"/>
      <w:bookmarkEnd w:id="650"/>
      <w:bookmarkEnd w:id="651"/>
      <w:r>
        <w:lastRenderedPageBreak/>
        <w:tab/>
        <w:t xml:space="preserve"> </w:t>
      </w:r>
      <w:bookmarkStart w:id="652" w:name="_Toc306570598"/>
      <w:bookmarkStart w:id="653" w:name="_Toc307067663"/>
      <w:bookmarkStart w:id="654" w:name="_Toc312169236"/>
      <w:bookmarkStart w:id="655" w:name="_Toc312172163"/>
      <w:bookmarkStart w:id="656" w:name="_Toc312257712"/>
      <w:r w:rsidR="00E836ED" w:rsidRPr="00873C4C">
        <w:t>Labelling</w:t>
      </w:r>
      <w:r w:rsidR="002D284F" w:rsidRPr="00873C4C">
        <w:t xml:space="preserve"> of cell lysates for DIGE</w:t>
      </w:r>
      <w:bookmarkEnd w:id="652"/>
      <w:bookmarkEnd w:id="653"/>
      <w:bookmarkEnd w:id="654"/>
      <w:bookmarkEnd w:id="655"/>
      <w:bookmarkEnd w:id="656"/>
    </w:p>
    <w:p w:rsidR="002D284F" w:rsidRPr="00873C4C" w:rsidRDefault="002D284F" w:rsidP="00057B42">
      <w:pPr>
        <w:spacing w:line="360" w:lineRule="auto"/>
        <w:jc w:val="both"/>
        <w:rPr>
          <w:color w:val="000000"/>
        </w:rPr>
      </w:pPr>
      <w:r w:rsidRPr="00873C4C">
        <w:rPr>
          <w:color w:val="000000"/>
        </w:rPr>
        <w:t>The three CyDye DIGE Fluor Minimal dyes (Cy3, Cy5 and Cy2 (Amersham, 2</w:t>
      </w:r>
      <w:r w:rsidR="00647448">
        <w:rPr>
          <w:color w:val="000000"/>
        </w:rPr>
        <w:t>5-8010-65) were thawed from –20</w:t>
      </w:r>
      <w:r w:rsidR="00647448" w:rsidRPr="00873C4C">
        <w:rPr>
          <w:color w:val="000000"/>
        </w:rPr>
        <w:t>°C</w:t>
      </w:r>
      <w:r w:rsidRPr="00873C4C">
        <w:rPr>
          <w:color w:val="000000"/>
        </w:rPr>
        <w:t xml:space="preserve"> to room temperature for 5 minutes. To each microfuge tube dimethylformamide (DMF) (Aldrich, 22,705-6) was added to a concentration of 1 nmol/ μl. Each microfuge tube was vortexed vigorously for 30 seconds to dissolve the dye.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 xml:space="preserve">The tubes were then centrifuged for 30 seconds at </w:t>
      </w:r>
      <w:r w:rsidR="00647448" w:rsidRPr="00873C4C">
        <w:rPr>
          <w:color w:val="000000"/>
        </w:rPr>
        <w:t>14,000</w:t>
      </w:r>
      <w:r w:rsidR="00647448">
        <w:rPr>
          <w:color w:val="000000"/>
        </w:rPr>
        <w:t xml:space="preserve"> </w:t>
      </w:r>
      <w:r w:rsidR="00647448" w:rsidRPr="00873C4C">
        <w:rPr>
          <w:color w:val="000000"/>
        </w:rPr>
        <w:t>rpm</w:t>
      </w:r>
      <w:r w:rsidRPr="00873C4C">
        <w:rPr>
          <w:color w:val="000000"/>
        </w:rPr>
        <w:t xml:space="preserve"> in a </w:t>
      </w:r>
      <w:r w:rsidR="00647448" w:rsidRPr="00873C4C">
        <w:rPr>
          <w:color w:val="000000"/>
        </w:rPr>
        <w:t>micro centrifuge</w:t>
      </w:r>
      <w:r w:rsidRPr="00873C4C">
        <w:rPr>
          <w:color w:val="000000"/>
        </w:rPr>
        <w:t>. The recons</w:t>
      </w:r>
      <w:r w:rsidR="00647448">
        <w:rPr>
          <w:color w:val="000000"/>
        </w:rPr>
        <w:t>tituted dyes were stored at –20</w:t>
      </w:r>
      <w:r w:rsidR="00647448" w:rsidRPr="00873C4C">
        <w:rPr>
          <w:color w:val="000000"/>
        </w:rPr>
        <w:t>°C</w:t>
      </w:r>
      <w:r w:rsidRPr="00873C4C">
        <w:rPr>
          <w:color w:val="000000"/>
        </w:rPr>
        <w:t xml:space="preserve"> for up to two </w:t>
      </w:r>
      <w:r w:rsidR="00647448" w:rsidRPr="00873C4C">
        <w:rPr>
          <w:color w:val="000000"/>
        </w:rPr>
        <w:t>months. Preparation</w:t>
      </w:r>
      <w:r w:rsidRPr="00873C4C">
        <w:rPr>
          <w:color w:val="000000"/>
        </w:rPr>
        <w:t xml:space="preserve"> of 10 μl working dye solution (200 pmol/μl)</w:t>
      </w:r>
      <w:r w:rsidR="00E836ED" w:rsidRPr="00873C4C">
        <w:rPr>
          <w:color w:val="000000"/>
        </w:rPr>
        <w:t xml:space="preserve">. </w:t>
      </w:r>
      <w:r w:rsidRPr="00873C4C">
        <w:rPr>
          <w:color w:val="000000"/>
        </w:rPr>
        <w:t xml:space="preserve">On thawing, the dye stock solutions were centrifuged in a </w:t>
      </w:r>
      <w:r w:rsidR="00647448" w:rsidRPr="00873C4C">
        <w:rPr>
          <w:color w:val="000000"/>
        </w:rPr>
        <w:t>micro centrifuge</w:t>
      </w:r>
      <w:r w:rsidRPr="00873C4C">
        <w:rPr>
          <w:color w:val="000000"/>
        </w:rPr>
        <w:t xml:space="preserve"> for 30 seconds. To make 10 μl of the three working dye solutions, 8 μl of DMF was added to three fresh eppendorfs labelled Cy2, Cy3 and Cy5. A 0.2 nmol/μl volume of each of the reconstituted dye stock solutions was added to their respective tub</w:t>
      </w:r>
      <w:r w:rsidR="00647448">
        <w:rPr>
          <w:color w:val="000000"/>
        </w:rPr>
        <w:t>es. The dyes were stored at -20</w:t>
      </w:r>
      <w:r w:rsidR="00647448" w:rsidRPr="00873C4C">
        <w:rPr>
          <w:color w:val="000000"/>
        </w:rPr>
        <w:t>°C</w:t>
      </w:r>
      <w:r w:rsidRPr="00873C4C">
        <w:rPr>
          <w:color w:val="000000"/>
        </w:rPr>
        <w:t xml:space="preserve"> in tinfoil in the dark for 3 months.</w:t>
      </w:r>
    </w:p>
    <w:p w:rsidR="00156B1B" w:rsidRPr="00873C4C" w:rsidRDefault="00156B1B" w:rsidP="00057B42">
      <w:pPr>
        <w:spacing w:line="360" w:lineRule="auto"/>
        <w:jc w:val="both"/>
        <w:rPr>
          <w:color w:val="000000"/>
        </w:rPr>
      </w:pPr>
    </w:p>
    <w:p w:rsidR="00317F6B" w:rsidRPr="00B933E7" w:rsidRDefault="00317F6B" w:rsidP="00057B42">
      <w:pPr>
        <w:spacing w:line="360" w:lineRule="auto"/>
      </w:pPr>
      <w:r w:rsidRPr="00873C4C">
        <w:t xml:space="preserve"> </w:t>
      </w:r>
    </w:p>
    <w:p w:rsidR="002D284F" w:rsidRDefault="00E836ED" w:rsidP="00645687">
      <w:pPr>
        <w:pStyle w:val="Heading3"/>
      </w:pPr>
      <w:r w:rsidRPr="00873C4C">
        <w:tab/>
      </w:r>
      <w:bookmarkStart w:id="657" w:name="_Toc306570599"/>
      <w:bookmarkStart w:id="658" w:name="_Toc307067664"/>
      <w:bookmarkStart w:id="659" w:name="_Toc312169237"/>
      <w:bookmarkStart w:id="660" w:name="_Toc312172164"/>
      <w:bookmarkStart w:id="661" w:name="_Toc312257713"/>
      <w:r w:rsidR="002D284F" w:rsidRPr="00873C4C">
        <w:t>Protein sample labelling</w:t>
      </w:r>
      <w:bookmarkEnd w:id="657"/>
      <w:bookmarkEnd w:id="658"/>
      <w:bookmarkEnd w:id="659"/>
      <w:bookmarkEnd w:id="660"/>
      <w:bookmarkEnd w:id="661"/>
      <w:r w:rsidR="002D284F" w:rsidRPr="00873C4C">
        <w:t xml:space="preserve"> </w:t>
      </w:r>
    </w:p>
    <w:p w:rsidR="002D284F" w:rsidRPr="00873C4C" w:rsidRDefault="002D284F" w:rsidP="00057B42">
      <w:pPr>
        <w:spacing w:line="360" w:lineRule="auto"/>
        <w:jc w:val="both"/>
        <w:rPr>
          <w:color w:val="000000"/>
        </w:rPr>
      </w:pPr>
      <w:r w:rsidRPr="00873C4C">
        <w:rPr>
          <w:color w:val="000000"/>
        </w:rPr>
        <w:t>Samples were labelled with the minimal dyes as follows, Control 1-3 and Treated 1-3 were labelled with 1 μl e</w:t>
      </w:r>
      <w:r w:rsidR="00E77AD7">
        <w:rPr>
          <w:color w:val="000000"/>
        </w:rPr>
        <w:t>ach of Cy3 and Control 4-6 and t</w:t>
      </w:r>
      <w:r w:rsidRPr="00873C4C">
        <w:rPr>
          <w:color w:val="000000"/>
        </w:rPr>
        <w:t xml:space="preserve">reated 4-6 were labelled with 1 μl each with Cy5. Each tube was mixed by vortexing, centrifuged and then left on ice for 30 minutes in the dark.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To stop the reaction, 1 μl of 10 mM lysine was added, the tubes were vortexed, centrifuged briefly and left on ice for 10 minutes in the dark. The labelle</w:t>
      </w:r>
      <w:r w:rsidR="00647448">
        <w:rPr>
          <w:color w:val="000000"/>
        </w:rPr>
        <w:t>d samples were stored at –80</w:t>
      </w:r>
      <w:r w:rsidR="00647448" w:rsidRPr="00873C4C">
        <w:rPr>
          <w:color w:val="000000"/>
        </w:rPr>
        <w:t>°C</w:t>
      </w:r>
      <w:r w:rsidRPr="00873C4C">
        <w:rPr>
          <w:color w:val="000000"/>
        </w:rPr>
        <w:t>. The Cy2 pool for each gel (50 μg) contained a 4.17 μg aliquot of each of the 12 protein samples (6 control and 6 treated). To this tube 1 μl of working dye solution was added.</w:t>
      </w:r>
    </w:p>
    <w:p w:rsidR="00057B42" w:rsidRDefault="00057B42" w:rsidP="00057B42">
      <w:pPr>
        <w:spacing w:line="360" w:lineRule="auto"/>
        <w:jc w:val="both"/>
        <w:rPr>
          <w:color w:val="000000"/>
        </w:rPr>
      </w:pPr>
    </w:p>
    <w:p w:rsidR="00057B42" w:rsidRPr="00873C4C" w:rsidRDefault="00057B42" w:rsidP="00057B42">
      <w:pPr>
        <w:spacing w:line="360" w:lineRule="auto"/>
        <w:jc w:val="both"/>
        <w:rPr>
          <w:color w:val="000000"/>
        </w:rPr>
      </w:pPr>
    </w:p>
    <w:p w:rsidR="002D284F" w:rsidRDefault="002D284F" w:rsidP="00057B42">
      <w:pPr>
        <w:spacing w:line="360" w:lineRule="auto"/>
        <w:jc w:val="both"/>
        <w:rPr>
          <w:color w:val="000000"/>
        </w:rPr>
      </w:pPr>
    </w:p>
    <w:p w:rsidR="004B395A" w:rsidRPr="00873C4C" w:rsidRDefault="004B395A" w:rsidP="00057B42">
      <w:pPr>
        <w:spacing w:line="360" w:lineRule="auto"/>
        <w:jc w:val="both"/>
        <w:rPr>
          <w:color w:val="000000"/>
        </w:rPr>
      </w:pPr>
    </w:p>
    <w:p w:rsidR="002D284F" w:rsidRPr="00873C4C" w:rsidRDefault="00645550" w:rsidP="00645687">
      <w:pPr>
        <w:pStyle w:val="Heading3"/>
      </w:pPr>
      <w:bookmarkStart w:id="662" w:name="_Toc306570600"/>
      <w:bookmarkStart w:id="663" w:name="_Toc307067665"/>
      <w:r>
        <w:lastRenderedPageBreak/>
        <w:tab/>
      </w:r>
      <w:bookmarkStart w:id="664" w:name="_Toc312169238"/>
      <w:bookmarkStart w:id="665" w:name="_Toc312172165"/>
      <w:bookmarkStart w:id="666" w:name="_Toc312257714"/>
      <w:r w:rsidR="002D284F" w:rsidRPr="00873C4C">
        <w:t>Preparing the labelled samples for the first dimension</w:t>
      </w:r>
      <w:bookmarkEnd w:id="662"/>
      <w:bookmarkEnd w:id="663"/>
      <w:bookmarkEnd w:id="664"/>
      <w:bookmarkEnd w:id="665"/>
      <w:bookmarkEnd w:id="666"/>
    </w:p>
    <w:p w:rsidR="002D284F" w:rsidRDefault="002D284F" w:rsidP="00057B42">
      <w:pPr>
        <w:spacing w:line="360" w:lineRule="auto"/>
        <w:jc w:val="both"/>
        <w:rPr>
          <w:color w:val="000000"/>
        </w:rPr>
      </w:pPr>
      <w:r w:rsidRPr="00873C4C">
        <w:rPr>
          <w:color w:val="000000"/>
        </w:rPr>
        <w:t xml:space="preserve">The protein samples labelled with Cy2 (pooled internal standard), Cy3 and Cy5 were thawed on ice (in the dark), combined by placing into a single </w:t>
      </w:r>
      <w:r w:rsidR="00647448" w:rsidRPr="00873C4C">
        <w:rPr>
          <w:color w:val="000000"/>
        </w:rPr>
        <w:t>eppendorfs</w:t>
      </w:r>
      <w:r w:rsidRPr="00873C4C">
        <w:rPr>
          <w:color w:val="000000"/>
        </w:rPr>
        <w:t xml:space="preserve"> tube and mixed. An equal volume of 2X sample buffer (2.5 ml rehydration buffer stock solution (8</w:t>
      </w:r>
      <w:r w:rsidR="00E77AD7">
        <w:rPr>
          <w:color w:val="000000"/>
        </w:rPr>
        <w:t xml:space="preserve"> </w:t>
      </w:r>
      <w:r w:rsidRPr="00873C4C">
        <w:rPr>
          <w:color w:val="000000"/>
        </w:rPr>
        <w:t>M urea, 4 % CHAPS), pharmalyte broad range pH4-7 (2%) (Amersham, 17-6000-86), DTT (2%) (Sigma, D9163)) was added to the labelled protein samples. The mixture was left on ice for at least 10 minutes then applied to Immobiline DryStrips for isoelectric focussing.</w:t>
      </w:r>
    </w:p>
    <w:p w:rsidR="00156B1B" w:rsidRPr="00873C4C" w:rsidRDefault="00156B1B" w:rsidP="00057B42">
      <w:pPr>
        <w:spacing w:line="360" w:lineRule="auto"/>
        <w:jc w:val="both"/>
        <w:rPr>
          <w:color w:val="000000"/>
        </w:rPr>
      </w:pPr>
    </w:p>
    <w:p w:rsidR="00E836ED" w:rsidRPr="00873C4C" w:rsidRDefault="00645550" w:rsidP="00645687">
      <w:pPr>
        <w:pStyle w:val="Heading4"/>
      </w:pPr>
      <w:bookmarkStart w:id="667" w:name="_Toc306570601"/>
      <w:bookmarkStart w:id="668" w:name="_Toc307067666"/>
      <w:r>
        <w:t xml:space="preserve"> </w:t>
      </w:r>
      <w:bookmarkStart w:id="669" w:name="_Toc312169239"/>
      <w:bookmarkStart w:id="670" w:name="_Toc312172166"/>
      <w:bookmarkStart w:id="671" w:name="_Toc312257715"/>
      <w:r w:rsidR="00E836ED" w:rsidRPr="00873C4C">
        <w:t>Isoelectric focussing</w:t>
      </w:r>
      <w:bookmarkEnd w:id="667"/>
      <w:bookmarkEnd w:id="668"/>
      <w:bookmarkEnd w:id="669"/>
      <w:bookmarkEnd w:id="670"/>
      <w:bookmarkEnd w:id="671"/>
    </w:p>
    <w:p w:rsidR="002D284F" w:rsidRPr="00873C4C" w:rsidRDefault="002D284F" w:rsidP="003C0D79">
      <w:pPr>
        <w:spacing w:before="240" w:line="360" w:lineRule="auto"/>
        <w:jc w:val="both"/>
        <w:rPr>
          <w:color w:val="000000"/>
        </w:rPr>
      </w:pPr>
      <w:r w:rsidRPr="00873C4C">
        <w:rPr>
          <w:color w:val="000000"/>
        </w:rPr>
        <w:t>First dimension separation - isoelectric focussing methodologies</w:t>
      </w:r>
      <w:r w:rsidR="00E836ED" w:rsidRPr="00873C4C">
        <w:rPr>
          <w:color w:val="000000"/>
        </w:rPr>
        <w:t xml:space="preserve">. </w:t>
      </w:r>
      <w:r w:rsidRPr="00873C4C">
        <w:rPr>
          <w:color w:val="000000"/>
        </w:rPr>
        <w:t xml:space="preserve">Isoelectric focussing of all Immunodepleted samples were carried out using immobiline pH gradient (IPG) strips. Strip rehydration using Immobiline DryStrip reswelling </w:t>
      </w:r>
      <w:r w:rsidR="00647448" w:rsidRPr="00873C4C">
        <w:rPr>
          <w:color w:val="000000"/>
        </w:rPr>
        <w:t>tray The</w:t>
      </w:r>
      <w:r w:rsidRPr="00873C4C">
        <w:rPr>
          <w:color w:val="000000"/>
        </w:rPr>
        <w:t xml:space="preserve"> protective lid was removed from the Immobiline Dry Strip Reswelling tray. The tray was levelled using the spirit level. A 350</w:t>
      </w:r>
      <w:r w:rsidR="00E77AD7">
        <w:rPr>
          <w:color w:val="000000"/>
        </w:rPr>
        <w:t xml:space="preserve"> </w:t>
      </w:r>
      <w:r w:rsidRPr="00873C4C">
        <w:rPr>
          <w:color w:val="000000"/>
        </w:rPr>
        <w:t>μl volume of rehydration buffer solution (with 2 % pharmalyte broad range pH4-7 and 2 % DTT) was slowly pipetted into the centre of each slot, all air bubbles generated were removed. The cover film from the IPG strip (Amersham, 17-1233-01) was removed and positioned with the gel side down and lowered. To ensure the entire strip was evenly coated the strip was gently lifted and lowered onto the entire surface of the solution avoiding trapping air bubbles.</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Each strip was overlaid with about 3 ml IPG Cover Fluid (Amersham, 17-1335-01) starting on both ends of the strip, moving to the centre. The protective lid was then replaced and the strips were left at room temperature to rehydrate overnight (or at least 12 hours).</w:t>
      </w:r>
    </w:p>
    <w:p w:rsidR="002D284F" w:rsidRPr="00873C4C" w:rsidRDefault="002D284F" w:rsidP="00057B42">
      <w:pPr>
        <w:spacing w:line="360" w:lineRule="auto"/>
        <w:jc w:val="both"/>
        <w:rPr>
          <w:color w:val="000000"/>
        </w:rPr>
      </w:pPr>
    </w:p>
    <w:p w:rsidR="002D284F" w:rsidRPr="00873C4C" w:rsidRDefault="00E836ED" w:rsidP="00645687">
      <w:pPr>
        <w:pStyle w:val="Heading3"/>
      </w:pPr>
      <w:r w:rsidRPr="00873C4C">
        <w:tab/>
      </w:r>
      <w:bookmarkStart w:id="672" w:name="_Toc306570602"/>
      <w:bookmarkStart w:id="673" w:name="_Toc307067667"/>
      <w:bookmarkStart w:id="674" w:name="_Toc312169240"/>
      <w:bookmarkStart w:id="675" w:name="_Toc312172167"/>
      <w:bookmarkStart w:id="676" w:name="_Toc312257716"/>
      <w:r w:rsidR="002D284F" w:rsidRPr="00873C4C">
        <w:t>Isoelectric focussing using the IPGphor manifold</w:t>
      </w:r>
      <w:bookmarkEnd w:id="672"/>
      <w:bookmarkEnd w:id="673"/>
      <w:bookmarkEnd w:id="674"/>
      <w:bookmarkEnd w:id="675"/>
      <w:bookmarkEnd w:id="676"/>
    </w:p>
    <w:p w:rsidR="002D284F" w:rsidRPr="00873C4C" w:rsidRDefault="002D284F" w:rsidP="00057B42">
      <w:pPr>
        <w:spacing w:line="360" w:lineRule="auto"/>
        <w:jc w:val="both"/>
        <w:rPr>
          <w:color w:val="000000"/>
        </w:rPr>
      </w:pPr>
      <w:r w:rsidRPr="00873C4C">
        <w:rPr>
          <w:color w:val="000000"/>
        </w:rPr>
        <w:t xml:space="preserve">Following the rehydration procedure, the Manifold (Amersham) was placed onto the IPGphor unit by inserting the “T” shape into the hollow provided. A 9 ml volume of </w:t>
      </w:r>
      <w:r w:rsidRPr="00873C4C">
        <w:rPr>
          <w:color w:val="000000"/>
        </w:rPr>
        <w:lastRenderedPageBreak/>
        <w:t xml:space="preserve">Cover Fluid was placed into each of the twelve lanes in the tray in order to cover the surface.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Two wicks (Amersham, 80-6499-14) per strip were placed on tinfoil and 150 μl of UHP was pipetted onto each one to rehydrate them. The rehydrated strips were placed in the correct orientation (+ to anode) and aligned just below the indented mark, to allow for the wicks to overlap the strip.</w:t>
      </w:r>
    </w:p>
    <w:p w:rsidR="00156B1B" w:rsidRDefault="00156B1B" w:rsidP="00057B42">
      <w:pPr>
        <w:spacing w:line="360" w:lineRule="auto"/>
        <w:jc w:val="both"/>
        <w:rPr>
          <w:color w:val="000000"/>
        </w:rPr>
      </w:pPr>
    </w:p>
    <w:p w:rsidR="00057B42" w:rsidRDefault="002D284F" w:rsidP="00057B42">
      <w:pPr>
        <w:spacing w:line="360" w:lineRule="auto"/>
        <w:jc w:val="both"/>
        <w:rPr>
          <w:color w:val="000000"/>
        </w:rPr>
      </w:pPr>
      <w:r w:rsidRPr="00873C4C">
        <w:rPr>
          <w:color w:val="000000"/>
        </w:rPr>
        <w:t xml:space="preserve">The rehydrated wicks were then placed over both the cathodic and anodic ends of all the strips. The wicks were checked to ensure they were positioned over the gel portion of the strip and avoiding the indent in the lane so as to guarantee a good contact with the electrodes. </w:t>
      </w:r>
    </w:p>
    <w:p w:rsidR="00057B42" w:rsidRDefault="00057B42"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 sample cups (Amersham, 80-6498-95) were then positioned approximately 1 cm from the cathodic end of the strip and an insertion tool was used to securely “click” the cups into place. The electrodes were then fitted with their “Cams” open and in direct contact with the wicks.</w:t>
      </w:r>
    </w:p>
    <w:p w:rsidR="002D284F" w:rsidRPr="00873C4C" w:rsidRDefault="002D284F" w:rsidP="00057B42">
      <w:pPr>
        <w:spacing w:line="360" w:lineRule="auto"/>
        <w:jc w:val="both"/>
        <w:rPr>
          <w:color w:val="000000"/>
        </w:rPr>
      </w:pPr>
    </w:p>
    <w:p w:rsidR="00E836ED" w:rsidRPr="00873C4C" w:rsidRDefault="00E836ED" w:rsidP="00645687">
      <w:pPr>
        <w:pStyle w:val="Heading4"/>
      </w:pPr>
      <w:bookmarkStart w:id="677" w:name="_Toc306570603"/>
      <w:bookmarkStart w:id="678" w:name="_Toc307067668"/>
      <w:bookmarkStart w:id="679" w:name="_Toc312169241"/>
      <w:bookmarkStart w:id="680" w:name="_Toc312172168"/>
      <w:bookmarkStart w:id="681" w:name="_Toc312257717"/>
      <w:r w:rsidRPr="00873C4C">
        <w:t>Protein loading</w:t>
      </w:r>
      <w:bookmarkEnd w:id="677"/>
      <w:bookmarkEnd w:id="678"/>
      <w:bookmarkEnd w:id="679"/>
      <w:bookmarkEnd w:id="680"/>
      <w:bookmarkEnd w:id="681"/>
    </w:p>
    <w:p w:rsidR="002D284F" w:rsidRPr="00873C4C" w:rsidRDefault="002D284F" w:rsidP="003C0D79">
      <w:pPr>
        <w:spacing w:before="240" w:line="360" w:lineRule="auto"/>
        <w:jc w:val="both"/>
        <w:rPr>
          <w:color w:val="000000"/>
        </w:rPr>
      </w:pPr>
      <w:r w:rsidRPr="00873C4C">
        <w:rPr>
          <w:color w:val="000000"/>
        </w:rPr>
        <w:t xml:space="preserve">The amount of protein loaded per strip was </w:t>
      </w:r>
      <w:r w:rsidR="00647448" w:rsidRPr="00873C4C">
        <w:rPr>
          <w:color w:val="000000"/>
        </w:rPr>
        <w:t xml:space="preserve">75 </w:t>
      </w:r>
      <w:r w:rsidR="002F58B6" w:rsidRPr="00873C4C">
        <w:rPr>
          <w:color w:val="000000"/>
        </w:rPr>
        <w:t>µ</w:t>
      </w:r>
      <w:r w:rsidR="00647448" w:rsidRPr="00873C4C">
        <w:rPr>
          <w:color w:val="000000"/>
        </w:rPr>
        <w:t>g</w:t>
      </w:r>
      <w:r w:rsidRPr="00873C4C">
        <w:rPr>
          <w:color w:val="000000"/>
        </w:rPr>
        <w:t xml:space="preserve"> for screening, </w:t>
      </w:r>
      <w:r w:rsidR="00647448" w:rsidRPr="00873C4C">
        <w:rPr>
          <w:color w:val="000000"/>
        </w:rPr>
        <w:t xml:space="preserve">150 </w:t>
      </w:r>
      <w:r w:rsidR="002F58B6" w:rsidRPr="00873C4C">
        <w:rPr>
          <w:color w:val="000000"/>
        </w:rPr>
        <w:t>µ</w:t>
      </w:r>
      <w:r w:rsidR="00647448" w:rsidRPr="00873C4C">
        <w:rPr>
          <w:color w:val="000000"/>
        </w:rPr>
        <w:t>g</w:t>
      </w:r>
      <w:r w:rsidRPr="00873C4C">
        <w:rPr>
          <w:color w:val="000000"/>
        </w:rPr>
        <w:t xml:space="preserve"> for DIGE or </w:t>
      </w:r>
      <w:r w:rsidR="00647448" w:rsidRPr="00873C4C">
        <w:rPr>
          <w:color w:val="000000"/>
        </w:rPr>
        <w:t xml:space="preserve">400 </w:t>
      </w:r>
      <w:r w:rsidR="002F58B6" w:rsidRPr="00873C4C">
        <w:rPr>
          <w:color w:val="000000"/>
        </w:rPr>
        <w:t>µ</w:t>
      </w:r>
      <w:r w:rsidR="00647448" w:rsidRPr="00873C4C">
        <w:rPr>
          <w:color w:val="000000"/>
        </w:rPr>
        <w:t>g</w:t>
      </w:r>
      <w:r w:rsidRPr="00873C4C">
        <w:rPr>
          <w:color w:val="000000"/>
        </w:rPr>
        <w:t xml:space="preserve"> for spot picking. The protein samples were prepared by centrifuging to remove any insoluble material and the appropriate volume was loaded with a pipette tip placed just beneath the surface of the cover fluid. The cover of the IPGphor unit was closed and the desired programme selected. </w:t>
      </w:r>
    </w:p>
    <w:p w:rsidR="002D284F" w:rsidRPr="00873C4C" w:rsidRDefault="002D284F" w:rsidP="00057B42">
      <w:pPr>
        <w:spacing w:line="360" w:lineRule="auto"/>
        <w:jc w:val="both"/>
        <w:rPr>
          <w:color w:val="000000"/>
        </w:rPr>
      </w:pPr>
    </w:p>
    <w:p w:rsidR="00E836ED" w:rsidRPr="00873C4C" w:rsidRDefault="00E836ED" w:rsidP="00645687">
      <w:pPr>
        <w:pStyle w:val="Heading4"/>
      </w:pPr>
      <w:bookmarkStart w:id="682" w:name="_Toc306570604"/>
      <w:bookmarkStart w:id="683" w:name="_Toc307067669"/>
      <w:bookmarkStart w:id="684" w:name="_Toc312169242"/>
      <w:bookmarkStart w:id="685" w:name="_Toc312172169"/>
      <w:bookmarkStart w:id="686" w:name="_Toc312257718"/>
      <w:r w:rsidRPr="00873C4C">
        <w:t>Temperature and IEF parameters</w:t>
      </w:r>
      <w:bookmarkEnd w:id="682"/>
      <w:bookmarkEnd w:id="683"/>
      <w:bookmarkEnd w:id="684"/>
      <w:bookmarkEnd w:id="685"/>
      <w:bookmarkEnd w:id="686"/>
    </w:p>
    <w:p w:rsidR="002D284F" w:rsidRPr="00873C4C" w:rsidRDefault="002D284F" w:rsidP="003C0D79">
      <w:pPr>
        <w:spacing w:before="240" w:line="360" w:lineRule="auto"/>
        <w:jc w:val="both"/>
        <w:rPr>
          <w:color w:val="000000"/>
        </w:rPr>
      </w:pPr>
      <w:r w:rsidRPr="00873C4C">
        <w:rPr>
          <w:color w:val="000000"/>
        </w:rPr>
        <w:t xml:space="preserve">The temperature was set for </w:t>
      </w:r>
      <w:r w:rsidR="00647448" w:rsidRPr="00873C4C">
        <w:rPr>
          <w:color w:val="000000"/>
        </w:rPr>
        <w:t>20°C</w:t>
      </w:r>
      <w:r w:rsidR="002F58B6">
        <w:rPr>
          <w:color w:val="000000"/>
        </w:rPr>
        <w:t xml:space="preserve"> with </w:t>
      </w:r>
      <w:r w:rsidR="00E77AD7">
        <w:rPr>
          <w:color w:val="000000"/>
        </w:rPr>
        <w:t xml:space="preserve">50 </w:t>
      </w:r>
      <w:r w:rsidR="00E77AD7" w:rsidRPr="00E77AD7">
        <w:rPr>
          <w:color w:val="000000"/>
        </w:rPr>
        <w:t>µ</w:t>
      </w:r>
      <w:r w:rsidRPr="00873C4C">
        <w:rPr>
          <w:color w:val="000000"/>
        </w:rPr>
        <w:t>A/strip. The IEF parameters are as follows: step 1: 300 volts for 3 hours (step-and-hold), step 2: 600 volts for 3 hours (gradient), step 3 1000 volts for 3 hours (gradient), step 4: 8000 volts for 3 hours (gradient). The IEF was left at 8000 volts (step-and –hold) until ready for SDS-</w:t>
      </w:r>
      <w:r w:rsidRPr="00873C4C">
        <w:rPr>
          <w:color w:val="000000"/>
        </w:rPr>
        <w:lastRenderedPageBreak/>
        <w:t>PAGE step. On completion of the IEF run, the strips were drained of the cover fluid and stored in glass tubes at –</w:t>
      </w:r>
      <w:r w:rsidR="00647448" w:rsidRPr="00873C4C">
        <w:rPr>
          <w:color w:val="000000"/>
        </w:rPr>
        <w:t>80</w:t>
      </w:r>
      <w:r w:rsidR="00647448" w:rsidRPr="00FC0203">
        <w:rPr>
          <w:color w:val="000000"/>
          <w:vertAlign w:val="superscript"/>
        </w:rPr>
        <w:t>°</w:t>
      </w:r>
      <w:r w:rsidR="00647448" w:rsidRPr="00873C4C">
        <w:rPr>
          <w:color w:val="000000"/>
        </w:rPr>
        <w:t>C</w:t>
      </w:r>
      <w:r w:rsidRPr="00873C4C">
        <w:rPr>
          <w:color w:val="000000"/>
        </w:rPr>
        <w:t xml:space="preserve"> or used directly in the second dimension. </w:t>
      </w:r>
    </w:p>
    <w:p w:rsidR="002D284F" w:rsidRDefault="00317F6B" w:rsidP="00645687">
      <w:pPr>
        <w:pStyle w:val="Heading3"/>
      </w:pPr>
      <w:r w:rsidRPr="00873C4C">
        <w:br w:type="page"/>
      </w:r>
      <w:r w:rsidR="00E836ED" w:rsidRPr="00873C4C">
        <w:lastRenderedPageBreak/>
        <w:tab/>
      </w:r>
      <w:bookmarkStart w:id="687" w:name="_Toc306570605"/>
      <w:bookmarkStart w:id="688" w:name="_Toc307067670"/>
      <w:bookmarkStart w:id="689" w:name="_Toc312169243"/>
      <w:bookmarkStart w:id="690" w:name="_Toc312172170"/>
      <w:bookmarkStart w:id="691" w:name="_Toc312257719"/>
      <w:r w:rsidR="002D284F" w:rsidRPr="00873C4C">
        <w:t>Second Dimension – SDS polyacrylamide gel electrophoresis</w:t>
      </w:r>
      <w:bookmarkEnd w:id="687"/>
      <w:bookmarkEnd w:id="688"/>
      <w:bookmarkEnd w:id="689"/>
      <w:bookmarkEnd w:id="690"/>
      <w:bookmarkEnd w:id="691"/>
    </w:p>
    <w:p w:rsidR="002D284F" w:rsidRPr="00873C4C" w:rsidRDefault="002D284F" w:rsidP="00645687">
      <w:pPr>
        <w:pStyle w:val="Heading4"/>
      </w:pPr>
      <w:bookmarkStart w:id="692" w:name="_Toc306570606"/>
      <w:bookmarkStart w:id="693" w:name="_Toc307067671"/>
      <w:bookmarkStart w:id="694" w:name="_Toc312169244"/>
      <w:bookmarkStart w:id="695" w:name="_Toc312172171"/>
      <w:bookmarkStart w:id="696" w:name="_Toc312257720"/>
      <w:r w:rsidRPr="00873C4C">
        <w:t>Casting gels in the ETTAN Dalt-12 gel caster</w:t>
      </w:r>
      <w:bookmarkEnd w:id="692"/>
      <w:bookmarkEnd w:id="693"/>
      <w:bookmarkEnd w:id="694"/>
      <w:bookmarkEnd w:id="695"/>
      <w:bookmarkEnd w:id="696"/>
    </w:p>
    <w:p w:rsidR="002D284F" w:rsidRPr="00873C4C" w:rsidRDefault="002D284F" w:rsidP="001E0FD7">
      <w:pPr>
        <w:spacing w:before="240" w:line="360" w:lineRule="auto"/>
        <w:jc w:val="both"/>
        <w:rPr>
          <w:color w:val="000000"/>
        </w:rPr>
      </w:pPr>
      <w:r w:rsidRPr="00873C4C">
        <w:rPr>
          <w:color w:val="000000"/>
        </w:rPr>
        <w:t xml:space="preserve">The 12.5 % acrylamide gel solution was prepared in a glass beaker (acrylamide/bis 40 %, 1.5 M Tris pH 8.8, 10 % SDS). Prior to pouring, 10 % ammonium persulfate and neat TEMED were added.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Two types of plates were used, low fluorescent for DIGE experiments and hinged for preparative and screening silver stained gels. All plates (both normal hinged and low fluorescent) and casting equipment were inspected to ensure they were clean. The gel caster frame was placed on a level bench leaning on its “legs” so that the back of the caster was open and facing the operator.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plates were assembled so that the front and back plates were evenly aligned and all seals and hinges in place. A thin spacer was placed in the gel caster unit followed by an assembled plate followed by a thin spacer then another plate. </w:t>
      </w:r>
    </w:p>
    <w:p w:rsidR="00CA4D66" w:rsidRDefault="00CA4D66"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plates were positioned in the caster unit so that the lower, front plate was the furthest away from the operator and the spacers packed with their curved edges to the top. This layering was repeated until all 14 plates and spacers were in </w:t>
      </w:r>
      <w:r w:rsidR="00647448" w:rsidRPr="00873C4C">
        <w:rPr>
          <w:color w:val="000000"/>
        </w:rPr>
        <w:t>place. All</w:t>
      </w:r>
      <w:r w:rsidRPr="00873C4C">
        <w:rPr>
          <w:color w:val="000000"/>
        </w:rPr>
        <w:t xml:space="preserve"> plates and spacers were checked to ensure they were packed tightly together so as to minimise any gaps and air pockets.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If all 14 gels were not required, up to 4 dummy plates could be substituted instead of the glass plates. When the desired amount of plates had been added, the thicker spacers were placed next to bring the level marginally over the edge of the back of the caster. </w:t>
      </w:r>
    </w:p>
    <w:p w:rsidR="00A52529" w:rsidRDefault="00A52529"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backing plate was then added to the caster frame and screwed into place with the 6 screws provided. The silicone tubing was added to the outlet of the glass beaker and the glass tube was inserted to the other end of the silicone tubing. </w:t>
      </w:r>
    </w:p>
    <w:p w:rsidR="002D284F" w:rsidRPr="00873C4C" w:rsidRDefault="002D284F" w:rsidP="00057B42">
      <w:pPr>
        <w:spacing w:line="360" w:lineRule="auto"/>
        <w:jc w:val="both"/>
        <w:rPr>
          <w:color w:val="000000"/>
        </w:rPr>
      </w:pPr>
      <w:r w:rsidRPr="00873C4C">
        <w:rPr>
          <w:color w:val="000000"/>
        </w:rPr>
        <w:t xml:space="preserve">The glass tube was inserted into the inlet of the reservoir and the glass beaker containing the gel solution was then clamped to a retort stand. </w:t>
      </w:r>
    </w:p>
    <w:p w:rsidR="002D284F" w:rsidRPr="00873C4C" w:rsidRDefault="002D284F" w:rsidP="00057B42">
      <w:pPr>
        <w:spacing w:line="360" w:lineRule="auto"/>
        <w:jc w:val="both"/>
        <w:rPr>
          <w:color w:val="000000"/>
        </w:rPr>
      </w:pPr>
      <w:r w:rsidRPr="00873C4C">
        <w:rPr>
          <w:color w:val="000000"/>
        </w:rPr>
        <w:lastRenderedPageBreak/>
        <w:t xml:space="preserve">The gel solution was held in place using arterial clamps on the top tube and the tube running down from the reservoir to the caster chamber. The top tube was unclamped and the gel solution was allowed to fill the tubing and the reservoir drain. </w:t>
      </w:r>
    </w:p>
    <w:p w:rsidR="002D284F" w:rsidRPr="00873C4C" w:rsidRDefault="002D284F" w:rsidP="00057B42">
      <w:pPr>
        <w:spacing w:line="360" w:lineRule="auto"/>
        <w:jc w:val="both"/>
        <w:rPr>
          <w:color w:val="000000"/>
        </w:rPr>
      </w:pPr>
      <w:r w:rsidRPr="00873C4C">
        <w:rPr>
          <w:color w:val="000000"/>
        </w:rPr>
        <w:t xml:space="preserve">Air bubbles that had been generated were dislodged by flicking the tube. When all air bubbles had been removed the bottom clamp was released allowing the gel solution into the gel caster.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When the gel solution reached the indicator line across the top of the caster, the bottom and top tubes were reclamped. </w:t>
      </w:r>
    </w:p>
    <w:p w:rsidR="00A52529" w:rsidRDefault="00A52529"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 displacement solution (0.375</w:t>
      </w:r>
      <w:r w:rsidR="00E77AD7">
        <w:rPr>
          <w:color w:val="000000"/>
        </w:rPr>
        <w:t xml:space="preserve"> </w:t>
      </w:r>
      <w:r w:rsidRPr="00873C4C">
        <w:rPr>
          <w:color w:val="000000"/>
        </w:rPr>
        <w:t>M Tris-Cl 1.5</w:t>
      </w:r>
      <w:r w:rsidR="00E77AD7">
        <w:rPr>
          <w:color w:val="000000"/>
        </w:rPr>
        <w:t xml:space="preserve"> </w:t>
      </w:r>
      <w:r w:rsidRPr="00873C4C">
        <w:rPr>
          <w:color w:val="000000"/>
        </w:rPr>
        <w:t xml:space="preserve">M </w:t>
      </w:r>
      <w:r w:rsidR="00E77AD7" w:rsidRPr="00873C4C">
        <w:rPr>
          <w:color w:val="000000"/>
        </w:rPr>
        <w:t>Ph</w:t>
      </w:r>
      <w:r w:rsidR="00E77AD7">
        <w:rPr>
          <w:color w:val="000000"/>
        </w:rPr>
        <w:t xml:space="preserve"> </w:t>
      </w:r>
      <w:r w:rsidRPr="00873C4C">
        <w:rPr>
          <w:color w:val="000000"/>
        </w:rPr>
        <w:t xml:space="preserve">8.8, 30% glycerol, UHP and bromophenol blue) was added to the reservoir and the glass tubing was slowly removed from the reservoir inlet. The clamp was removed from the bottom tube allowing the displacement solution into the tube and forcing the remaining gel solution into the gel caster.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The gels were overlaid with 1 ml satura</w:t>
      </w:r>
      <w:r w:rsidR="00E77AD7">
        <w:rPr>
          <w:color w:val="000000"/>
        </w:rPr>
        <w:t>ted butanol or sprayed with 0.1</w:t>
      </w:r>
      <w:r w:rsidRPr="00873C4C">
        <w:rPr>
          <w:color w:val="000000"/>
        </w:rPr>
        <w:t xml:space="preserve">% SDS solution. The gels were left to set for at least three hours at room temperature. Following this, the caster was gently unlocked and the gels removed and rinsed with distilled water. If the gels were not used immediately they were stored for up to four days in 1X running buffer at </w:t>
      </w:r>
      <w:r w:rsidR="00647448" w:rsidRPr="00873C4C">
        <w:rPr>
          <w:color w:val="000000"/>
        </w:rPr>
        <w:t>4</w:t>
      </w:r>
      <w:r w:rsidR="00E77AD7">
        <w:rPr>
          <w:color w:val="000000"/>
          <w:vertAlign w:val="superscript"/>
        </w:rPr>
        <w:t>o</w:t>
      </w:r>
      <w:r w:rsidR="00647448" w:rsidRPr="00873C4C">
        <w:rPr>
          <w:color w:val="000000"/>
        </w:rPr>
        <w:t>C</w:t>
      </w:r>
      <w:r w:rsidRPr="00873C4C">
        <w:rPr>
          <w:color w:val="000000"/>
        </w:rPr>
        <w:t>.</w:t>
      </w:r>
    </w:p>
    <w:p w:rsidR="002D284F" w:rsidRPr="00873C4C" w:rsidRDefault="002D284F" w:rsidP="00057B42">
      <w:pPr>
        <w:spacing w:line="360" w:lineRule="auto"/>
        <w:jc w:val="both"/>
        <w:rPr>
          <w:color w:val="000000"/>
        </w:rPr>
      </w:pPr>
    </w:p>
    <w:p w:rsidR="00E836ED" w:rsidRDefault="00E836ED" w:rsidP="00645687">
      <w:pPr>
        <w:pStyle w:val="Heading4"/>
      </w:pPr>
      <w:bookmarkStart w:id="697" w:name="_Toc306570607"/>
      <w:bookmarkStart w:id="698" w:name="_Toc307067672"/>
      <w:bookmarkStart w:id="699" w:name="_Toc312169245"/>
      <w:bookmarkStart w:id="700" w:name="_Toc312172172"/>
      <w:bookmarkStart w:id="701" w:name="_Toc312257721"/>
      <w:r w:rsidRPr="00873C4C">
        <w:t>Spot picking</w:t>
      </w:r>
      <w:bookmarkEnd w:id="697"/>
      <w:bookmarkEnd w:id="698"/>
      <w:bookmarkEnd w:id="699"/>
      <w:bookmarkEnd w:id="700"/>
      <w:bookmarkEnd w:id="701"/>
    </w:p>
    <w:p w:rsidR="002D284F" w:rsidRPr="00873C4C" w:rsidRDefault="002D284F" w:rsidP="001E0FD7">
      <w:pPr>
        <w:spacing w:before="240" w:line="360" w:lineRule="auto"/>
        <w:jc w:val="both"/>
        <w:rPr>
          <w:color w:val="000000"/>
        </w:rPr>
      </w:pPr>
      <w:r w:rsidRPr="00873C4C">
        <w:rPr>
          <w:color w:val="000000"/>
        </w:rPr>
        <w:t>If gels were to be used for “spot picking” the plates were</w:t>
      </w:r>
      <w:r w:rsidR="002777B2">
        <w:rPr>
          <w:color w:val="000000"/>
        </w:rPr>
        <w:t xml:space="preserve"> </w:t>
      </w:r>
      <w:r w:rsidR="002777B2" w:rsidRPr="002777B2">
        <w:rPr>
          <w:color w:val="000000"/>
        </w:rPr>
        <w:t xml:space="preserve">silanized (siliconized) to prevent adsorption of solute to the glass surface </w:t>
      </w:r>
      <w:r w:rsidR="002777B2">
        <w:rPr>
          <w:color w:val="000000"/>
        </w:rPr>
        <w:t xml:space="preserve">or </w:t>
      </w:r>
      <w:r w:rsidRPr="00873C4C">
        <w:rPr>
          <w:color w:val="000000"/>
        </w:rPr>
        <w:t>to stick the acrylamide mixture to the plates. A volume of 2</w:t>
      </w:r>
      <w:r w:rsidR="00B163A6">
        <w:rPr>
          <w:color w:val="000000"/>
        </w:rPr>
        <w:t xml:space="preserve"> </w:t>
      </w:r>
      <w:r w:rsidRPr="00873C4C">
        <w:rPr>
          <w:color w:val="000000"/>
        </w:rPr>
        <w:t>ml of (8</w:t>
      </w:r>
      <w:r w:rsidR="00B163A6">
        <w:rPr>
          <w:color w:val="000000"/>
        </w:rPr>
        <w:t xml:space="preserve"> </w:t>
      </w:r>
      <w:r w:rsidRPr="00873C4C">
        <w:rPr>
          <w:color w:val="000000"/>
        </w:rPr>
        <w:t>ml ethanol, 200</w:t>
      </w:r>
      <w:r w:rsidR="00B163A6">
        <w:rPr>
          <w:color w:val="000000"/>
        </w:rPr>
        <w:t xml:space="preserve"> </w:t>
      </w:r>
      <w:r w:rsidR="00B163A6" w:rsidRPr="00B163A6">
        <w:rPr>
          <w:color w:val="000000"/>
        </w:rPr>
        <w:t>µ</w:t>
      </w:r>
      <w:r w:rsidRPr="00873C4C">
        <w:rPr>
          <w:color w:val="000000"/>
        </w:rPr>
        <w:t xml:space="preserve">l glacial acetic </w:t>
      </w:r>
      <w:r w:rsidR="000723C6">
        <w:rPr>
          <w:color w:val="000000"/>
        </w:rPr>
        <w:t xml:space="preserve">acid, 10 </w:t>
      </w:r>
      <w:r w:rsidRPr="00873C4C">
        <w:rPr>
          <w:color w:val="000000"/>
        </w:rPr>
        <w:t>bind-silane and 1.8</w:t>
      </w:r>
      <w:r w:rsidR="00B163A6">
        <w:rPr>
          <w:color w:val="000000"/>
        </w:rPr>
        <w:t xml:space="preserve"> </w:t>
      </w:r>
      <w:r w:rsidRPr="00873C4C">
        <w:rPr>
          <w:color w:val="000000"/>
        </w:rPr>
        <w:t xml:space="preserve">ml UHP) was pipetted over the glass plate and wiped over with a lint free cloth.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This was left to air dry for 15 minutes, after which 2</w:t>
      </w:r>
      <w:r w:rsidR="00B163A6">
        <w:rPr>
          <w:color w:val="000000"/>
        </w:rPr>
        <w:t xml:space="preserve"> </w:t>
      </w:r>
      <w:r w:rsidRPr="00873C4C">
        <w:rPr>
          <w:color w:val="000000"/>
        </w:rPr>
        <w:t xml:space="preserve">ml ethanol and 2 ml UHP were each pipetted over the plate and wiped off respectively. The plate was left to air dry for approximately 1 hour 30 minutes. </w:t>
      </w:r>
    </w:p>
    <w:p w:rsidR="003C0D79" w:rsidRPr="00873C4C" w:rsidRDefault="003C0D79" w:rsidP="00057B42">
      <w:pPr>
        <w:spacing w:line="360" w:lineRule="auto"/>
        <w:jc w:val="both"/>
        <w:rPr>
          <w:color w:val="000000"/>
        </w:rPr>
      </w:pPr>
    </w:p>
    <w:p w:rsidR="002D284F" w:rsidRPr="00873C4C" w:rsidRDefault="00E836ED" w:rsidP="00645687">
      <w:pPr>
        <w:pStyle w:val="Heading3"/>
      </w:pPr>
      <w:r w:rsidRPr="00873C4C">
        <w:tab/>
      </w:r>
      <w:bookmarkStart w:id="702" w:name="_Toc306570608"/>
      <w:bookmarkStart w:id="703" w:name="_Toc307067673"/>
      <w:bookmarkStart w:id="704" w:name="_Toc312169246"/>
      <w:bookmarkStart w:id="705" w:name="_Toc312172173"/>
      <w:bookmarkStart w:id="706" w:name="_Toc312257722"/>
      <w:r w:rsidR="002D284F" w:rsidRPr="00873C4C">
        <w:t>Preparing the ETTAN DALT 12 electrophoresis unit</w:t>
      </w:r>
      <w:bookmarkEnd w:id="702"/>
      <w:bookmarkEnd w:id="703"/>
      <w:bookmarkEnd w:id="704"/>
      <w:bookmarkEnd w:id="705"/>
      <w:bookmarkEnd w:id="706"/>
    </w:p>
    <w:p w:rsidR="002D284F" w:rsidRPr="00873C4C" w:rsidRDefault="002D284F" w:rsidP="00057B42">
      <w:pPr>
        <w:spacing w:line="360" w:lineRule="auto"/>
        <w:jc w:val="both"/>
        <w:rPr>
          <w:color w:val="000000"/>
        </w:rPr>
      </w:pPr>
      <w:r w:rsidRPr="00873C4C">
        <w:rPr>
          <w:color w:val="000000"/>
        </w:rPr>
        <w:t>The electrophoresis chamber was prepared by adding 6.48 litres of UHP and 720 ml of 10X SDS running buffer. The pump was then turned on to cool the system to 10</w:t>
      </w:r>
      <w:r w:rsidRPr="00647448">
        <w:rPr>
          <w:color w:val="000000"/>
          <w:vertAlign w:val="superscript"/>
        </w:rPr>
        <w:t>o</w:t>
      </w:r>
      <w:r w:rsidRPr="00873C4C">
        <w:rPr>
          <w:color w:val="000000"/>
        </w:rPr>
        <w:t xml:space="preserve">C. </w:t>
      </w:r>
    </w:p>
    <w:p w:rsidR="002D284F" w:rsidRPr="00873C4C" w:rsidRDefault="002D284F" w:rsidP="00645687">
      <w:pPr>
        <w:pStyle w:val="Heading4"/>
      </w:pPr>
      <w:bookmarkStart w:id="707" w:name="_Toc306570609"/>
      <w:bookmarkStart w:id="708" w:name="_Toc307067674"/>
      <w:bookmarkStart w:id="709" w:name="_Toc312169247"/>
      <w:bookmarkStart w:id="710" w:name="_Toc312172174"/>
      <w:bookmarkStart w:id="711" w:name="_Toc312257723"/>
      <w:r w:rsidRPr="00873C4C">
        <w:t>Equilibration of focussed Immobiline Dry Strips</w:t>
      </w:r>
      <w:bookmarkEnd w:id="707"/>
      <w:bookmarkEnd w:id="708"/>
      <w:bookmarkEnd w:id="709"/>
      <w:bookmarkEnd w:id="710"/>
      <w:bookmarkEnd w:id="711"/>
    </w:p>
    <w:p w:rsidR="002D284F" w:rsidRPr="00873C4C" w:rsidRDefault="002D284F" w:rsidP="001E0FD7">
      <w:pPr>
        <w:spacing w:before="240" w:line="360" w:lineRule="auto"/>
        <w:jc w:val="both"/>
        <w:rPr>
          <w:color w:val="000000"/>
        </w:rPr>
      </w:pPr>
      <w:r w:rsidRPr="00873C4C">
        <w:rPr>
          <w:color w:val="000000"/>
        </w:rPr>
        <w:t>The SDS equilibration buffer (30% glycerol, 6</w:t>
      </w:r>
      <w:r w:rsidR="00B163A6">
        <w:rPr>
          <w:color w:val="000000"/>
        </w:rPr>
        <w:t xml:space="preserve"> </w:t>
      </w:r>
      <w:r w:rsidRPr="00873C4C">
        <w:rPr>
          <w:color w:val="000000"/>
        </w:rPr>
        <w:t>M urea, 50</w:t>
      </w:r>
      <w:r w:rsidR="00B163A6">
        <w:rPr>
          <w:color w:val="000000"/>
        </w:rPr>
        <w:t xml:space="preserve"> </w:t>
      </w:r>
      <w:r w:rsidRPr="00873C4C">
        <w:rPr>
          <w:color w:val="000000"/>
        </w:rPr>
        <w:t>nm 1.5</w:t>
      </w:r>
      <w:r w:rsidR="00B163A6">
        <w:rPr>
          <w:color w:val="000000"/>
        </w:rPr>
        <w:t xml:space="preserve"> </w:t>
      </w:r>
      <w:r w:rsidRPr="00873C4C">
        <w:rPr>
          <w:color w:val="000000"/>
        </w:rPr>
        <w:t xml:space="preserve">M Tris-Cl pH 8.8, 2% SDS, bromophenol blue and UHP) which had been prepared, </w:t>
      </w:r>
      <w:r w:rsidR="00A03A88" w:rsidRPr="00873C4C">
        <w:rPr>
          <w:color w:val="000000"/>
        </w:rPr>
        <w:t>aliquoted</w:t>
      </w:r>
      <w:r w:rsidRPr="00873C4C">
        <w:rPr>
          <w:color w:val="000000"/>
        </w:rPr>
        <w:t xml:space="preserve"> into 30 ml volumes and frozen at –</w:t>
      </w:r>
      <w:r w:rsidR="00647448" w:rsidRPr="00873C4C">
        <w:rPr>
          <w:color w:val="000000"/>
        </w:rPr>
        <w:t>20°C</w:t>
      </w:r>
      <w:r w:rsidRPr="00873C4C">
        <w:rPr>
          <w:color w:val="000000"/>
        </w:rPr>
        <w:t xml:space="preserve"> was allowed to thaw to room temperature. </w:t>
      </w:r>
    </w:p>
    <w:p w:rsidR="00A52529" w:rsidRDefault="00A52529"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Two SDS equilibration buffer solutions with DTT (65</w:t>
      </w:r>
      <w:r w:rsidR="00B163A6">
        <w:rPr>
          <w:color w:val="000000"/>
        </w:rPr>
        <w:t xml:space="preserve"> mM) or iodoacetamide (240 mM) </w:t>
      </w:r>
      <w:r w:rsidRPr="00873C4C">
        <w:rPr>
          <w:color w:val="000000"/>
        </w:rPr>
        <w:t xml:space="preserve">(Sigma, I1149) were then prepared. </w:t>
      </w:r>
      <w:r w:rsidR="005F45FD">
        <w:rPr>
          <w:color w:val="000000"/>
        </w:rPr>
        <w:t>Using a forceps, the IPG strips</w:t>
      </w:r>
      <w:r w:rsidRPr="00873C4C">
        <w:rPr>
          <w:color w:val="000000"/>
        </w:rPr>
        <w:t xml:space="preserve"> were removed from the IPGphor unit, the cover fluid was drained off by holding the strips at an angle and they were placed into individual glass tubes with the support film toward the wall.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Equilibration buffer (10 </w:t>
      </w:r>
      <w:r w:rsidR="004D56C5">
        <w:rPr>
          <w:color w:val="000000"/>
        </w:rPr>
        <w:t>ml</w:t>
      </w:r>
      <w:r w:rsidRPr="00873C4C">
        <w:rPr>
          <w:color w:val="000000"/>
        </w:rPr>
        <w:t xml:space="preserve"> containing DTT) was added to each tube and incubated for 15 minutes with gentle agitation using an orbital shaker. During this equilibration step, the gel cassettes were rinsed with UHP and then the tops rinsed with 1X running buffer.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After the first equilibration, DTT containing equilibration solution was removed and 5 mls of the iodoacetamide containing equilibration buffer added. The strips were incubated for 10 minutes with gentle agitation. During this equilibration step, the agarose overlay solution (0.5% agarose in running buffer) was prepared and 50 ml of 1X running buffer was placed in a glass tube.</w:t>
      </w:r>
      <w:r w:rsidR="00A52529">
        <w:rPr>
          <w:color w:val="000000"/>
        </w:rPr>
        <w:t xml:space="preserve"> </w:t>
      </w:r>
      <w:r w:rsidRPr="00873C4C">
        <w:rPr>
          <w:color w:val="000000"/>
        </w:rPr>
        <w:t xml:space="preserve"> *If the strips had been frozen at this stage they were left at room temperature to thaw before the DTT-containing equilibration solution was added.</w:t>
      </w:r>
    </w:p>
    <w:p w:rsidR="002777B2" w:rsidRPr="00873C4C" w:rsidRDefault="002777B2" w:rsidP="00057B42">
      <w:pPr>
        <w:spacing w:line="360" w:lineRule="auto"/>
        <w:jc w:val="both"/>
        <w:rPr>
          <w:color w:val="000000"/>
        </w:rPr>
      </w:pPr>
    </w:p>
    <w:p w:rsidR="002D284F" w:rsidRPr="00873C4C" w:rsidRDefault="002D284F" w:rsidP="00645687">
      <w:pPr>
        <w:pStyle w:val="Heading4"/>
      </w:pPr>
      <w:bookmarkStart w:id="712" w:name="_Toc306570610"/>
      <w:bookmarkStart w:id="713" w:name="_Toc307067675"/>
      <w:bookmarkStart w:id="714" w:name="_Toc312169248"/>
      <w:bookmarkStart w:id="715" w:name="_Toc312172175"/>
      <w:bookmarkStart w:id="716" w:name="_Toc312257724"/>
      <w:r w:rsidRPr="00873C4C">
        <w:lastRenderedPageBreak/>
        <w:t>Loading the focussed Immobiline DryStrips</w:t>
      </w:r>
      <w:bookmarkEnd w:id="712"/>
      <w:bookmarkEnd w:id="713"/>
      <w:bookmarkEnd w:id="714"/>
      <w:bookmarkEnd w:id="715"/>
      <w:bookmarkEnd w:id="716"/>
    </w:p>
    <w:p w:rsidR="002D284F" w:rsidRPr="00873C4C" w:rsidRDefault="002D284F" w:rsidP="001E0FD7">
      <w:pPr>
        <w:spacing w:before="240" w:line="360" w:lineRule="auto"/>
        <w:jc w:val="both"/>
        <w:rPr>
          <w:color w:val="000000"/>
        </w:rPr>
      </w:pPr>
      <w:r w:rsidRPr="00873C4C">
        <w:rPr>
          <w:color w:val="000000"/>
        </w:rPr>
        <w:t>Using a forceps and holding the anode end, the IPG strips were rinsed in 1X SDS electrophoresis running buffer and placed between the two glass plates of the gel. The strip was pushed down gently using a thin plastic spacer until it came in contact with the surface of the gel. Any air bubbles trapped between the gel surface and the strip were gently removed. Approximately 1 ml of the 0.5 % agarose overlay solution was applied over the IPG strip to seal it in place.</w:t>
      </w:r>
    </w:p>
    <w:p w:rsidR="00E836ED" w:rsidRPr="00873C4C" w:rsidRDefault="00E836ED" w:rsidP="00057B42">
      <w:pPr>
        <w:spacing w:line="360" w:lineRule="auto"/>
        <w:jc w:val="both"/>
        <w:rPr>
          <w:color w:val="000000"/>
        </w:rPr>
      </w:pPr>
    </w:p>
    <w:p w:rsidR="002777B2" w:rsidRDefault="002D284F" w:rsidP="00645687">
      <w:pPr>
        <w:pStyle w:val="Heading4"/>
      </w:pPr>
      <w:bookmarkStart w:id="717" w:name="_Toc312169249"/>
      <w:bookmarkStart w:id="718" w:name="_Toc312172176"/>
      <w:bookmarkStart w:id="719" w:name="_Toc312257725"/>
      <w:bookmarkStart w:id="720" w:name="_Toc306570611"/>
      <w:bookmarkStart w:id="721" w:name="_Toc307067676"/>
      <w:r w:rsidRPr="00873C4C">
        <w:t>Inserting the gels into the Ettan DALT 12 electrophoresis</w:t>
      </w:r>
      <w:bookmarkEnd w:id="717"/>
      <w:bookmarkEnd w:id="718"/>
      <w:bookmarkEnd w:id="719"/>
    </w:p>
    <w:p w:rsidR="002D284F" w:rsidRPr="00873C4C" w:rsidRDefault="002D284F" w:rsidP="00645687">
      <w:pPr>
        <w:pStyle w:val="Heading4"/>
        <w:numPr>
          <w:ilvl w:val="0"/>
          <w:numId w:val="0"/>
        </w:numPr>
      </w:pPr>
      <w:bookmarkStart w:id="722" w:name="_Toc312169250"/>
      <w:bookmarkStart w:id="723" w:name="_Toc312172177"/>
      <w:bookmarkStart w:id="724" w:name="_Toc312257726"/>
      <w:r w:rsidRPr="00873C4C">
        <w:t>buffer tank</w:t>
      </w:r>
      <w:bookmarkEnd w:id="720"/>
      <w:bookmarkEnd w:id="721"/>
      <w:bookmarkEnd w:id="722"/>
      <w:bookmarkEnd w:id="723"/>
      <w:bookmarkEnd w:id="724"/>
    </w:p>
    <w:p w:rsidR="00E836ED" w:rsidRPr="00873C4C" w:rsidRDefault="00E836E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When the running buffer reached the desired temperature (10</w:t>
      </w:r>
      <w:r w:rsidR="005F45FD">
        <w:rPr>
          <w:color w:val="000000"/>
          <w:vertAlign w:val="superscript"/>
        </w:rPr>
        <w:t>o</w:t>
      </w:r>
      <w:r w:rsidRPr="00873C4C">
        <w:rPr>
          <w:color w:val="000000"/>
        </w:rPr>
        <w:t xml:space="preserve">C) the loaded gel cassettes were wetted with UHP and inserted into the tank through the slots provided in the same orientation.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 xml:space="preserve">When all 12 slots were filled the upper chamber was filled, 2X running buffer was added to the upper chamber until the mark on the side of the chamber was reached. The cover of the unit was replaced and the required running conditions selected. The unit was run for 18–24 hours at 1.5 Watts per gel at 10°C or until the bromophenol blue dye front reached the bottom of the gel. </w:t>
      </w:r>
    </w:p>
    <w:p w:rsidR="001A6859" w:rsidRPr="00873C4C" w:rsidRDefault="001A6859"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 xml:space="preserve">When the run was completed, the gel cassettes were removed from the tank one at a time using the DALT cassette removal tool and rinsed with UHP to remove the running buffer. </w:t>
      </w: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5F45FD" w:rsidRDefault="005F45FD">
      <w:pPr>
        <w:rPr>
          <w:color w:val="000000"/>
        </w:rPr>
      </w:pPr>
      <w:r>
        <w:rPr>
          <w:color w:val="000000"/>
        </w:rPr>
        <w:br w:type="page"/>
      </w:r>
    </w:p>
    <w:p w:rsidR="00057B42" w:rsidRPr="00873C4C" w:rsidRDefault="00057B42" w:rsidP="00057B42">
      <w:pPr>
        <w:spacing w:line="360" w:lineRule="auto"/>
        <w:jc w:val="both"/>
        <w:rPr>
          <w:color w:val="000000"/>
        </w:rPr>
      </w:pPr>
    </w:p>
    <w:p w:rsidR="002D284F" w:rsidRDefault="00E836ED" w:rsidP="00645687">
      <w:pPr>
        <w:pStyle w:val="Heading3"/>
      </w:pPr>
      <w:r w:rsidRPr="00873C4C">
        <w:tab/>
      </w:r>
      <w:bookmarkStart w:id="725" w:name="_Toc306570612"/>
      <w:bookmarkStart w:id="726" w:name="_Toc307067677"/>
      <w:bookmarkStart w:id="727" w:name="_Toc312169251"/>
      <w:bookmarkStart w:id="728" w:name="_Toc312172178"/>
      <w:bookmarkStart w:id="729" w:name="_Toc312257727"/>
      <w:r w:rsidR="002D284F" w:rsidRPr="00873C4C">
        <w:t>Method for scanning DIGE labelled samples</w:t>
      </w:r>
      <w:bookmarkEnd w:id="725"/>
      <w:bookmarkEnd w:id="726"/>
      <w:bookmarkEnd w:id="727"/>
      <w:bookmarkEnd w:id="728"/>
      <w:bookmarkEnd w:id="729"/>
    </w:p>
    <w:p w:rsidR="00E836ED" w:rsidRPr="00873C4C" w:rsidRDefault="00E836ED" w:rsidP="00645687">
      <w:pPr>
        <w:pStyle w:val="Heading4"/>
      </w:pPr>
      <w:bookmarkStart w:id="730" w:name="_Toc306570613"/>
      <w:bookmarkStart w:id="731" w:name="_Toc307067678"/>
      <w:bookmarkStart w:id="732" w:name="_Toc312169252"/>
      <w:bookmarkStart w:id="733" w:name="_Toc312172179"/>
      <w:bookmarkStart w:id="734" w:name="_Toc312257728"/>
      <w:r w:rsidRPr="00873C4C">
        <w:t>Typhoon Variable Mode Imager</w:t>
      </w:r>
      <w:bookmarkEnd w:id="730"/>
      <w:bookmarkEnd w:id="731"/>
      <w:bookmarkEnd w:id="732"/>
      <w:bookmarkEnd w:id="733"/>
      <w:bookmarkEnd w:id="734"/>
    </w:p>
    <w:p w:rsidR="002D284F" w:rsidRPr="00873C4C" w:rsidRDefault="002D284F" w:rsidP="005F45FD">
      <w:pPr>
        <w:spacing w:before="240" w:line="360" w:lineRule="auto"/>
        <w:jc w:val="both"/>
        <w:rPr>
          <w:color w:val="000000"/>
        </w:rPr>
      </w:pPr>
      <w:r w:rsidRPr="00873C4C">
        <w:rPr>
          <w:color w:val="000000"/>
        </w:rPr>
        <w:t xml:space="preserve">The Typhoon Variable Mode Imager (GE Healthcare) was turned on and left to warm up for 30 minutes prior to scanning. The scanning control software was opened and the fluorescence mode was selected. </w:t>
      </w:r>
    </w:p>
    <w:p w:rsidR="002D284F" w:rsidRPr="00873C4C" w:rsidRDefault="002D284F" w:rsidP="00057B42">
      <w:pPr>
        <w:spacing w:line="360" w:lineRule="auto"/>
        <w:jc w:val="both"/>
        <w:rPr>
          <w:color w:val="000000"/>
        </w:rPr>
      </w:pPr>
      <w:r w:rsidRPr="00873C4C">
        <w:rPr>
          <w:color w:val="000000"/>
        </w:rPr>
        <w:t>The appropriate emission filters and lasers were then selected for the separate dyes (Cy2 520 BP40 Blue (488), Cy3 580 BP30 Green (</w:t>
      </w:r>
      <w:r w:rsidR="00442F2B">
        <w:rPr>
          <w:color w:val="000000"/>
        </w:rPr>
        <w:t>532) and Cy5 670 BP 30 Red (633)</w:t>
      </w:r>
      <w:r w:rsidRPr="00873C4C">
        <w:rPr>
          <w:color w:val="000000"/>
        </w:rPr>
        <w:t xml:space="preserve">). </w:t>
      </w:r>
    </w:p>
    <w:p w:rsidR="002D284F" w:rsidRPr="00873C4C" w:rsidRDefault="002D284F" w:rsidP="00057B42">
      <w:pPr>
        <w:spacing w:line="360" w:lineRule="auto"/>
        <w:jc w:val="both"/>
        <w:rPr>
          <w:color w:val="000000"/>
        </w:rPr>
      </w:pPr>
      <w:r w:rsidRPr="00873C4C">
        <w:rPr>
          <w:color w:val="000000"/>
        </w:rPr>
        <w:t xml:space="preserve">The first gel was placed in the scanner and pre-scanned at a 1000 pixel resolution in order to obtain the correct photo multiplier tube (PMT) value (to prevent saturation of the signal from high abundant spots). </w:t>
      </w:r>
    </w:p>
    <w:p w:rsidR="002D284F" w:rsidRPr="00873C4C" w:rsidRDefault="002D284F" w:rsidP="00057B42">
      <w:pPr>
        <w:spacing w:line="360" w:lineRule="auto"/>
        <w:jc w:val="both"/>
        <w:rPr>
          <w:color w:val="000000"/>
        </w:rPr>
      </w:pPr>
    </w:p>
    <w:p w:rsidR="00B165D3" w:rsidRPr="00873C4C" w:rsidRDefault="00B165D3" w:rsidP="00645687">
      <w:pPr>
        <w:pStyle w:val="Heading4"/>
      </w:pPr>
      <w:bookmarkStart w:id="735" w:name="_Toc306570614"/>
      <w:bookmarkStart w:id="736" w:name="_Toc307067679"/>
      <w:bookmarkStart w:id="737" w:name="_Toc312169253"/>
      <w:bookmarkStart w:id="738" w:name="_Toc312172180"/>
      <w:bookmarkStart w:id="739" w:name="_Toc312257729"/>
      <w:r w:rsidRPr="00873C4C">
        <w:t>Gel scanning</w:t>
      </w:r>
      <w:bookmarkEnd w:id="735"/>
      <w:bookmarkEnd w:id="736"/>
      <w:bookmarkEnd w:id="737"/>
      <w:bookmarkEnd w:id="738"/>
      <w:bookmarkEnd w:id="739"/>
    </w:p>
    <w:p w:rsidR="002D284F" w:rsidRDefault="002D284F" w:rsidP="00CC237F">
      <w:pPr>
        <w:spacing w:before="240" w:line="360" w:lineRule="auto"/>
        <w:jc w:val="both"/>
        <w:rPr>
          <w:color w:val="000000"/>
        </w:rPr>
      </w:pPr>
      <w:r w:rsidRPr="00873C4C">
        <w:rPr>
          <w:color w:val="000000"/>
        </w:rPr>
        <w:t>Once the correct PMT value was found, the gel was scanned at 100 pixel resolution, resulting in the generation of three images, one each for Cy2, Cy3 and Cy5. Once the scanning was completed, the gel images were imported into the ImageQuant software. All gels were cropped identically to facilitate spot matching in the Decyder BVA module.</w:t>
      </w:r>
    </w:p>
    <w:p w:rsidR="009A376D" w:rsidRPr="00873C4C" w:rsidRDefault="009A376D" w:rsidP="00057B42">
      <w:pPr>
        <w:spacing w:line="360" w:lineRule="auto"/>
        <w:jc w:val="both"/>
        <w:rPr>
          <w:color w:val="000000"/>
        </w:rPr>
      </w:pPr>
    </w:p>
    <w:p w:rsidR="002D284F" w:rsidRPr="00873C4C" w:rsidRDefault="002D284F" w:rsidP="00645687">
      <w:pPr>
        <w:pStyle w:val="Heading4"/>
      </w:pPr>
      <w:bookmarkStart w:id="740" w:name="_Toc306570615"/>
      <w:bookmarkStart w:id="741" w:name="_Toc307067680"/>
      <w:bookmarkStart w:id="742" w:name="_Toc312169254"/>
      <w:bookmarkStart w:id="743" w:name="_Toc312172181"/>
      <w:bookmarkStart w:id="744" w:name="_Toc312257730"/>
      <w:r w:rsidRPr="00873C4C">
        <w:t>Analysis of gel images</w:t>
      </w:r>
      <w:r w:rsidR="00B165D3" w:rsidRPr="00873C4C">
        <w:t xml:space="preserve"> - </w:t>
      </w:r>
      <w:r w:rsidRPr="00873C4C">
        <w:t>Differential in-gel analysis (DIA)</w:t>
      </w:r>
      <w:bookmarkEnd w:id="740"/>
      <w:bookmarkEnd w:id="741"/>
      <w:bookmarkEnd w:id="742"/>
      <w:bookmarkEnd w:id="743"/>
      <w:bookmarkEnd w:id="744"/>
    </w:p>
    <w:p w:rsidR="002D284F" w:rsidRPr="00873C4C" w:rsidRDefault="002D284F" w:rsidP="003C0D79">
      <w:pPr>
        <w:spacing w:before="240" w:line="360" w:lineRule="auto"/>
        <w:jc w:val="both"/>
        <w:rPr>
          <w:color w:val="000000"/>
        </w:rPr>
      </w:pPr>
      <w:r w:rsidRPr="00873C4C">
        <w:rPr>
          <w:color w:val="000000"/>
        </w:rPr>
        <w:t xml:space="preserve">The DIA module processes a triplet of images from a single gel. The internal standard is loaded as the primary image followed by the secondary and tertiary image, derived from, for example, a control and treated sample. Spot detection and calculation of spots properties were performed for each image from the same gel. </w:t>
      </w:r>
    </w:p>
    <w:p w:rsidR="002D284F" w:rsidRPr="00873C4C" w:rsidRDefault="002D284F" w:rsidP="00057B42">
      <w:pPr>
        <w:spacing w:line="360" w:lineRule="auto"/>
        <w:jc w:val="both"/>
        <w:rPr>
          <w:color w:val="000000"/>
        </w:rPr>
      </w:pPr>
      <w:r w:rsidRPr="00873C4C">
        <w:rPr>
          <w:color w:val="000000"/>
        </w:rPr>
        <w:t xml:space="preserve">The software determined the margins of the spots, quantified the spot intensities and calculated the relative spot intensity as the ratio between the total intensity of the gel and the intensity of each individual spot.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lastRenderedPageBreak/>
        <w:t>The protein spots were then normalised using the in-gel linked internal standard. The data from the first gel was XML formatted and exported into the Bio</w:t>
      </w:r>
      <w:r w:rsidR="00B165D3" w:rsidRPr="00873C4C">
        <w:rPr>
          <w:color w:val="000000"/>
        </w:rPr>
        <w:t>logical Variation Analysis</w:t>
      </w:r>
      <w:r w:rsidRPr="00873C4C">
        <w:rPr>
          <w:color w:val="000000"/>
        </w:rPr>
        <w:t xml:space="preserve"> software for further analysis. This procedure was repeated for each gel in the experiment. </w:t>
      </w:r>
    </w:p>
    <w:p w:rsidR="002D284F" w:rsidRPr="00873C4C" w:rsidRDefault="002D284F" w:rsidP="00057B42">
      <w:pPr>
        <w:spacing w:line="360" w:lineRule="auto"/>
        <w:jc w:val="both"/>
        <w:rPr>
          <w:color w:val="000000"/>
        </w:rPr>
      </w:pPr>
    </w:p>
    <w:p w:rsidR="009A376D" w:rsidRDefault="009A376D" w:rsidP="00057B42">
      <w:pPr>
        <w:spacing w:line="360" w:lineRule="auto"/>
        <w:rPr>
          <w:b/>
          <w:color w:val="000000"/>
          <w:sz w:val="26"/>
          <w:szCs w:val="26"/>
          <w:lang w:eastAsia="en-US"/>
        </w:rPr>
      </w:pPr>
      <w:r>
        <w:br w:type="page"/>
      </w:r>
    </w:p>
    <w:p w:rsidR="002D284F" w:rsidRDefault="00B165D3" w:rsidP="00645687">
      <w:pPr>
        <w:pStyle w:val="Heading3"/>
      </w:pPr>
      <w:r w:rsidRPr="00873C4C">
        <w:lastRenderedPageBreak/>
        <w:tab/>
      </w:r>
      <w:bookmarkStart w:id="745" w:name="_Toc306570616"/>
      <w:bookmarkStart w:id="746" w:name="_Toc307067681"/>
      <w:bookmarkStart w:id="747" w:name="_Toc312169255"/>
      <w:bookmarkStart w:id="748" w:name="_Toc312172182"/>
      <w:bookmarkStart w:id="749" w:name="_Toc312257731"/>
      <w:r w:rsidR="002D284F" w:rsidRPr="00873C4C">
        <w:t>Biological variation analysis (BVA)</w:t>
      </w:r>
      <w:bookmarkEnd w:id="745"/>
      <w:bookmarkEnd w:id="746"/>
      <w:bookmarkEnd w:id="747"/>
      <w:bookmarkEnd w:id="748"/>
      <w:bookmarkEnd w:id="749"/>
    </w:p>
    <w:p w:rsidR="002D284F" w:rsidRPr="00873C4C" w:rsidRDefault="002D284F" w:rsidP="00057B42">
      <w:pPr>
        <w:spacing w:line="360" w:lineRule="auto"/>
        <w:jc w:val="both"/>
        <w:rPr>
          <w:color w:val="000000"/>
        </w:rPr>
      </w:pPr>
      <w:r w:rsidRPr="00873C4C">
        <w:rPr>
          <w:color w:val="000000"/>
        </w:rPr>
        <w:t xml:space="preserve">Once all gels from the experiment were loaded into the BVA module, the experiment design was set up and the images were assigned into three groups (standard, control and treated). The spots on the gels were then matched across all gels in the experiment. </w:t>
      </w:r>
      <w:r w:rsidRPr="00873C4C">
        <w:rPr>
          <w:color w:val="000000"/>
        </w:rPr>
        <w:cr/>
      </w:r>
    </w:p>
    <w:p w:rsidR="002D284F" w:rsidRPr="00873C4C" w:rsidRDefault="002D284F" w:rsidP="00057B42">
      <w:pPr>
        <w:spacing w:line="360" w:lineRule="auto"/>
        <w:jc w:val="both"/>
        <w:rPr>
          <w:color w:val="000000"/>
        </w:rPr>
      </w:pPr>
      <w:r w:rsidRPr="00873C4C">
        <w:rPr>
          <w:color w:val="000000"/>
        </w:rPr>
        <w:t xml:space="preserve">This module detects the consistency of the differences between samples across all the gels. The software standardises the relative spot intensity of the Cy5 image to that of the Cy3 image in the same gel. The standardised spot intensity was then averaged across the triplicate gels. </w:t>
      </w:r>
    </w:p>
    <w:p w:rsidR="002D284F" w:rsidRPr="00873C4C" w:rsidRDefault="002D284F" w:rsidP="00057B42">
      <w:pPr>
        <w:spacing w:line="360" w:lineRule="auto"/>
        <w:jc w:val="both"/>
        <w:rPr>
          <w:color w:val="000000"/>
        </w:rPr>
      </w:pPr>
      <w:r w:rsidRPr="00873C4C">
        <w:rPr>
          <w:color w:val="000000"/>
        </w:rPr>
        <w:t>The BVA module detected the consistency of the differences between samples across all the gels and applied statistics to associate a level of confidence for each of the differences. The protein spots with statistically significant protein expression changes were designated “proteins of interest” and placed in a pick list.</w:t>
      </w:r>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 Preparative gels for spot picking with 400 ug of protein/gel were focussed and run out on SDS-PAGE gels. The gels were then stained with </w:t>
      </w:r>
      <w:r w:rsidR="005F45FD">
        <w:rPr>
          <w:color w:val="000000"/>
        </w:rPr>
        <w:t>colloidal coomassie (section 2.</w:t>
      </w:r>
      <w:r w:rsidRPr="00873C4C">
        <w:rPr>
          <w:color w:val="000000"/>
        </w:rPr>
        <w:t>1.2</w:t>
      </w:r>
      <w:r w:rsidR="005F45FD">
        <w:rPr>
          <w:color w:val="000000"/>
        </w:rPr>
        <w:t>5</w:t>
      </w:r>
      <w:r w:rsidRPr="00873C4C">
        <w:rPr>
          <w:color w:val="000000"/>
        </w:rPr>
        <w:t>). Spots that showed differential protein expression were picked with the</w:t>
      </w:r>
      <w:r w:rsidR="005F45FD">
        <w:rPr>
          <w:color w:val="000000"/>
        </w:rPr>
        <w:t xml:space="preserve"> ETTAN Spot Picker (section 2.1.27</w:t>
      </w:r>
      <w:r w:rsidRPr="00873C4C">
        <w:rPr>
          <w:color w:val="000000"/>
        </w:rPr>
        <w:t xml:space="preserve">). </w:t>
      </w:r>
    </w:p>
    <w:p w:rsidR="002D284F" w:rsidRPr="00873C4C" w:rsidRDefault="002D284F" w:rsidP="00057B42">
      <w:pPr>
        <w:spacing w:line="360" w:lineRule="auto"/>
        <w:jc w:val="both"/>
        <w:rPr>
          <w:color w:val="000000"/>
        </w:rPr>
      </w:pPr>
    </w:p>
    <w:p w:rsidR="002D284F" w:rsidRPr="00873C4C" w:rsidRDefault="00442F2B" w:rsidP="00645687">
      <w:pPr>
        <w:pStyle w:val="Heading3"/>
      </w:pPr>
      <w:bookmarkStart w:id="750" w:name="_Toc306570617"/>
      <w:bookmarkStart w:id="751" w:name="_Toc307067682"/>
      <w:r>
        <w:tab/>
      </w:r>
      <w:bookmarkStart w:id="752" w:name="_Toc312169256"/>
      <w:bookmarkStart w:id="753" w:name="_Toc312172183"/>
      <w:bookmarkStart w:id="754" w:name="_Toc312257732"/>
      <w:r w:rsidR="002D284F" w:rsidRPr="00873C4C">
        <w:t>Brilliant blue G Colloidal coomassie staining of preparative gels for spot picking</w:t>
      </w:r>
      <w:bookmarkEnd w:id="750"/>
      <w:bookmarkEnd w:id="751"/>
      <w:bookmarkEnd w:id="752"/>
      <w:bookmarkEnd w:id="753"/>
      <w:bookmarkEnd w:id="754"/>
      <w:r w:rsidR="002D284F" w:rsidRPr="00873C4C">
        <w:t xml:space="preserve"> </w:t>
      </w:r>
    </w:p>
    <w:p w:rsidR="002D284F" w:rsidRDefault="002D284F" w:rsidP="00057B42">
      <w:pPr>
        <w:spacing w:before="240" w:line="360" w:lineRule="auto"/>
        <w:jc w:val="both"/>
        <w:rPr>
          <w:color w:val="000000"/>
        </w:rPr>
      </w:pPr>
      <w:r w:rsidRPr="00873C4C">
        <w:rPr>
          <w:color w:val="000000"/>
        </w:rPr>
        <w:t xml:space="preserve">After electrophoresis, the smaller lower plates with the gels attached were placed in the gel boxes containing fixing solution (7% glacial acetic acid in 40% (v/v) methanol (Aldrich, 200-659-6)) for at least one hour. During this step a 1X working solution of Brilliant Blue G colloidal coomassie (Sigma, B2025) was prepared by adding </w:t>
      </w:r>
      <w:r w:rsidR="004D56C5" w:rsidRPr="00873C4C">
        <w:rPr>
          <w:color w:val="000000"/>
        </w:rPr>
        <w:t>800</w:t>
      </w:r>
      <w:r w:rsidR="004D56C5">
        <w:rPr>
          <w:color w:val="000000"/>
        </w:rPr>
        <w:t xml:space="preserve"> </w:t>
      </w:r>
      <w:r w:rsidR="004D56C5" w:rsidRPr="00873C4C">
        <w:rPr>
          <w:color w:val="000000"/>
        </w:rPr>
        <w:t>ml</w:t>
      </w:r>
      <w:r w:rsidRPr="00873C4C">
        <w:rPr>
          <w:color w:val="000000"/>
        </w:rPr>
        <w:t xml:space="preserve"> UHP to the stock bottle. When the fixing step had nearly elapsed a solution containing 4 parts of 1X working colloidal coomassie solution and 1 part methanol was made, mixed by vortexing for 30 seconds and then placed on top of the gels. The gels were left to stain for 2 hours. </w:t>
      </w:r>
    </w:p>
    <w:p w:rsidR="00A52529" w:rsidRDefault="00A52529" w:rsidP="00057B42">
      <w:pPr>
        <w:spacing w:before="240" w:line="360" w:lineRule="auto"/>
        <w:jc w:val="both"/>
        <w:rPr>
          <w:color w:val="000000"/>
        </w:rPr>
      </w:pPr>
    </w:p>
    <w:p w:rsidR="00B165D3" w:rsidRDefault="00681D9B" w:rsidP="00645687">
      <w:pPr>
        <w:pStyle w:val="Heading4"/>
      </w:pPr>
      <w:bookmarkStart w:id="755" w:name="_Toc306570618"/>
      <w:bookmarkStart w:id="756" w:name="_Toc307067683"/>
      <w:bookmarkStart w:id="757" w:name="_Toc312169257"/>
      <w:bookmarkStart w:id="758" w:name="_Toc312172184"/>
      <w:bookmarkStart w:id="759" w:name="_Toc312257733"/>
      <w:r>
        <w:lastRenderedPageBreak/>
        <w:t>De</w:t>
      </w:r>
      <w:r w:rsidR="00B165D3" w:rsidRPr="00873C4C">
        <w:t>staining</w:t>
      </w:r>
      <w:bookmarkEnd w:id="755"/>
      <w:bookmarkEnd w:id="756"/>
      <w:bookmarkEnd w:id="757"/>
      <w:bookmarkEnd w:id="758"/>
      <w:bookmarkEnd w:id="759"/>
      <w:r w:rsidR="00B165D3" w:rsidRPr="00873C4C">
        <w:t xml:space="preserve"> </w:t>
      </w:r>
    </w:p>
    <w:p w:rsidR="002D284F" w:rsidRPr="00873C4C" w:rsidRDefault="002D284F" w:rsidP="005F45FD">
      <w:pPr>
        <w:spacing w:before="240" w:line="360" w:lineRule="auto"/>
        <w:jc w:val="both"/>
        <w:rPr>
          <w:color w:val="000000"/>
        </w:rPr>
      </w:pPr>
      <w:r w:rsidRPr="00873C4C">
        <w:rPr>
          <w:color w:val="000000"/>
        </w:rPr>
        <w:t xml:space="preserve">To destain, a solution containing 10% acetic acid in 25% methanol was poured over the shaking gels for 60 seconds. The gels were then rinsed with 25% methanol for 30 seconds and then destained with 25% methanol for 24 hours. The glass surface was dried and two reference markers (Amersham) attached to the underside of the glass plate before scanning. The resulting image was imported into the ImageMaster software (Amersham) and the spots were detected, normalised and the reference markers selected. While keeping the shift key depressed, all spots of interest were manually selected. The resulting image was saved and exported into the Ettan Spot Picker software. </w:t>
      </w:r>
    </w:p>
    <w:p w:rsidR="00317F6B" w:rsidRPr="00873C4C" w:rsidRDefault="00317F6B" w:rsidP="00057B42">
      <w:pPr>
        <w:spacing w:line="360" w:lineRule="auto"/>
        <w:jc w:val="both"/>
        <w:rPr>
          <w:color w:val="000000"/>
        </w:rPr>
      </w:pPr>
    </w:p>
    <w:p w:rsidR="002D284F" w:rsidRDefault="00B165D3" w:rsidP="00645687">
      <w:pPr>
        <w:pStyle w:val="Heading3"/>
      </w:pPr>
      <w:r w:rsidRPr="00873C4C">
        <w:tab/>
      </w:r>
      <w:bookmarkStart w:id="760" w:name="_Toc306570619"/>
      <w:bookmarkStart w:id="761" w:name="_Toc307067684"/>
      <w:bookmarkStart w:id="762" w:name="_Toc312169258"/>
      <w:bookmarkStart w:id="763" w:name="_Toc312172185"/>
      <w:bookmarkStart w:id="764" w:name="_Toc312257734"/>
      <w:r w:rsidR="002D284F" w:rsidRPr="00873C4C">
        <w:t>Spot digestion</w:t>
      </w:r>
      <w:bookmarkEnd w:id="760"/>
      <w:bookmarkEnd w:id="761"/>
      <w:bookmarkEnd w:id="762"/>
      <w:bookmarkEnd w:id="763"/>
      <w:bookmarkEnd w:id="764"/>
    </w:p>
    <w:p w:rsidR="002D284F" w:rsidRDefault="002D284F" w:rsidP="00057B42">
      <w:pPr>
        <w:spacing w:line="360" w:lineRule="auto"/>
        <w:jc w:val="both"/>
        <w:rPr>
          <w:color w:val="000000"/>
        </w:rPr>
      </w:pPr>
      <w:r w:rsidRPr="00873C4C">
        <w:rPr>
          <w:color w:val="000000"/>
        </w:rPr>
        <w:t xml:space="preserve">Preparative gels containing 400 mg of protein were fixed and then poststained with colloidal coomassie blue stain (Sigma). The subsequent gels were scanned using the Typhoon 9400 Variable Mode Imager (GE </w:t>
      </w:r>
      <w:r w:rsidR="004D56C5" w:rsidRPr="00873C4C">
        <w:rPr>
          <w:color w:val="000000"/>
        </w:rPr>
        <w:t>Healthcare</w:t>
      </w:r>
      <w:r w:rsidRPr="00873C4C">
        <w:rPr>
          <w:color w:val="000000"/>
        </w:rPr>
        <w:t xml:space="preserve">) to generate gel images at the appropriate excitation and emission wavelengths for the colloidal CBB stain. Preparative gel images were then matched to the Master gel image generated from the DIGE experiment. </w:t>
      </w:r>
    </w:p>
    <w:p w:rsidR="00A52529" w:rsidRPr="00873C4C" w:rsidRDefault="00A52529" w:rsidP="00057B42">
      <w:pPr>
        <w:spacing w:line="360" w:lineRule="auto"/>
        <w:jc w:val="both"/>
        <w:rPr>
          <w:color w:val="000000"/>
        </w:rPr>
      </w:pPr>
    </w:p>
    <w:p w:rsidR="00B165D3" w:rsidRDefault="00B165D3" w:rsidP="00645687">
      <w:pPr>
        <w:pStyle w:val="Heading3"/>
      </w:pPr>
      <w:r w:rsidRPr="00873C4C">
        <w:tab/>
      </w:r>
      <w:bookmarkStart w:id="765" w:name="_Toc306570620"/>
      <w:bookmarkStart w:id="766" w:name="_Toc307067685"/>
      <w:bookmarkStart w:id="767" w:name="_Toc312169259"/>
      <w:bookmarkStart w:id="768" w:name="_Toc312172186"/>
      <w:bookmarkStart w:id="769" w:name="_Toc312257735"/>
      <w:r w:rsidRPr="00873C4C">
        <w:t>Ettan Spot Picker robot (GE Healthcare)</w:t>
      </w:r>
      <w:bookmarkEnd w:id="765"/>
      <w:bookmarkEnd w:id="766"/>
      <w:bookmarkEnd w:id="767"/>
      <w:bookmarkEnd w:id="768"/>
      <w:bookmarkEnd w:id="769"/>
    </w:p>
    <w:p w:rsidR="002D284F" w:rsidRPr="00873C4C" w:rsidRDefault="002D284F" w:rsidP="00057B42">
      <w:pPr>
        <w:spacing w:line="360" w:lineRule="auto"/>
        <w:jc w:val="both"/>
        <w:rPr>
          <w:color w:val="000000"/>
        </w:rPr>
      </w:pPr>
      <w:r w:rsidRPr="00873C4C">
        <w:rPr>
          <w:color w:val="000000"/>
        </w:rPr>
        <w:t>Spots of interest were selected and a pick list was generated and imported into the software of the Ettan Spot Picker robot (GE Healthcare). Gel plugs were placed into presiliconised mi</w:t>
      </w:r>
      <w:r w:rsidR="005F45FD">
        <w:rPr>
          <w:color w:val="000000"/>
        </w:rPr>
        <w:t>crotitre plates and stored at 4</w:t>
      </w:r>
      <w:r w:rsidRPr="00442F2B">
        <w:rPr>
          <w:color w:val="000000"/>
          <w:vertAlign w:val="superscript"/>
        </w:rPr>
        <w:t>o</w:t>
      </w:r>
      <w:r w:rsidRPr="00873C4C">
        <w:rPr>
          <w:color w:val="000000"/>
        </w:rPr>
        <w:t xml:space="preserve">C until digestion. Tryptic digestions were performed using the Ettan Digestor robot (GE Healthcare). </w:t>
      </w:r>
    </w:p>
    <w:p w:rsidR="00B165D3" w:rsidRPr="00873C4C" w:rsidRDefault="00B165D3"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Excess liquid was removed from each plug, and washed for three cycles of 20 min using 50 mM NH4HCO3 (Sigma) in 50% methanol (Romil) solution. The plugs were then washed for two cycles of 15 min using 70% Acetonitrile (ACN) (Fluka) and left to air dry for 1 h. Lyophilised sequencing grade tryspin (Promega) was reconstituted with 50 mM acetic acid (Fluka) as a stock solution and then diluted to a working solution with 40 mM NH4HCO3 in 10% ACN solution, to a concentration of 12.5 ng trypsin per mL. Samples were digested at 37ºC overnight </w:t>
      </w:r>
      <w:r w:rsidRPr="00873C4C">
        <w:rPr>
          <w:color w:val="000000"/>
        </w:rPr>
        <w:lastRenderedPageBreak/>
        <w:t>and were then extracted twice with 50% ACN and 0.1% trifluoro acetic acid (TFA) (Sigma) solution for 20 min each. All extracts were pooled and concentrated by SpeedVac (Thermo Scientific) for 40 min.</w:t>
      </w:r>
    </w:p>
    <w:p w:rsidR="002D284F" w:rsidRPr="00873C4C" w:rsidRDefault="002D284F" w:rsidP="00057B42">
      <w:pPr>
        <w:spacing w:line="360" w:lineRule="auto"/>
        <w:jc w:val="both"/>
        <w:rPr>
          <w:color w:val="000000"/>
        </w:rPr>
      </w:pPr>
    </w:p>
    <w:p w:rsidR="002D284F" w:rsidRDefault="00B165D3" w:rsidP="00645687">
      <w:pPr>
        <w:pStyle w:val="Heading3"/>
      </w:pPr>
      <w:r w:rsidRPr="00873C4C">
        <w:tab/>
      </w:r>
      <w:bookmarkStart w:id="770" w:name="_Toc306570621"/>
      <w:bookmarkStart w:id="771" w:name="_Toc307067686"/>
      <w:bookmarkStart w:id="772" w:name="_Toc312169260"/>
      <w:bookmarkStart w:id="773" w:name="_Toc312172187"/>
      <w:bookmarkStart w:id="774" w:name="_Toc312257736"/>
      <w:r w:rsidR="002D284F" w:rsidRPr="00873C4C">
        <w:t>Protein Identification</w:t>
      </w:r>
      <w:bookmarkEnd w:id="770"/>
      <w:bookmarkEnd w:id="771"/>
      <w:bookmarkEnd w:id="772"/>
      <w:bookmarkEnd w:id="773"/>
      <w:bookmarkEnd w:id="774"/>
    </w:p>
    <w:p w:rsidR="002D284F" w:rsidRDefault="002D284F" w:rsidP="00057B42">
      <w:pPr>
        <w:spacing w:line="360" w:lineRule="auto"/>
        <w:jc w:val="both"/>
        <w:rPr>
          <w:color w:val="000000"/>
        </w:rPr>
      </w:pPr>
      <w:r w:rsidRPr="00873C4C">
        <w:rPr>
          <w:color w:val="000000"/>
        </w:rPr>
        <w:t>Tryptic digested proteins were analysed on a nano-LC system (Ultimate 3000, Dionex) coupled to an Orbitrap</w:t>
      </w:r>
      <w:r w:rsidR="005F45FD">
        <w:rPr>
          <w:color w:val="000000"/>
        </w:rPr>
        <w:t xml:space="preserve"> XL</w:t>
      </w:r>
      <w:r w:rsidRPr="00873C4C">
        <w:rPr>
          <w:color w:val="000000"/>
        </w:rPr>
        <w:t xml:space="preserve"> mass spectrometer (ThermoFischer Scientific) in high-throughput configuration. Prior to analysis columns were equilibrated in Solvent A (2% acetonitrile in LC-MS grade water containing 0.1% formic acid (Sigma)) for 10 min and the column set to a temperatures of 25ºC using a column oven.  Dried peptides were resuspended in 20 µL of 0.1% TFA and 5 µL of this digest was loaded </w:t>
      </w:r>
    </w:p>
    <w:p w:rsidR="00B34315" w:rsidRPr="00873C4C" w:rsidRDefault="00B34315" w:rsidP="00057B42">
      <w:pPr>
        <w:spacing w:line="360" w:lineRule="auto"/>
        <w:jc w:val="both"/>
        <w:rPr>
          <w:color w:val="000000"/>
        </w:rPr>
      </w:pPr>
    </w:p>
    <w:p w:rsidR="002D284F" w:rsidRPr="00B933E7" w:rsidRDefault="002D284F" w:rsidP="00057B42">
      <w:pPr>
        <w:spacing w:line="360" w:lineRule="auto"/>
      </w:pPr>
    </w:p>
    <w:p w:rsidR="002D284F" w:rsidRPr="00873C4C" w:rsidRDefault="00B165D3" w:rsidP="00645687">
      <w:pPr>
        <w:pStyle w:val="Heading3"/>
      </w:pPr>
      <w:r w:rsidRPr="00873C4C">
        <w:tab/>
      </w:r>
      <w:bookmarkStart w:id="775" w:name="_Toc306570622"/>
      <w:bookmarkStart w:id="776" w:name="_Toc307067687"/>
      <w:bookmarkStart w:id="777" w:name="_Toc312169261"/>
      <w:bookmarkStart w:id="778" w:name="_Toc312172188"/>
      <w:bookmarkStart w:id="779" w:name="_Toc312257737"/>
      <w:r w:rsidRPr="00873C4C">
        <w:t>U</w:t>
      </w:r>
      <w:r w:rsidR="002D284F" w:rsidRPr="00873C4C">
        <w:t>sing inj</w:t>
      </w:r>
      <w:r w:rsidRPr="00873C4C">
        <w:t>ection pickup of the LC system</w:t>
      </w:r>
      <w:bookmarkEnd w:id="775"/>
      <w:bookmarkEnd w:id="776"/>
      <w:bookmarkEnd w:id="777"/>
      <w:bookmarkEnd w:id="778"/>
      <w:bookmarkEnd w:id="779"/>
    </w:p>
    <w:p w:rsidR="002D284F" w:rsidRPr="00873C4C" w:rsidRDefault="002D284F" w:rsidP="00057B42">
      <w:pPr>
        <w:spacing w:before="240" w:line="360" w:lineRule="auto"/>
        <w:jc w:val="both"/>
        <w:rPr>
          <w:color w:val="000000"/>
        </w:rPr>
      </w:pPr>
      <w:r w:rsidRPr="00873C4C">
        <w:rPr>
          <w:color w:val="000000"/>
        </w:rPr>
        <w:t>Samples were concentrated and desalted on RPC trap columns (Zorbax 300SB C18, 0.3 mm × 5 mm, Agilent Technologies, and the peptides were separated on a nano-RPC column (Zorbax 300SB C18, 0.075 mm × 100 mm, Agilent Technologies) using a linear acetonitrile gradient from 0% to 65% ACN (Sigma) over 60 min.</w:t>
      </w:r>
    </w:p>
    <w:p w:rsidR="009A376D" w:rsidRDefault="002D284F" w:rsidP="00057B42">
      <w:pPr>
        <w:spacing w:line="360" w:lineRule="auto"/>
        <w:jc w:val="both"/>
        <w:rPr>
          <w:color w:val="000000"/>
        </w:rPr>
      </w:pPr>
      <w:r w:rsidRPr="00873C4C">
        <w:rPr>
          <w:color w:val="000000"/>
        </w:rPr>
        <w:t xml:space="preserve"> All buffers used for nano LC separation contained 0.1% formic acid (Fluka) as the ion pairing reagent.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Full scan mass spectra were recorded in profile mode and tandem mass spectra in centroid mode. The full scan was acquired in the Orbitrap at a resolution of 60,000 and we then acquired subsequent MS/MS scans of the 5 most abundant peaks in the spectrum in the linear ion trap using dynamic exclusion to exclude multiple MS/MS of the same peptide. </w:t>
      </w:r>
    </w:p>
    <w:p w:rsidR="009A376D" w:rsidRDefault="009A376D" w:rsidP="00057B42">
      <w:pPr>
        <w:spacing w:line="360" w:lineRule="auto"/>
        <w:jc w:val="both"/>
        <w:rPr>
          <w:color w:val="000000"/>
        </w:rPr>
      </w:pPr>
    </w:p>
    <w:p w:rsidR="002D284F" w:rsidRDefault="002D284F" w:rsidP="00057B42">
      <w:pPr>
        <w:spacing w:line="360" w:lineRule="auto"/>
        <w:jc w:val="both"/>
        <w:rPr>
          <w:color w:val="000000"/>
        </w:rPr>
      </w:pPr>
      <w:r w:rsidRPr="00873C4C">
        <w:rPr>
          <w:color w:val="000000"/>
        </w:rPr>
        <w:t>We set the dynamic exclusion to a repeat count of 1, a repeat duration of 30 s and an exclusion list of 500. The general MS conditions we used were: electrospray voltage of 1.6</w:t>
      </w:r>
      <w:r w:rsidR="00437BF6">
        <w:rPr>
          <w:color w:val="000000"/>
        </w:rPr>
        <w:t xml:space="preserve"> </w:t>
      </w:r>
      <w:r w:rsidRPr="00873C4C">
        <w:rPr>
          <w:color w:val="000000"/>
        </w:rPr>
        <w:t>kV, ion transfer tube temperature of 200</w:t>
      </w:r>
      <w:r w:rsidRPr="004D56C5">
        <w:rPr>
          <w:color w:val="000000"/>
          <w:vertAlign w:val="superscript"/>
        </w:rPr>
        <w:t>o</w:t>
      </w:r>
      <w:r w:rsidRPr="00873C4C">
        <w:rPr>
          <w:color w:val="000000"/>
        </w:rPr>
        <w:t xml:space="preserve">C, collision gas pressure of 1.3 mTorr, normalised collision energy of 35%, and an ion selection threshold of 500 </w:t>
      </w:r>
      <w:r w:rsidRPr="00873C4C">
        <w:rPr>
          <w:color w:val="000000"/>
        </w:rPr>
        <w:lastRenderedPageBreak/>
        <w:t>counts for MS2. An activation q-value of 0.25 and an activation time of 30 ms for MS2 acquisitions were also used.</w:t>
      </w:r>
    </w:p>
    <w:p w:rsidR="00057B42" w:rsidRDefault="00057B42" w:rsidP="00057B42">
      <w:pPr>
        <w:spacing w:line="360" w:lineRule="auto"/>
        <w:jc w:val="both"/>
        <w:rPr>
          <w:color w:val="000000"/>
        </w:rPr>
      </w:pPr>
    </w:p>
    <w:p w:rsidR="00B165D3" w:rsidRDefault="00B165D3" w:rsidP="00645687">
      <w:pPr>
        <w:pStyle w:val="Heading3"/>
      </w:pPr>
      <w:r w:rsidRPr="00873C4C">
        <w:tab/>
      </w:r>
      <w:bookmarkStart w:id="780" w:name="_Toc306570623"/>
      <w:bookmarkStart w:id="781" w:name="_Toc307067688"/>
      <w:bookmarkStart w:id="782" w:name="_Toc312169262"/>
      <w:bookmarkStart w:id="783" w:name="_Toc312172189"/>
      <w:bookmarkStart w:id="784" w:name="_Toc312257738"/>
      <w:r w:rsidRPr="00873C4C">
        <w:t>Identification of peptides</w:t>
      </w:r>
      <w:bookmarkEnd w:id="780"/>
      <w:bookmarkEnd w:id="781"/>
      <w:bookmarkEnd w:id="782"/>
      <w:bookmarkEnd w:id="783"/>
      <w:bookmarkEnd w:id="784"/>
    </w:p>
    <w:p w:rsidR="002D284F" w:rsidRPr="00873C4C" w:rsidRDefault="002D284F" w:rsidP="00057B42">
      <w:pPr>
        <w:spacing w:line="360" w:lineRule="auto"/>
        <w:jc w:val="both"/>
        <w:rPr>
          <w:color w:val="000000"/>
        </w:rPr>
      </w:pPr>
      <w:r w:rsidRPr="00873C4C">
        <w:rPr>
          <w:color w:val="000000"/>
        </w:rPr>
        <w:t>The peptides were identified using the information in the tandem mass spectra by searching against the SWISS PROT database using SEQUEST. For protein identification, artificial modifications of peptides (carbamidomethylation of cysteines and partial oxidation of methionines) were considered. Searches were also carried out allowing for one missed cleavage. Criteria for positive identification of proteins included at least two identified peptides and a peptide XCorr of &gt; 1.5 for singly charged ions, &gt; 2.0 for doubly charged ions, and &gt; 2.5 for triply charged ions.</w:t>
      </w:r>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color w:val="000000"/>
        </w:rPr>
      </w:pPr>
    </w:p>
    <w:p w:rsidR="002D284F" w:rsidRDefault="00B165D3" w:rsidP="00645687">
      <w:pPr>
        <w:pStyle w:val="Heading3"/>
      </w:pPr>
      <w:r w:rsidRPr="00873C4C">
        <w:br w:type="page"/>
      </w:r>
      <w:r w:rsidRPr="00873C4C">
        <w:lastRenderedPageBreak/>
        <w:tab/>
      </w:r>
      <w:bookmarkStart w:id="785" w:name="_Toc306570624"/>
      <w:bookmarkStart w:id="786" w:name="_Toc307067689"/>
      <w:bookmarkStart w:id="787" w:name="_Toc312169263"/>
      <w:bookmarkStart w:id="788" w:name="_Toc312172190"/>
      <w:bookmarkStart w:id="789" w:name="_Toc312257739"/>
      <w:r w:rsidR="002D284F" w:rsidRPr="00873C4C">
        <w:t>Western blotting</w:t>
      </w:r>
      <w:bookmarkEnd w:id="785"/>
      <w:bookmarkEnd w:id="786"/>
      <w:bookmarkEnd w:id="787"/>
      <w:bookmarkEnd w:id="788"/>
      <w:bookmarkEnd w:id="789"/>
    </w:p>
    <w:p w:rsidR="002D284F" w:rsidRPr="00873C4C" w:rsidRDefault="002D284F" w:rsidP="00057B42">
      <w:pPr>
        <w:spacing w:line="360" w:lineRule="auto"/>
        <w:jc w:val="both"/>
        <w:rPr>
          <w:color w:val="000000"/>
        </w:rPr>
      </w:pPr>
      <w:r w:rsidRPr="00873C4C">
        <w:rPr>
          <w:color w:val="000000"/>
        </w:rPr>
        <w:t>Western Blotting was performed by the method of Towbin et al. (1979). Once electrophoresis had been completed, the SDS-PAGE gel was equilibrated in transfer buffer (25mM Tris (Sigma, T8404), 192</w:t>
      </w:r>
      <w:r w:rsidR="00437BF6">
        <w:rPr>
          <w:color w:val="000000"/>
        </w:rPr>
        <w:t xml:space="preserve"> </w:t>
      </w:r>
      <w:r w:rsidRPr="00873C4C">
        <w:rPr>
          <w:color w:val="000000"/>
        </w:rPr>
        <w:t>mM glycine (Sigma, G7126), pH 8.3-8.5) for approximately 30 minutes. Five sheets of Whatman 3</w:t>
      </w:r>
      <w:r w:rsidR="00437BF6">
        <w:rPr>
          <w:color w:val="000000"/>
        </w:rPr>
        <w:t xml:space="preserve"> </w:t>
      </w:r>
      <w:r w:rsidRPr="00873C4C">
        <w:rPr>
          <w:color w:val="000000"/>
        </w:rPr>
        <w:t xml:space="preserve">mm filter paper were soaked in freshly prepared transfer buffer.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These were then placed on the cathode plate of a semi-dry blotting apparatus (Bio-rad). Air pockets were then removed from between the filter paper. PVDF membrane (Boehringer Mannheim 1722026) or nitrocellulose membrane (Amersham Pharmacia Biotech, RPN 303D), which had been equilibrated in the same transfer buffer, was placed over the filter paper on the cathode plate. Air pockets were once again removed. The gels were then aligned onto the membrane. Five additional sheets of transfer buffer-soaked filter paper were placed on top of the gel, all air pockets removed and excess transfer buffer removed from the cathode plate. The proteins were transferred from the gel to the membrane at a current of 34</w:t>
      </w:r>
      <w:r w:rsidR="00437BF6">
        <w:rPr>
          <w:color w:val="000000"/>
        </w:rPr>
        <w:t xml:space="preserve"> </w:t>
      </w:r>
      <w:r w:rsidRPr="00873C4C">
        <w:rPr>
          <w:color w:val="000000"/>
        </w:rPr>
        <w:t>mA at 15</w:t>
      </w:r>
      <w:r w:rsidR="00437BF6">
        <w:rPr>
          <w:color w:val="000000"/>
        </w:rPr>
        <w:t xml:space="preserve"> </w:t>
      </w:r>
      <w:r w:rsidRPr="00873C4C">
        <w:rPr>
          <w:color w:val="000000"/>
        </w:rPr>
        <w:t xml:space="preserve">V for 30-40 minutes, until all colour markers had transferred.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Following protein transfer, membranes were stained using Ponceau (Sigma, P7170) to ensure efficient protein transfer. The membranes were then blocked overnight using 5% milk powder (Cadburys; M</w:t>
      </w:r>
      <w:r w:rsidR="00B165D3" w:rsidRPr="00873C4C">
        <w:rPr>
          <w:color w:val="000000"/>
        </w:rPr>
        <w:t xml:space="preserve">arvel skimmed milk) in PBS at </w:t>
      </w:r>
      <w:r w:rsidR="004D56C5" w:rsidRPr="00873C4C">
        <w:rPr>
          <w:color w:val="000000"/>
        </w:rPr>
        <w:t>4</w:t>
      </w:r>
      <w:r w:rsidR="004D56C5" w:rsidRPr="00873C4C">
        <w:rPr>
          <w:color w:val="000000"/>
          <w:vertAlign w:val="superscript"/>
        </w:rPr>
        <w:t>°</w:t>
      </w:r>
      <w:r w:rsidR="004D56C5" w:rsidRPr="00873C4C">
        <w:rPr>
          <w:color w:val="000000"/>
        </w:rPr>
        <w:t>C</w:t>
      </w:r>
      <w:r w:rsidRPr="00873C4C">
        <w:rPr>
          <w:color w:val="000000"/>
        </w:rPr>
        <w:t xml:space="preserve">. The membranes were washed with PBS prior to addition of the primary antibody.  </w:t>
      </w:r>
    </w:p>
    <w:p w:rsidR="002D284F" w:rsidRPr="00873C4C" w:rsidRDefault="002D284F" w:rsidP="00057B42">
      <w:pPr>
        <w:spacing w:line="360" w:lineRule="auto"/>
        <w:jc w:val="both"/>
        <w:rPr>
          <w:color w:val="000000"/>
        </w:rPr>
      </w:pPr>
      <w:r w:rsidRPr="00873C4C">
        <w:rPr>
          <w:color w:val="000000"/>
        </w:rPr>
        <w:t xml:space="preserve">Membranes were treated with primary antibody for 2-3 hours at room temperature (or overnight at </w:t>
      </w:r>
      <w:r w:rsidR="004D56C5" w:rsidRPr="00873C4C">
        <w:rPr>
          <w:color w:val="000000"/>
        </w:rPr>
        <w:t>4</w:t>
      </w:r>
      <w:r w:rsidR="004D56C5" w:rsidRPr="00873C4C">
        <w:rPr>
          <w:color w:val="000000"/>
          <w:vertAlign w:val="superscript"/>
        </w:rPr>
        <w:t>°</w:t>
      </w:r>
      <w:r w:rsidR="004D56C5" w:rsidRPr="00873C4C">
        <w:rPr>
          <w:color w:val="000000"/>
        </w:rPr>
        <w:t>C</w:t>
      </w:r>
      <w:r w:rsidRPr="00873C4C">
        <w:rPr>
          <w:color w:val="000000"/>
        </w:rPr>
        <w:t xml:space="preserve">) and a negative control where the membrane was exposed to antibody diluent was also performed. Antibodies were prepared in 1% Marvel in PBS. Primary antibody was removed after this period and the membranes rinsed 3 times with PBS containing 0.5% Tween 20 (Sigma P1379) for a total of 15-30 minutes. The primary antibody </w:t>
      </w:r>
      <w:r w:rsidR="004D56C5" w:rsidRPr="00873C4C">
        <w:rPr>
          <w:color w:val="000000"/>
        </w:rPr>
        <w:t>dilution was</w:t>
      </w:r>
      <w:r w:rsidR="00B165D3" w:rsidRPr="00873C4C">
        <w:rPr>
          <w:color w:val="000000"/>
        </w:rPr>
        <w:t xml:space="preserve"> </w:t>
      </w:r>
      <w:r w:rsidR="004D56C5" w:rsidRPr="00873C4C">
        <w:rPr>
          <w:color w:val="000000"/>
        </w:rPr>
        <w:t>Albumin (</w:t>
      </w:r>
      <w:r w:rsidR="00B165D3" w:rsidRPr="00873C4C">
        <w:rPr>
          <w:color w:val="000000"/>
        </w:rPr>
        <w:t xml:space="preserve">abcam, ab8941) at 1:1000. </w:t>
      </w:r>
    </w:p>
    <w:p w:rsidR="002D284F" w:rsidRDefault="002D284F" w:rsidP="00057B42">
      <w:pPr>
        <w:spacing w:line="360" w:lineRule="auto"/>
        <w:jc w:val="both"/>
        <w:rPr>
          <w:color w:val="000000"/>
        </w:rPr>
      </w:pPr>
      <w:r w:rsidRPr="00873C4C">
        <w:rPr>
          <w:color w:val="000000"/>
        </w:rPr>
        <w:t>Secondary antibody (1 in 1,000 dilution of anti-mouse IgG peroxidase conjugate  (Sigma, A4914) in PBS, was added for 1.5 hour at room temperature. The membranes were washed three times thoroughly in PBS containing 0.5% Tween for 15 minutes each time.</w:t>
      </w:r>
    </w:p>
    <w:p w:rsidR="00267DBF" w:rsidRPr="00873C4C" w:rsidRDefault="00267DBF" w:rsidP="00057B42">
      <w:pPr>
        <w:spacing w:line="360" w:lineRule="auto"/>
        <w:jc w:val="both"/>
        <w:rPr>
          <w:color w:val="000000"/>
        </w:rPr>
      </w:pPr>
    </w:p>
    <w:p w:rsidR="002D284F" w:rsidRPr="00873C4C" w:rsidRDefault="00B165D3" w:rsidP="00645687">
      <w:pPr>
        <w:pStyle w:val="Heading3"/>
      </w:pPr>
      <w:r w:rsidRPr="00873C4C">
        <w:lastRenderedPageBreak/>
        <w:tab/>
      </w:r>
      <w:bookmarkStart w:id="790" w:name="_Toc306570625"/>
      <w:bookmarkStart w:id="791" w:name="_Toc307067690"/>
      <w:bookmarkStart w:id="792" w:name="_Toc312169264"/>
      <w:bookmarkStart w:id="793" w:name="_Toc312172191"/>
      <w:bookmarkStart w:id="794" w:name="_Toc312257740"/>
      <w:r w:rsidR="002D284F" w:rsidRPr="00873C4C">
        <w:t xml:space="preserve">Enzyme Linked immunosorbant Assay </w:t>
      </w:r>
      <w:r w:rsidR="00317F6B" w:rsidRPr="00873C4C">
        <w:t>(ELISA)</w:t>
      </w:r>
      <w:bookmarkEnd w:id="790"/>
      <w:bookmarkEnd w:id="791"/>
      <w:bookmarkEnd w:id="792"/>
      <w:bookmarkEnd w:id="793"/>
      <w:bookmarkEnd w:id="794"/>
    </w:p>
    <w:p w:rsidR="002D284F" w:rsidRPr="00873C4C" w:rsidRDefault="002D284F" w:rsidP="00057B42">
      <w:pPr>
        <w:spacing w:line="360" w:lineRule="auto"/>
        <w:jc w:val="both"/>
        <w:rPr>
          <w:color w:val="000000"/>
        </w:rPr>
      </w:pPr>
      <w:r w:rsidRPr="00873C4C">
        <w:rPr>
          <w:color w:val="000000"/>
        </w:rPr>
        <w:t xml:space="preserve">The quantitative estimation of altered expression level of various proteins detected by the Decyder software is typically accurate but needs to be validated by a conventional platform. We therefore used ELISA to confirm the altered expression of six proteomic </w:t>
      </w:r>
      <w:r w:rsidR="00720963">
        <w:rPr>
          <w:color w:val="000000"/>
        </w:rPr>
        <w:t>biomarkers</w:t>
      </w:r>
      <w:r w:rsidRPr="00873C4C">
        <w:rPr>
          <w:color w:val="000000"/>
        </w:rPr>
        <w:t xml:space="preserve">.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ELISA based validation was carried out using raw serum samples from the original cohort of patients. Each sample was analysed in duplicate using following commercially available kit, for the measurement of  Human Serum Amyloid A (Invitrogen),  Serum </w:t>
      </w:r>
      <w:r w:rsidR="004D56C5" w:rsidRPr="00873C4C">
        <w:rPr>
          <w:color w:val="000000"/>
        </w:rPr>
        <w:t>Haptoglobin</w:t>
      </w:r>
      <w:r w:rsidRPr="00873C4C">
        <w:rPr>
          <w:color w:val="000000"/>
        </w:rPr>
        <w:t xml:space="preserve"> Precursor (AssayMax) , Human Zinc-Alpha-2-Glycoprotein (Bio Vendor) ,and for Beta-2-microglobulin, Vitamin D binding protein , Transthyretin (Immun</w:t>
      </w:r>
      <w:r w:rsidR="007069BF">
        <w:rPr>
          <w:color w:val="000000"/>
        </w:rPr>
        <w:t>odiagnostic)</w:t>
      </w:r>
      <w:r w:rsidR="00317F6B" w:rsidRPr="00873C4C">
        <w:rPr>
          <w:color w:val="000000"/>
        </w:rPr>
        <w:t xml:space="preserve">. </w:t>
      </w:r>
    </w:p>
    <w:p w:rsidR="009A376D" w:rsidRDefault="009A376D"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The ELISA assays were performed according to each manufacturer’s protocol and guidelines. The optical density was measured by micro-plate reader. The concentration of each protein in the serum samples were determined by comparing the optical density of the samples against the respective standard curve provided by the kit.  </w:t>
      </w:r>
    </w:p>
    <w:p w:rsidR="002D284F" w:rsidRPr="00873C4C" w:rsidRDefault="002D284F" w:rsidP="00057B42">
      <w:pPr>
        <w:spacing w:line="360" w:lineRule="auto"/>
        <w:jc w:val="both"/>
        <w:rPr>
          <w:b/>
          <w:color w:val="000000"/>
        </w:rPr>
      </w:pPr>
    </w:p>
    <w:p w:rsidR="002D284F" w:rsidRPr="00873C4C" w:rsidRDefault="002D284F" w:rsidP="00057B42">
      <w:pPr>
        <w:spacing w:line="360" w:lineRule="auto"/>
        <w:jc w:val="both"/>
        <w:rPr>
          <w:color w:val="000000"/>
        </w:rPr>
      </w:pPr>
      <w:r w:rsidRPr="00873C4C">
        <w:rPr>
          <w:color w:val="000000"/>
        </w:rPr>
        <w:t xml:space="preserve">ELISAs were performed in 96-well polystyrene plates which passively bind antibodies and proteins. It is this binding and immobilization of reagents that makes ELISAs so easy to design and perform. Having the reactants of the ELISA immobilized to the plate surface makes it easy to separate bound from non-bound material during the assay. This ability to wash away non-specifically bound materials makes the ELISA a powerful tool for measuring specific proteins </w:t>
      </w:r>
    </w:p>
    <w:p w:rsidR="00C55C6B" w:rsidRDefault="00C55C6B" w:rsidP="00057B42">
      <w:pPr>
        <w:spacing w:line="360" w:lineRule="auto"/>
        <w:rPr>
          <w:b/>
          <w:bCs/>
          <w:sz w:val="26"/>
          <w:szCs w:val="26"/>
          <w:lang w:eastAsia="en-US"/>
        </w:rPr>
      </w:pPr>
      <w:bookmarkStart w:id="795" w:name="_Toc306570626"/>
      <w:bookmarkStart w:id="796" w:name="_Toc307067691"/>
      <w:r>
        <w:br w:type="page"/>
      </w:r>
    </w:p>
    <w:p w:rsidR="002D284F" w:rsidRDefault="002D284F" w:rsidP="00645687">
      <w:pPr>
        <w:pStyle w:val="Heading4"/>
      </w:pPr>
      <w:bookmarkStart w:id="797" w:name="_Toc312169265"/>
      <w:bookmarkStart w:id="798" w:name="_Toc312172192"/>
      <w:bookmarkStart w:id="799" w:name="_Toc312257741"/>
      <w:r w:rsidRPr="002C3EA9">
        <w:lastRenderedPageBreak/>
        <w:t>Transthyretin</w:t>
      </w:r>
      <w:r w:rsidR="00437BF6">
        <w:t xml:space="preserve"> </w:t>
      </w:r>
      <w:r w:rsidR="00A52529">
        <w:t>(TYR)</w:t>
      </w:r>
      <w:r w:rsidR="00C52127" w:rsidRPr="002C3EA9">
        <w:t>-</w:t>
      </w:r>
      <w:r w:rsidRPr="002C3EA9">
        <w:t>Assay Procedure</w:t>
      </w:r>
      <w:bookmarkEnd w:id="795"/>
      <w:bookmarkEnd w:id="796"/>
      <w:bookmarkEnd w:id="797"/>
      <w:bookmarkEnd w:id="798"/>
      <w:bookmarkEnd w:id="799"/>
    </w:p>
    <w:p w:rsidR="000723C6" w:rsidRPr="000723C6" w:rsidRDefault="000723C6" w:rsidP="00057B42">
      <w:pPr>
        <w:spacing w:line="360" w:lineRule="auto"/>
      </w:pPr>
    </w:p>
    <w:p w:rsidR="002D284F" w:rsidRPr="00873C4C" w:rsidRDefault="002D284F" w:rsidP="00057B42">
      <w:pPr>
        <w:spacing w:line="360" w:lineRule="auto"/>
        <w:jc w:val="both"/>
        <w:rPr>
          <w:color w:val="000000"/>
        </w:rPr>
      </w:pPr>
      <w:r w:rsidRPr="00873C4C">
        <w:rPr>
          <w:color w:val="000000"/>
        </w:rPr>
        <w:t>Immunodiagnostik commercially available ELISA kit for Transthyretin was used according to manufactures instruction</w:t>
      </w:r>
      <w:r w:rsidR="000723C6">
        <w:rPr>
          <w:color w:val="000000"/>
        </w:rPr>
        <w:t xml:space="preserve">. </w:t>
      </w:r>
      <w:r w:rsidRPr="00873C4C">
        <w:rPr>
          <w:color w:val="000000"/>
        </w:rPr>
        <w:t xml:space="preserve">In brief the ELISA </w:t>
      </w:r>
      <w:r w:rsidR="004D56C5" w:rsidRPr="00873C4C">
        <w:rPr>
          <w:color w:val="000000"/>
        </w:rPr>
        <w:t>test was</w:t>
      </w:r>
      <w:r w:rsidRPr="00873C4C">
        <w:rPr>
          <w:color w:val="000000"/>
        </w:rPr>
        <w:t xml:space="preserve"> carry out in duplicate.</w:t>
      </w:r>
    </w:p>
    <w:p w:rsidR="002D284F" w:rsidRPr="00873C4C" w:rsidRDefault="002D284F" w:rsidP="00057B42">
      <w:pPr>
        <w:spacing w:line="360" w:lineRule="auto"/>
        <w:jc w:val="both"/>
        <w:rPr>
          <w:color w:val="000000"/>
        </w:rPr>
      </w:pPr>
      <w:r w:rsidRPr="00873C4C">
        <w:rPr>
          <w:color w:val="000000"/>
        </w:rPr>
        <w:t xml:space="preserve">1. </w:t>
      </w:r>
      <w:r w:rsidR="00442F2B">
        <w:rPr>
          <w:color w:val="000000"/>
        </w:rPr>
        <w:tab/>
      </w:r>
      <w:r w:rsidR="00FB2B13">
        <w:rPr>
          <w:color w:val="000000"/>
        </w:rPr>
        <w:t xml:space="preserve"> </w:t>
      </w:r>
      <w:r w:rsidRPr="00873C4C">
        <w:rPr>
          <w:color w:val="000000"/>
        </w:rPr>
        <w:t xml:space="preserve">To the plate 100 μl STD (Standard), CTRL (Control) and pre-diluted sample were </w:t>
      </w:r>
      <w:r w:rsidR="00442F2B" w:rsidRPr="00873C4C">
        <w:rPr>
          <w:color w:val="000000"/>
        </w:rPr>
        <w:t>added.</w:t>
      </w:r>
    </w:p>
    <w:p w:rsidR="002D284F" w:rsidRPr="00873C4C" w:rsidRDefault="002D284F" w:rsidP="00057B42">
      <w:pPr>
        <w:spacing w:line="360" w:lineRule="auto"/>
        <w:jc w:val="both"/>
        <w:rPr>
          <w:color w:val="000000"/>
        </w:rPr>
      </w:pPr>
      <w:r w:rsidRPr="00873C4C">
        <w:rPr>
          <w:color w:val="000000"/>
        </w:rPr>
        <w:t xml:space="preserve">2. </w:t>
      </w:r>
      <w:r w:rsidR="00442F2B">
        <w:rPr>
          <w:color w:val="000000"/>
        </w:rPr>
        <w:tab/>
      </w:r>
      <w:r w:rsidR="00FB2B13">
        <w:rPr>
          <w:color w:val="000000"/>
        </w:rPr>
        <w:t xml:space="preserve"> </w:t>
      </w:r>
      <w:r w:rsidRPr="00873C4C">
        <w:rPr>
          <w:color w:val="000000"/>
        </w:rPr>
        <w:t xml:space="preserve">The plate was </w:t>
      </w:r>
      <w:r w:rsidR="00442F2B" w:rsidRPr="00873C4C">
        <w:rPr>
          <w:color w:val="000000"/>
        </w:rPr>
        <w:t>incubated</w:t>
      </w:r>
      <w:r w:rsidRPr="00873C4C">
        <w:rPr>
          <w:color w:val="000000"/>
        </w:rPr>
        <w:t xml:space="preserve"> for 1 hour shaking on a horizontal mixer at room temperature.</w:t>
      </w:r>
    </w:p>
    <w:p w:rsidR="002D284F" w:rsidRPr="00873C4C" w:rsidRDefault="002D284F" w:rsidP="00057B42">
      <w:pPr>
        <w:spacing w:line="360" w:lineRule="auto"/>
        <w:jc w:val="both"/>
        <w:rPr>
          <w:color w:val="000000"/>
        </w:rPr>
      </w:pPr>
      <w:r w:rsidRPr="00873C4C">
        <w:rPr>
          <w:color w:val="000000"/>
        </w:rPr>
        <w:t xml:space="preserve">3. </w:t>
      </w:r>
      <w:r w:rsidR="00442F2B">
        <w:rPr>
          <w:color w:val="000000"/>
        </w:rPr>
        <w:tab/>
      </w:r>
      <w:r w:rsidR="00FB2B13">
        <w:rPr>
          <w:color w:val="000000"/>
        </w:rPr>
        <w:t xml:space="preserve"> </w:t>
      </w:r>
      <w:r w:rsidRPr="00873C4C">
        <w:rPr>
          <w:color w:val="000000"/>
        </w:rPr>
        <w:t xml:space="preserve">Content of the plate </w:t>
      </w:r>
      <w:r w:rsidR="004D56C5" w:rsidRPr="00873C4C">
        <w:rPr>
          <w:color w:val="000000"/>
        </w:rPr>
        <w:t>was</w:t>
      </w:r>
      <w:r w:rsidRPr="00873C4C">
        <w:rPr>
          <w:color w:val="000000"/>
        </w:rPr>
        <w:t xml:space="preserve"> discarded and the wells were washed five times with </w:t>
      </w:r>
      <w:r w:rsidR="004D56C5" w:rsidRPr="00873C4C">
        <w:rPr>
          <w:color w:val="000000"/>
        </w:rPr>
        <w:t>250 μl</w:t>
      </w:r>
      <w:r w:rsidRPr="00873C4C">
        <w:rPr>
          <w:color w:val="000000"/>
        </w:rPr>
        <w:t xml:space="preserve"> of diluted wash buffer.</w:t>
      </w:r>
    </w:p>
    <w:p w:rsidR="002D284F" w:rsidRPr="00873C4C" w:rsidRDefault="002D284F" w:rsidP="00057B42">
      <w:pPr>
        <w:spacing w:line="360" w:lineRule="auto"/>
        <w:jc w:val="both"/>
        <w:rPr>
          <w:color w:val="000000"/>
        </w:rPr>
      </w:pPr>
      <w:r w:rsidRPr="00873C4C">
        <w:rPr>
          <w:color w:val="000000"/>
        </w:rPr>
        <w:t xml:space="preserve">4. </w:t>
      </w:r>
      <w:r w:rsidR="00442F2B">
        <w:rPr>
          <w:color w:val="000000"/>
        </w:rPr>
        <w:tab/>
      </w:r>
      <w:r w:rsidR="00FB2B13">
        <w:rPr>
          <w:color w:val="000000"/>
        </w:rPr>
        <w:t xml:space="preserve"> </w:t>
      </w:r>
      <w:r w:rsidR="00442F2B">
        <w:rPr>
          <w:color w:val="000000"/>
        </w:rPr>
        <w:t>The</w:t>
      </w:r>
      <w:r w:rsidRPr="00873C4C">
        <w:rPr>
          <w:color w:val="000000"/>
        </w:rPr>
        <w:t xml:space="preserve"> 100 μl pre-diluted CONJ (Peroxidase-</w:t>
      </w:r>
      <w:r w:rsidR="004D56C5" w:rsidRPr="00873C4C">
        <w:rPr>
          <w:color w:val="000000"/>
        </w:rPr>
        <w:t>labelled</w:t>
      </w:r>
      <w:r w:rsidRPr="00873C4C">
        <w:rPr>
          <w:color w:val="000000"/>
        </w:rPr>
        <w:t xml:space="preserve"> antibody)</w:t>
      </w:r>
      <w:r w:rsidR="00442F2B">
        <w:rPr>
          <w:color w:val="000000"/>
        </w:rPr>
        <w:t xml:space="preserve"> were added</w:t>
      </w:r>
      <w:r w:rsidRPr="00873C4C">
        <w:rPr>
          <w:color w:val="000000"/>
        </w:rPr>
        <w:t>.</w:t>
      </w:r>
    </w:p>
    <w:p w:rsidR="002D284F" w:rsidRPr="00873C4C" w:rsidRDefault="002D284F" w:rsidP="00057B42">
      <w:pPr>
        <w:spacing w:line="360" w:lineRule="auto"/>
        <w:jc w:val="both"/>
        <w:rPr>
          <w:color w:val="000000"/>
        </w:rPr>
      </w:pPr>
      <w:r w:rsidRPr="00873C4C">
        <w:rPr>
          <w:color w:val="000000"/>
        </w:rPr>
        <w:t xml:space="preserve">5. </w:t>
      </w:r>
      <w:r w:rsidR="00FB2B13">
        <w:rPr>
          <w:color w:val="000000"/>
        </w:rPr>
        <w:tab/>
        <w:t xml:space="preserve"> </w:t>
      </w:r>
      <w:r w:rsidRPr="00873C4C">
        <w:rPr>
          <w:color w:val="000000"/>
        </w:rPr>
        <w:t xml:space="preserve">The plate was </w:t>
      </w:r>
      <w:r w:rsidR="00442F2B" w:rsidRPr="00873C4C">
        <w:rPr>
          <w:color w:val="000000"/>
        </w:rPr>
        <w:t>incubated</w:t>
      </w:r>
      <w:r w:rsidRPr="00873C4C">
        <w:rPr>
          <w:color w:val="000000"/>
        </w:rPr>
        <w:t xml:space="preserve"> for 1 hour shaking on a horizontal mixer at room temperature.</w:t>
      </w:r>
    </w:p>
    <w:p w:rsidR="002D284F" w:rsidRPr="00873C4C" w:rsidRDefault="002D284F" w:rsidP="00057B42">
      <w:pPr>
        <w:spacing w:line="360" w:lineRule="auto"/>
        <w:jc w:val="both"/>
        <w:rPr>
          <w:color w:val="000000"/>
        </w:rPr>
      </w:pPr>
      <w:r w:rsidRPr="00873C4C">
        <w:rPr>
          <w:color w:val="000000"/>
        </w:rPr>
        <w:t xml:space="preserve">6. </w:t>
      </w:r>
      <w:r w:rsidR="00FB2B13">
        <w:rPr>
          <w:color w:val="000000"/>
        </w:rPr>
        <w:tab/>
        <w:t xml:space="preserve"> </w:t>
      </w:r>
      <w:r w:rsidRPr="00873C4C">
        <w:rPr>
          <w:color w:val="000000"/>
        </w:rPr>
        <w:t xml:space="preserve">The content of the plate was discarded and the wells were washed five times with </w:t>
      </w:r>
      <w:r w:rsidR="004D56C5" w:rsidRPr="00873C4C">
        <w:rPr>
          <w:color w:val="000000"/>
        </w:rPr>
        <w:t>250 μl</w:t>
      </w:r>
      <w:r w:rsidRPr="00873C4C">
        <w:rPr>
          <w:color w:val="000000"/>
        </w:rPr>
        <w:t xml:space="preserve"> diluted wash buffer.</w:t>
      </w:r>
    </w:p>
    <w:p w:rsidR="002D284F" w:rsidRPr="00873C4C" w:rsidRDefault="002D284F" w:rsidP="00057B42">
      <w:pPr>
        <w:spacing w:line="360" w:lineRule="auto"/>
        <w:jc w:val="both"/>
        <w:rPr>
          <w:color w:val="000000"/>
        </w:rPr>
      </w:pPr>
      <w:r w:rsidRPr="00873C4C">
        <w:rPr>
          <w:color w:val="000000"/>
        </w:rPr>
        <w:t xml:space="preserve">7. </w:t>
      </w:r>
      <w:r w:rsidR="00FB2B13">
        <w:rPr>
          <w:color w:val="000000"/>
        </w:rPr>
        <w:tab/>
        <w:t xml:space="preserve"> </w:t>
      </w:r>
      <w:r w:rsidRPr="00873C4C">
        <w:rPr>
          <w:color w:val="000000"/>
        </w:rPr>
        <w:t>To the plate 100 μl SUB (TMB substrate) was added.</w:t>
      </w:r>
    </w:p>
    <w:p w:rsidR="002D284F" w:rsidRPr="00873C4C" w:rsidRDefault="002D284F" w:rsidP="00057B42">
      <w:pPr>
        <w:spacing w:line="360" w:lineRule="auto"/>
        <w:jc w:val="both"/>
        <w:rPr>
          <w:color w:val="000000"/>
        </w:rPr>
      </w:pPr>
      <w:r w:rsidRPr="00873C4C">
        <w:rPr>
          <w:color w:val="000000"/>
        </w:rPr>
        <w:t xml:space="preserve">8. </w:t>
      </w:r>
      <w:r w:rsidR="00FB2B13">
        <w:rPr>
          <w:color w:val="000000"/>
        </w:rPr>
        <w:tab/>
        <w:t xml:space="preserve"> </w:t>
      </w:r>
      <w:r w:rsidRPr="00873C4C">
        <w:rPr>
          <w:color w:val="000000"/>
        </w:rPr>
        <w:t>Plate was incubated for 10-15 minutes at room temperature.</w:t>
      </w:r>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color w:val="000000"/>
        </w:rPr>
      </w:pPr>
      <w:r w:rsidRPr="00873C4C">
        <w:rPr>
          <w:color w:val="000000"/>
        </w:rPr>
        <w:t xml:space="preserve">9. </w:t>
      </w:r>
      <w:r w:rsidR="00FB2B13">
        <w:rPr>
          <w:color w:val="000000"/>
        </w:rPr>
        <w:tab/>
        <w:t xml:space="preserve"> </w:t>
      </w:r>
      <w:r w:rsidRPr="00873C4C">
        <w:rPr>
          <w:color w:val="000000"/>
        </w:rPr>
        <w:t>A 50 μl of STOP (stop solution) were added and mix</w:t>
      </w:r>
      <w:r w:rsidR="007069BF">
        <w:rPr>
          <w:color w:val="000000"/>
        </w:rPr>
        <w:t>ed</w:t>
      </w:r>
      <w:r w:rsidRPr="00873C4C">
        <w:rPr>
          <w:color w:val="000000"/>
        </w:rPr>
        <w:t xml:space="preserve"> </w:t>
      </w:r>
      <w:r w:rsidR="007069BF">
        <w:rPr>
          <w:color w:val="000000"/>
        </w:rPr>
        <w:t>briefly</w:t>
      </w:r>
      <w:r w:rsidRPr="00873C4C">
        <w:rPr>
          <w:color w:val="000000"/>
        </w:rPr>
        <w:t>.</w:t>
      </w:r>
    </w:p>
    <w:p w:rsidR="002D284F" w:rsidRPr="00873C4C" w:rsidRDefault="002D284F" w:rsidP="00057B42">
      <w:pPr>
        <w:spacing w:line="360" w:lineRule="auto"/>
        <w:jc w:val="both"/>
        <w:rPr>
          <w:color w:val="000000"/>
        </w:rPr>
      </w:pPr>
      <w:r w:rsidRPr="00873C4C">
        <w:rPr>
          <w:color w:val="000000"/>
        </w:rPr>
        <w:t xml:space="preserve">10. </w:t>
      </w:r>
      <w:r w:rsidR="00FB2B13">
        <w:rPr>
          <w:color w:val="000000"/>
        </w:rPr>
        <w:tab/>
        <w:t xml:space="preserve"> </w:t>
      </w:r>
      <w:r w:rsidRPr="00873C4C">
        <w:rPr>
          <w:color w:val="000000"/>
        </w:rPr>
        <w:t>The optical density was measured by micro-plate reader at 450 nm</w:t>
      </w:r>
    </w:p>
    <w:p w:rsidR="002D284F" w:rsidRDefault="002D284F" w:rsidP="00057B42">
      <w:pPr>
        <w:spacing w:line="360" w:lineRule="auto"/>
        <w:jc w:val="both"/>
        <w:rPr>
          <w:color w:val="000000"/>
        </w:rPr>
      </w:pPr>
      <w:r w:rsidRPr="00873C4C">
        <w:rPr>
          <w:color w:val="000000"/>
        </w:rPr>
        <w:t xml:space="preserve">against 620 nm (or 690 nm) as reference. The concentration of protein in the serum samples were determined by comparing the optical density of the samples against the standard curve provided by the kit.  </w:t>
      </w: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Default="00057B42" w:rsidP="00057B42">
      <w:pPr>
        <w:spacing w:line="360" w:lineRule="auto"/>
        <w:jc w:val="both"/>
        <w:rPr>
          <w:color w:val="000000"/>
        </w:rPr>
      </w:pPr>
    </w:p>
    <w:p w:rsidR="00057B42" w:rsidRPr="00873C4C" w:rsidRDefault="00057B42" w:rsidP="00057B42">
      <w:pPr>
        <w:spacing w:line="360" w:lineRule="auto"/>
        <w:jc w:val="both"/>
        <w:rPr>
          <w:color w:val="000000"/>
        </w:rPr>
      </w:pPr>
    </w:p>
    <w:p w:rsidR="002D284F" w:rsidRDefault="002D284F" w:rsidP="00057B42">
      <w:pPr>
        <w:spacing w:line="360" w:lineRule="auto"/>
        <w:jc w:val="both"/>
        <w:rPr>
          <w:b/>
          <w:color w:val="000000"/>
        </w:rPr>
      </w:pPr>
    </w:p>
    <w:p w:rsidR="00057B42" w:rsidRPr="00873C4C" w:rsidRDefault="00057B42" w:rsidP="00057B42">
      <w:pPr>
        <w:spacing w:line="360" w:lineRule="auto"/>
        <w:jc w:val="both"/>
        <w:rPr>
          <w:b/>
          <w:color w:val="000000"/>
        </w:rPr>
      </w:pPr>
    </w:p>
    <w:p w:rsidR="000723C6" w:rsidRDefault="002D284F" w:rsidP="00645687">
      <w:pPr>
        <w:pStyle w:val="Heading4"/>
      </w:pPr>
      <w:bookmarkStart w:id="800" w:name="_Toc306570627"/>
      <w:bookmarkStart w:id="801" w:name="_Toc307067692"/>
      <w:bookmarkStart w:id="802" w:name="_Toc312169266"/>
      <w:bookmarkStart w:id="803" w:name="_Toc312172193"/>
      <w:bookmarkStart w:id="804" w:name="_Toc312257742"/>
      <w:r w:rsidRPr="002C3EA9">
        <w:lastRenderedPageBreak/>
        <w:t>Zinc-Alpha-2-Glycoprotein (ZAG)</w:t>
      </w:r>
      <w:r w:rsidR="00C52127" w:rsidRPr="002C3EA9">
        <w:t>-Assay Procedur</w:t>
      </w:r>
      <w:r w:rsidR="000723C6">
        <w:t>e</w:t>
      </w:r>
      <w:bookmarkEnd w:id="800"/>
      <w:bookmarkEnd w:id="801"/>
      <w:bookmarkEnd w:id="802"/>
      <w:bookmarkEnd w:id="803"/>
      <w:bookmarkEnd w:id="804"/>
    </w:p>
    <w:p w:rsidR="00057B42" w:rsidRPr="00057B42" w:rsidRDefault="00057B42" w:rsidP="00057B42">
      <w:pPr>
        <w:rPr>
          <w:lang w:eastAsia="en-US"/>
        </w:rPr>
      </w:pPr>
    </w:p>
    <w:p w:rsidR="002D284F" w:rsidRPr="00873C4C" w:rsidRDefault="002D284F" w:rsidP="00057B42">
      <w:pPr>
        <w:spacing w:line="360" w:lineRule="auto"/>
        <w:jc w:val="both"/>
        <w:rPr>
          <w:color w:val="000000"/>
        </w:rPr>
      </w:pPr>
      <w:r w:rsidRPr="00873C4C">
        <w:rPr>
          <w:color w:val="000000"/>
        </w:rPr>
        <w:t xml:space="preserve">Bio vender commercially available ELISA kit for ZAG was used according to manufactures instruction. </w:t>
      </w:r>
    </w:p>
    <w:p w:rsidR="002D284F" w:rsidRPr="00873C4C" w:rsidRDefault="002D284F" w:rsidP="00057B42">
      <w:pPr>
        <w:numPr>
          <w:ilvl w:val="0"/>
          <w:numId w:val="7"/>
        </w:numPr>
        <w:tabs>
          <w:tab w:val="num" w:pos="0"/>
        </w:tabs>
        <w:spacing w:line="360" w:lineRule="auto"/>
        <w:ind w:hanging="720"/>
        <w:jc w:val="both"/>
        <w:rPr>
          <w:color w:val="000000"/>
        </w:rPr>
      </w:pPr>
      <w:r w:rsidRPr="00873C4C">
        <w:rPr>
          <w:color w:val="000000"/>
        </w:rPr>
        <w:t>In brief Pipet 100 μl of diluted Standards, Quality Control</w:t>
      </w:r>
      <w:r w:rsidR="00437BF6">
        <w:rPr>
          <w:color w:val="000000"/>
        </w:rPr>
        <w:t xml:space="preserve">s, Dilution Buffer and samples </w:t>
      </w:r>
      <w:r w:rsidRPr="00873C4C">
        <w:rPr>
          <w:color w:val="000000"/>
        </w:rPr>
        <w:t>in duplicates, were added into the appropriate wells.</w:t>
      </w:r>
    </w:p>
    <w:p w:rsidR="002D284F" w:rsidRPr="00873C4C" w:rsidRDefault="002D284F" w:rsidP="00057B42">
      <w:pPr>
        <w:numPr>
          <w:ilvl w:val="0"/>
          <w:numId w:val="7"/>
        </w:numPr>
        <w:tabs>
          <w:tab w:val="num" w:pos="0"/>
        </w:tabs>
        <w:spacing w:line="360" w:lineRule="auto"/>
        <w:ind w:left="0" w:firstLine="0"/>
        <w:jc w:val="both"/>
        <w:rPr>
          <w:color w:val="000000"/>
        </w:rPr>
      </w:pPr>
      <w:r w:rsidRPr="00873C4C">
        <w:rPr>
          <w:color w:val="000000"/>
        </w:rPr>
        <w:t xml:space="preserve">The plate was </w:t>
      </w:r>
      <w:r w:rsidR="004D56C5" w:rsidRPr="00873C4C">
        <w:rPr>
          <w:color w:val="000000"/>
        </w:rPr>
        <w:t>incubated</w:t>
      </w:r>
      <w:r w:rsidRPr="00873C4C">
        <w:rPr>
          <w:color w:val="000000"/>
        </w:rPr>
        <w:t xml:space="preserve"> at room tempe</w:t>
      </w:r>
      <w:r w:rsidR="00437BF6">
        <w:rPr>
          <w:color w:val="000000"/>
        </w:rPr>
        <w:t xml:space="preserve">rature for 1 hour, shaking </w:t>
      </w:r>
      <w:r w:rsidR="007069BF">
        <w:rPr>
          <w:color w:val="000000"/>
        </w:rPr>
        <w:t>on</w:t>
      </w:r>
      <w:r w:rsidRPr="00873C4C">
        <w:rPr>
          <w:color w:val="000000"/>
        </w:rPr>
        <w:t xml:space="preserve"> shaker machine at 300 rpm. </w:t>
      </w:r>
    </w:p>
    <w:p w:rsidR="002D284F" w:rsidRPr="00873C4C" w:rsidRDefault="002D284F" w:rsidP="00057B42">
      <w:pPr>
        <w:numPr>
          <w:ilvl w:val="0"/>
          <w:numId w:val="7"/>
        </w:numPr>
        <w:spacing w:line="360" w:lineRule="auto"/>
        <w:ind w:left="0" w:firstLine="0"/>
        <w:jc w:val="both"/>
        <w:rPr>
          <w:color w:val="000000"/>
        </w:rPr>
      </w:pPr>
      <w:r w:rsidRPr="00873C4C">
        <w:rPr>
          <w:color w:val="000000"/>
        </w:rPr>
        <w:t>The wells was washed 3-times with Wash Solution (0.35 ml per well). After final wash, plate was inverted and tapped strongly against paper towel.</w:t>
      </w:r>
    </w:p>
    <w:p w:rsidR="002D284F" w:rsidRPr="00873C4C" w:rsidRDefault="002D284F" w:rsidP="00057B42">
      <w:pPr>
        <w:numPr>
          <w:ilvl w:val="0"/>
          <w:numId w:val="7"/>
        </w:numPr>
        <w:tabs>
          <w:tab w:val="num" w:pos="0"/>
        </w:tabs>
        <w:spacing w:line="360" w:lineRule="auto"/>
        <w:ind w:left="0" w:firstLine="0"/>
        <w:jc w:val="both"/>
        <w:rPr>
          <w:color w:val="000000"/>
        </w:rPr>
      </w:pPr>
      <w:r w:rsidRPr="00873C4C">
        <w:rPr>
          <w:color w:val="000000"/>
        </w:rPr>
        <w:t xml:space="preserve">To the </w:t>
      </w:r>
      <w:r w:rsidR="00C52127" w:rsidRPr="00873C4C">
        <w:rPr>
          <w:color w:val="000000"/>
        </w:rPr>
        <w:t>plate 100</w:t>
      </w:r>
      <w:r w:rsidRPr="00873C4C">
        <w:rPr>
          <w:color w:val="000000"/>
        </w:rPr>
        <w:t xml:space="preserve"> μl of Conjugate Solution was added into each well.</w:t>
      </w:r>
    </w:p>
    <w:p w:rsidR="002D284F" w:rsidRPr="00873C4C" w:rsidRDefault="002D284F" w:rsidP="00057B42">
      <w:pPr>
        <w:numPr>
          <w:ilvl w:val="0"/>
          <w:numId w:val="7"/>
        </w:numPr>
        <w:spacing w:line="360" w:lineRule="auto"/>
        <w:ind w:left="0" w:firstLine="0"/>
        <w:jc w:val="both"/>
        <w:rPr>
          <w:color w:val="000000"/>
        </w:rPr>
      </w:pPr>
      <w:r w:rsidRPr="00873C4C">
        <w:rPr>
          <w:color w:val="000000"/>
        </w:rPr>
        <w:t xml:space="preserve">The plate was incubated at room temperature for 1 hour, shaking </w:t>
      </w:r>
      <w:r w:rsidR="007069BF">
        <w:rPr>
          <w:color w:val="000000"/>
        </w:rPr>
        <w:t>on</w:t>
      </w:r>
      <w:r w:rsidRPr="00873C4C">
        <w:rPr>
          <w:color w:val="000000"/>
        </w:rPr>
        <w:t xml:space="preserve"> shaker machine at 300 rpm. </w:t>
      </w:r>
    </w:p>
    <w:p w:rsidR="002D284F" w:rsidRPr="00873C4C" w:rsidRDefault="002D284F" w:rsidP="00057B42">
      <w:pPr>
        <w:numPr>
          <w:ilvl w:val="0"/>
          <w:numId w:val="7"/>
        </w:numPr>
        <w:spacing w:line="360" w:lineRule="auto"/>
        <w:ind w:left="0" w:firstLine="0"/>
        <w:jc w:val="both"/>
        <w:rPr>
          <w:color w:val="000000"/>
        </w:rPr>
      </w:pPr>
      <w:r w:rsidRPr="00873C4C">
        <w:rPr>
          <w:color w:val="000000"/>
        </w:rPr>
        <w:t xml:space="preserve">The wells was washed 3-times with the Wash Solution (0.35 ml per well). </w:t>
      </w:r>
    </w:p>
    <w:p w:rsidR="002D284F" w:rsidRPr="00873C4C" w:rsidRDefault="002D284F" w:rsidP="00057B42">
      <w:pPr>
        <w:numPr>
          <w:ilvl w:val="0"/>
          <w:numId w:val="7"/>
        </w:numPr>
        <w:spacing w:line="360" w:lineRule="auto"/>
        <w:ind w:left="0" w:firstLine="0"/>
        <w:jc w:val="both"/>
        <w:rPr>
          <w:color w:val="000000"/>
        </w:rPr>
      </w:pPr>
      <w:r w:rsidRPr="00873C4C">
        <w:rPr>
          <w:color w:val="000000"/>
        </w:rPr>
        <w:t xml:space="preserve">To the plate 100 μl of Substrate Solution was added into each well. At this stage to protect plate from bright light, it was covered with </w:t>
      </w:r>
      <w:r w:rsidR="004D56C5" w:rsidRPr="00873C4C">
        <w:rPr>
          <w:color w:val="000000"/>
        </w:rPr>
        <w:t>an</w:t>
      </w:r>
      <w:r w:rsidRPr="00873C4C">
        <w:rPr>
          <w:color w:val="000000"/>
        </w:rPr>
        <w:t xml:space="preserve"> aluminium foil. </w:t>
      </w:r>
    </w:p>
    <w:p w:rsidR="002D284F" w:rsidRPr="00873C4C" w:rsidRDefault="002D284F" w:rsidP="00057B42">
      <w:pPr>
        <w:numPr>
          <w:ilvl w:val="0"/>
          <w:numId w:val="7"/>
        </w:numPr>
        <w:tabs>
          <w:tab w:val="clear" w:pos="786"/>
        </w:tabs>
        <w:spacing w:line="360" w:lineRule="auto"/>
        <w:ind w:left="0" w:firstLine="0"/>
        <w:jc w:val="both"/>
        <w:rPr>
          <w:color w:val="000000"/>
        </w:rPr>
      </w:pPr>
      <w:r w:rsidRPr="00873C4C">
        <w:rPr>
          <w:color w:val="000000"/>
        </w:rPr>
        <w:t xml:space="preserve">Plate was </w:t>
      </w:r>
      <w:r w:rsidR="00C52127" w:rsidRPr="00873C4C">
        <w:rPr>
          <w:color w:val="000000"/>
        </w:rPr>
        <w:t>incubated</w:t>
      </w:r>
      <w:r w:rsidRPr="00873C4C">
        <w:rPr>
          <w:color w:val="000000"/>
        </w:rPr>
        <w:t xml:space="preserve"> for 10 minutes at room temperature. The incubation time may be extended [up to 20 minutes] if the reaction temperature is below 20°C. </w:t>
      </w:r>
    </w:p>
    <w:p w:rsidR="002D284F" w:rsidRPr="00873C4C" w:rsidRDefault="007069BF" w:rsidP="00057B42">
      <w:pPr>
        <w:numPr>
          <w:ilvl w:val="0"/>
          <w:numId w:val="7"/>
        </w:numPr>
        <w:spacing w:line="360" w:lineRule="auto"/>
        <w:jc w:val="both"/>
        <w:rPr>
          <w:color w:val="000000"/>
        </w:rPr>
      </w:pPr>
      <w:r>
        <w:rPr>
          <w:color w:val="000000"/>
        </w:rPr>
        <w:t>T</w:t>
      </w:r>
      <w:r w:rsidR="002D284F" w:rsidRPr="00873C4C">
        <w:rPr>
          <w:color w:val="000000"/>
        </w:rPr>
        <w:t xml:space="preserve">he colour development </w:t>
      </w:r>
      <w:r>
        <w:rPr>
          <w:color w:val="000000"/>
        </w:rPr>
        <w:t xml:space="preserve">was stopped </w:t>
      </w:r>
      <w:r w:rsidR="002D284F" w:rsidRPr="00873C4C">
        <w:rPr>
          <w:color w:val="000000"/>
        </w:rPr>
        <w:t>by adding 100 μl of Stop Solution.</w:t>
      </w:r>
    </w:p>
    <w:p w:rsidR="002D284F" w:rsidRPr="00873C4C" w:rsidRDefault="002D284F" w:rsidP="00057B42">
      <w:pPr>
        <w:numPr>
          <w:ilvl w:val="0"/>
          <w:numId w:val="7"/>
        </w:numPr>
        <w:spacing w:line="360" w:lineRule="auto"/>
        <w:jc w:val="both"/>
        <w:rPr>
          <w:color w:val="000000"/>
        </w:rPr>
      </w:pPr>
      <w:r w:rsidRPr="00873C4C">
        <w:rPr>
          <w:color w:val="000000"/>
        </w:rPr>
        <w:t>The optical density was measured by micro-plate reader at 450 nm</w:t>
      </w:r>
    </w:p>
    <w:p w:rsidR="002D284F" w:rsidRPr="00873C4C" w:rsidRDefault="002D284F" w:rsidP="00057B42">
      <w:pPr>
        <w:numPr>
          <w:ilvl w:val="0"/>
          <w:numId w:val="7"/>
        </w:numPr>
        <w:spacing w:line="360" w:lineRule="auto"/>
        <w:jc w:val="both"/>
        <w:rPr>
          <w:color w:val="000000"/>
        </w:rPr>
      </w:pPr>
      <w:r w:rsidRPr="00873C4C">
        <w:rPr>
          <w:color w:val="000000"/>
        </w:rPr>
        <w:t>The concentration of protein in the serum samples were determined by</w:t>
      </w:r>
      <w:r w:rsidR="004D56C5">
        <w:rPr>
          <w:color w:val="000000"/>
        </w:rPr>
        <w:t xml:space="preserve"> </w:t>
      </w:r>
      <w:r w:rsidRPr="00873C4C">
        <w:rPr>
          <w:color w:val="000000"/>
        </w:rPr>
        <w:t xml:space="preserve"> </w:t>
      </w:r>
    </w:p>
    <w:p w:rsidR="002D284F" w:rsidRPr="00873C4C" w:rsidRDefault="002D284F" w:rsidP="00057B42">
      <w:pPr>
        <w:spacing w:line="360" w:lineRule="auto"/>
        <w:jc w:val="both"/>
        <w:rPr>
          <w:color w:val="000000"/>
        </w:rPr>
      </w:pPr>
      <w:r w:rsidRPr="00873C4C">
        <w:rPr>
          <w:color w:val="000000"/>
        </w:rPr>
        <w:t xml:space="preserve">comparing the optical density of the samples against the standard curve </w:t>
      </w:r>
      <w:r w:rsidR="004D56C5">
        <w:rPr>
          <w:color w:val="000000"/>
        </w:rPr>
        <w:t xml:space="preserve"> </w:t>
      </w:r>
      <w:r w:rsidRPr="00873C4C">
        <w:rPr>
          <w:color w:val="000000"/>
        </w:rPr>
        <w:t>provided by the kit.</w:t>
      </w:r>
    </w:p>
    <w:p w:rsidR="002D284F" w:rsidRPr="00873C4C" w:rsidRDefault="002D284F" w:rsidP="00057B42">
      <w:pPr>
        <w:spacing w:line="360" w:lineRule="auto"/>
        <w:jc w:val="both"/>
        <w:rPr>
          <w:color w:val="000000"/>
        </w:rPr>
      </w:pPr>
    </w:p>
    <w:p w:rsidR="0078332F" w:rsidRDefault="0078332F" w:rsidP="00057B42">
      <w:pPr>
        <w:spacing w:line="360" w:lineRule="auto"/>
        <w:jc w:val="both"/>
        <w:rPr>
          <w:b/>
          <w:bCs/>
          <w:sz w:val="26"/>
          <w:szCs w:val="26"/>
          <w:lang w:eastAsia="en-US"/>
        </w:rPr>
      </w:pPr>
      <w:r>
        <w:br w:type="page"/>
      </w:r>
    </w:p>
    <w:p w:rsidR="00C52127" w:rsidRDefault="002D284F" w:rsidP="00645687">
      <w:pPr>
        <w:pStyle w:val="Heading4"/>
      </w:pPr>
      <w:bookmarkStart w:id="805" w:name="_Toc306570628"/>
      <w:bookmarkStart w:id="806" w:name="_Toc307067693"/>
      <w:bookmarkStart w:id="807" w:name="_Toc312169267"/>
      <w:bookmarkStart w:id="808" w:name="_Toc312172194"/>
      <w:bookmarkStart w:id="809" w:name="_Toc312257743"/>
      <w:r w:rsidRPr="002C3EA9">
        <w:lastRenderedPageBreak/>
        <w:t>Vitamin D binding protein</w:t>
      </w:r>
      <w:r w:rsidR="00A52529">
        <w:t xml:space="preserve"> (VDB)</w:t>
      </w:r>
      <w:r w:rsidR="00C52127" w:rsidRPr="002C3EA9">
        <w:t xml:space="preserve"> - Assay Procedure</w:t>
      </w:r>
      <w:bookmarkEnd w:id="805"/>
      <w:bookmarkEnd w:id="806"/>
      <w:bookmarkEnd w:id="807"/>
      <w:bookmarkEnd w:id="808"/>
      <w:bookmarkEnd w:id="809"/>
    </w:p>
    <w:p w:rsidR="009A376D" w:rsidRPr="009A376D" w:rsidRDefault="009A376D" w:rsidP="00057B42">
      <w:pPr>
        <w:spacing w:line="360" w:lineRule="auto"/>
        <w:jc w:val="both"/>
        <w:rPr>
          <w:lang w:eastAsia="en-US"/>
        </w:rPr>
      </w:pPr>
    </w:p>
    <w:p w:rsidR="002D284F" w:rsidRPr="00873C4C" w:rsidRDefault="002D284F" w:rsidP="00057B42">
      <w:pPr>
        <w:spacing w:line="360" w:lineRule="auto"/>
        <w:jc w:val="both"/>
        <w:rPr>
          <w:color w:val="000000"/>
        </w:rPr>
      </w:pPr>
      <w:r w:rsidRPr="00873C4C">
        <w:rPr>
          <w:color w:val="000000"/>
        </w:rPr>
        <w:t>Immunodiagnostik commercially available ELISA kit for VDB was used according to manufactures instruction</w:t>
      </w:r>
      <w:r w:rsidR="00C52127" w:rsidRPr="00873C4C">
        <w:rPr>
          <w:color w:val="000000"/>
        </w:rPr>
        <w:t xml:space="preserve">, test were carry out in duplicate. </w:t>
      </w:r>
    </w:p>
    <w:p w:rsidR="002D284F" w:rsidRPr="00873C4C" w:rsidRDefault="002D284F" w:rsidP="00057B42">
      <w:pPr>
        <w:spacing w:line="360" w:lineRule="auto"/>
        <w:jc w:val="both"/>
        <w:rPr>
          <w:color w:val="000000"/>
        </w:rPr>
      </w:pPr>
      <w:r w:rsidRPr="00873C4C">
        <w:rPr>
          <w:color w:val="000000"/>
        </w:rPr>
        <w:t xml:space="preserve">1. </w:t>
      </w:r>
      <w:r w:rsidR="00C52127" w:rsidRPr="00873C4C">
        <w:rPr>
          <w:color w:val="000000"/>
        </w:rPr>
        <w:tab/>
      </w:r>
      <w:r w:rsidR="00FB2B13">
        <w:rPr>
          <w:color w:val="000000"/>
        </w:rPr>
        <w:t xml:space="preserve"> </w:t>
      </w:r>
      <w:r w:rsidR="007069BF">
        <w:rPr>
          <w:color w:val="000000"/>
        </w:rPr>
        <w:t xml:space="preserve">In brief </w:t>
      </w:r>
      <w:r w:rsidR="00C52127" w:rsidRPr="00873C4C">
        <w:rPr>
          <w:color w:val="000000"/>
        </w:rPr>
        <w:t>t</w:t>
      </w:r>
      <w:r w:rsidRPr="00873C4C">
        <w:rPr>
          <w:color w:val="000000"/>
        </w:rPr>
        <w:t>o the plate 100 μl STD (Standard), CTRL (Control) and pre-diluted sample were added</w:t>
      </w:r>
    </w:p>
    <w:p w:rsidR="00FB2B13" w:rsidRDefault="002D284F" w:rsidP="00057B42">
      <w:pPr>
        <w:spacing w:line="360" w:lineRule="auto"/>
        <w:jc w:val="both"/>
        <w:rPr>
          <w:color w:val="000000"/>
        </w:rPr>
      </w:pPr>
      <w:r w:rsidRPr="00873C4C">
        <w:rPr>
          <w:color w:val="000000"/>
        </w:rPr>
        <w:t xml:space="preserve">2. </w:t>
      </w:r>
      <w:r w:rsidR="00C52127" w:rsidRPr="00873C4C">
        <w:rPr>
          <w:color w:val="000000"/>
        </w:rPr>
        <w:tab/>
      </w:r>
      <w:r w:rsidR="00FB2B13">
        <w:rPr>
          <w:color w:val="000000"/>
        </w:rPr>
        <w:t xml:space="preserve"> </w:t>
      </w:r>
      <w:r w:rsidRPr="00873C4C">
        <w:rPr>
          <w:color w:val="000000"/>
        </w:rPr>
        <w:t xml:space="preserve">The plate was </w:t>
      </w:r>
      <w:r w:rsidR="007069BF" w:rsidRPr="00873C4C">
        <w:rPr>
          <w:color w:val="000000"/>
        </w:rPr>
        <w:t>incubated</w:t>
      </w:r>
      <w:r w:rsidRPr="00873C4C">
        <w:rPr>
          <w:color w:val="000000"/>
        </w:rPr>
        <w:t xml:space="preserve"> for 1 hour shaking on a horizontal mixer at room</w:t>
      </w:r>
    </w:p>
    <w:p w:rsidR="002D284F" w:rsidRPr="00873C4C" w:rsidRDefault="002D284F" w:rsidP="00057B42">
      <w:pPr>
        <w:spacing w:line="360" w:lineRule="auto"/>
        <w:jc w:val="both"/>
        <w:rPr>
          <w:color w:val="000000"/>
        </w:rPr>
      </w:pPr>
      <w:r w:rsidRPr="00873C4C">
        <w:rPr>
          <w:color w:val="000000"/>
        </w:rPr>
        <w:t>temperature.</w:t>
      </w:r>
    </w:p>
    <w:p w:rsidR="002D284F" w:rsidRPr="00873C4C" w:rsidRDefault="002D284F" w:rsidP="00057B42">
      <w:pPr>
        <w:spacing w:line="360" w:lineRule="auto"/>
        <w:jc w:val="both"/>
        <w:rPr>
          <w:color w:val="000000"/>
        </w:rPr>
      </w:pPr>
      <w:r w:rsidRPr="00873C4C">
        <w:rPr>
          <w:color w:val="000000"/>
        </w:rPr>
        <w:t xml:space="preserve">3. </w:t>
      </w:r>
      <w:r w:rsidR="00C52127" w:rsidRPr="00873C4C">
        <w:rPr>
          <w:color w:val="000000"/>
        </w:rPr>
        <w:tab/>
      </w:r>
      <w:r w:rsidR="00FB2B13">
        <w:rPr>
          <w:color w:val="000000"/>
        </w:rPr>
        <w:t xml:space="preserve"> </w:t>
      </w:r>
      <w:r w:rsidR="007069BF">
        <w:rPr>
          <w:color w:val="000000"/>
        </w:rPr>
        <w:t>The c</w:t>
      </w:r>
      <w:r w:rsidRPr="00873C4C">
        <w:rPr>
          <w:color w:val="000000"/>
        </w:rPr>
        <w:t>ontent</w:t>
      </w:r>
      <w:r w:rsidR="007069BF">
        <w:rPr>
          <w:color w:val="000000"/>
        </w:rPr>
        <w:t>s</w:t>
      </w:r>
      <w:r w:rsidRPr="00873C4C">
        <w:rPr>
          <w:color w:val="000000"/>
        </w:rPr>
        <w:t xml:space="preserve"> of the plate </w:t>
      </w:r>
      <w:r w:rsidR="007069BF">
        <w:rPr>
          <w:color w:val="000000"/>
        </w:rPr>
        <w:t>were</w:t>
      </w:r>
      <w:r w:rsidRPr="00873C4C">
        <w:rPr>
          <w:color w:val="000000"/>
        </w:rPr>
        <w:t xml:space="preserve"> discarded and the wells were washed five </w:t>
      </w:r>
      <w:r w:rsidR="004D56C5" w:rsidRPr="00873C4C">
        <w:rPr>
          <w:color w:val="000000"/>
        </w:rPr>
        <w:t>times with</w:t>
      </w:r>
      <w:r w:rsidRPr="00873C4C">
        <w:rPr>
          <w:color w:val="000000"/>
        </w:rPr>
        <w:t xml:space="preserve"> </w:t>
      </w:r>
      <w:r w:rsidR="004D56C5" w:rsidRPr="00873C4C">
        <w:rPr>
          <w:color w:val="000000"/>
        </w:rPr>
        <w:t>250 μl</w:t>
      </w:r>
      <w:r w:rsidRPr="00873C4C">
        <w:rPr>
          <w:color w:val="000000"/>
        </w:rPr>
        <w:t xml:space="preserve"> of diluted wash buffer.</w:t>
      </w:r>
    </w:p>
    <w:p w:rsidR="002D284F" w:rsidRPr="00873C4C" w:rsidRDefault="002D284F" w:rsidP="00057B42">
      <w:pPr>
        <w:spacing w:line="360" w:lineRule="auto"/>
        <w:jc w:val="both"/>
        <w:rPr>
          <w:color w:val="000000"/>
        </w:rPr>
      </w:pPr>
      <w:r w:rsidRPr="00873C4C">
        <w:rPr>
          <w:color w:val="000000"/>
        </w:rPr>
        <w:t xml:space="preserve">4. </w:t>
      </w:r>
      <w:r w:rsidR="00C52127" w:rsidRPr="00873C4C">
        <w:rPr>
          <w:color w:val="000000"/>
        </w:rPr>
        <w:tab/>
      </w:r>
      <w:r w:rsidR="00FB2B13">
        <w:rPr>
          <w:color w:val="000000"/>
        </w:rPr>
        <w:t xml:space="preserve"> </w:t>
      </w:r>
      <w:r w:rsidRPr="00873C4C">
        <w:rPr>
          <w:color w:val="000000"/>
        </w:rPr>
        <w:t>100 μl pre-diluted CONJ (Peroxidase-</w:t>
      </w:r>
      <w:r w:rsidR="004D56C5" w:rsidRPr="00873C4C">
        <w:rPr>
          <w:color w:val="000000"/>
        </w:rPr>
        <w:t>labelled</w:t>
      </w:r>
      <w:r w:rsidRPr="00873C4C">
        <w:rPr>
          <w:color w:val="000000"/>
        </w:rPr>
        <w:t xml:space="preserve"> antibody)</w:t>
      </w:r>
      <w:r w:rsidR="007069BF">
        <w:rPr>
          <w:color w:val="000000"/>
        </w:rPr>
        <w:t xml:space="preserve"> was added</w:t>
      </w:r>
      <w:r w:rsidRPr="00873C4C">
        <w:rPr>
          <w:color w:val="000000"/>
        </w:rPr>
        <w:t>.</w:t>
      </w:r>
    </w:p>
    <w:p w:rsidR="002D284F" w:rsidRPr="00873C4C" w:rsidRDefault="002D284F" w:rsidP="00057B42">
      <w:pPr>
        <w:spacing w:line="360" w:lineRule="auto"/>
        <w:jc w:val="both"/>
        <w:rPr>
          <w:color w:val="000000"/>
        </w:rPr>
      </w:pPr>
      <w:r w:rsidRPr="00873C4C">
        <w:rPr>
          <w:color w:val="000000"/>
        </w:rPr>
        <w:t xml:space="preserve">5. </w:t>
      </w:r>
      <w:r w:rsidR="00C52127" w:rsidRPr="00873C4C">
        <w:rPr>
          <w:color w:val="000000"/>
        </w:rPr>
        <w:tab/>
      </w:r>
      <w:r w:rsidR="00FB2B13">
        <w:rPr>
          <w:color w:val="000000"/>
        </w:rPr>
        <w:t xml:space="preserve"> </w:t>
      </w:r>
      <w:r w:rsidRPr="00873C4C">
        <w:rPr>
          <w:color w:val="000000"/>
        </w:rPr>
        <w:t>The plate was incubated for 1 hour shaking on a horizontal mixer at room temperature.</w:t>
      </w:r>
    </w:p>
    <w:p w:rsidR="002D284F" w:rsidRPr="00873C4C" w:rsidRDefault="002D284F" w:rsidP="00057B42">
      <w:pPr>
        <w:spacing w:line="360" w:lineRule="auto"/>
        <w:jc w:val="both"/>
        <w:rPr>
          <w:color w:val="000000"/>
        </w:rPr>
      </w:pPr>
      <w:r w:rsidRPr="00873C4C">
        <w:rPr>
          <w:color w:val="000000"/>
        </w:rPr>
        <w:t xml:space="preserve">6. </w:t>
      </w:r>
      <w:r w:rsidR="00C52127" w:rsidRPr="00873C4C">
        <w:rPr>
          <w:color w:val="000000"/>
        </w:rPr>
        <w:tab/>
      </w:r>
      <w:r w:rsidR="00FB2B13">
        <w:rPr>
          <w:color w:val="000000"/>
        </w:rPr>
        <w:t xml:space="preserve"> </w:t>
      </w:r>
      <w:r w:rsidRPr="00873C4C">
        <w:rPr>
          <w:color w:val="000000"/>
        </w:rPr>
        <w:t xml:space="preserve">The content of the plate was discarded and the wells were washed five times with </w:t>
      </w:r>
      <w:r w:rsidR="004D56C5" w:rsidRPr="00873C4C">
        <w:rPr>
          <w:color w:val="000000"/>
        </w:rPr>
        <w:t>250 μl</w:t>
      </w:r>
      <w:r w:rsidRPr="00873C4C">
        <w:rPr>
          <w:color w:val="000000"/>
        </w:rPr>
        <w:t xml:space="preserve"> diluted wash buffer.</w:t>
      </w:r>
    </w:p>
    <w:p w:rsidR="002D284F" w:rsidRPr="00873C4C" w:rsidRDefault="002D284F" w:rsidP="00057B42">
      <w:pPr>
        <w:spacing w:line="360" w:lineRule="auto"/>
        <w:jc w:val="both"/>
        <w:rPr>
          <w:color w:val="000000"/>
        </w:rPr>
      </w:pPr>
      <w:r w:rsidRPr="00873C4C">
        <w:rPr>
          <w:color w:val="000000"/>
        </w:rPr>
        <w:t xml:space="preserve">7. </w:t>
      </w:r>
      <w:r w:rsidR="00C52127" w:rsidRPr="00873C4C">
        <w:rPr>
          <w:color w:val="000000"/>
        </w:rPr>
        <w:tab/>
      </w:r>
      <w:r w:rsidR="00FB2B13">
        <w:rPr>
          <w:color w:val="000000"/>
        </w:rPr>
        <w:t xml:space="preserve"> </w:t>
      </w:r>
      <w:r w:rsidRPr="00873C4C">
        <w:rPr>
          <w:color w:val="000000"/>
        </w:rPr>
        <w:t>To the plate 100 μl SUB (TMB substrate) was added.</w:t>
      </w:r>
    </w:p>
    <w:p w:rsidR="002D284F" w:rsidRPr="00873C4C" w:rsidRDefault="002D284F" w:rsidP="00057B42">
      <w:pPr>
        <w:spacing w:line="360" w:lineRule="auto"/>
        <w:jc w:val="both"/>
        <w:rPr>
          <w:color w:val="000000"/>
        </w:rPr>
      </w:pPr>
      <w:r w:rsidRPr="00873C4C">
        <w:rPr>
          <w:color w:val="000000"/>
        </w:rPr>
        <w:t xml:space="preserve">8. </w:t>
      </w:r>
      <w:r w:rsidR="00C52127" w:rsidRPr="00873C4C">
        <w:rPr>
          <w:color w:val="000000"/>
        </w:rPr>
        <w:tab/>
      </w:r>
      <w:r w:rsidR="00FB2B13">
        <w:rPr>
          <w:color w:val="000000"/>
        </w:rPr>
        <w:t xml:space="preserve"> </w:t>
      </w:r>
      <w:r w:rsidRPr="00873C4C">
        <w:rPr>
          <w:color w:val="000000"/>
        </w:rPr>
        <w:t>Plate was incubated for 10-15 minutes at room temperature.</w:t>
      </w:r>
    </w:p>
    <w:p w:rsidR="002D284F" w:rsidRPr="00873C4C" w:rsidRDefault="002D284F" w:rsidP="00057B42">
      <w:pPr>
        <w:spacing w:line="360" w:lineRule="auto"/>
        <w:jc w:val="both"/>
        <w:rPr>
          <w:color w:val="000000"/>
        </w:rPr>
      </w:pPr>
      <w:r w:rsidRPr="00873C4C">
        <w:rPr>
          <w:color w:val="000000"/>
        </w:rPr>
        <w:t xml:space="preserve">9. </w:t>
      </w:r>
      <w:r w:rsidR="00C52127" w:rsidRPr="00873C4C">
        <w:rPr>
          <w:color w:val="000000"/>
        </w:rPr>
        <w:tab/>
      </w:r>
      <w:r w:rsidR="00FB2B13">
        <w:rPr>
          <w:color w:val="000000"/>
        </w:rPr>
        <w:t xml:space="preserve"> </w:t>
      </w:r>
      <w:r w:rsidRPr="00873C4C">
        <w:rPr>
          <w:color w:val="000000"/>
        </w:rPr>
        <w:t>A 50 μl of STOP (st</w:t>
      </w:r>
      <w:r w:rsidR="007069BF">
        <w:rPr>
          <w:color w:val="000000"/>
        </w:rPr>
        <w:t>op solution) were added and briefly mixed</w:t>
      </w:r>
      <w:r w:rsidRPr="00873C4C">
        <w:rPr>
          <w:color w:val="000000"/>
        </w:rPr>
        <w:t>.</w:t>
      </w:r>
    </w:p>
    <w:p w:rsidR="002D284F" w:rsidRPr="00873C4C" w:rsidRDefault="002D284F" w:rsidP="00057B42">
      <w:pPr>
        <w:spacing w:line="360" w:lineRule="auto"/>
        <w:jc w:val="both"/>
        <w:rPr>
          <w:color w:val="000000"/>
        </w:rPr>
      </w:pPr>
      <w:r w:rsidRPr="00873C4C">
        <w:rPr>
          <w:color w:val="000000"/>
        </w:rPr>
        <w:t xml:space="preserve">10. </w:t>
      </w:r>
      <w:r w:rsidR="00C52127" w:rsidRPr="00873C4C">
        <w:rPr>
          <w:color w:val="000000"/>
        </w:rPr>
        <w:tab/>
      </w:r>
      <w:r w:rsidR="00FB2B13">
        <w:rPr>
          <w:color w:val="000000"/>
        </w:rPr>
        <w:t xml:space="preserve"> </w:t>
      </w:r>
      <w:r w:rsidRPr="00873C4C">
        <w:rPr>
          <w:color w:val="000000"/>
        </w:rPr>
        <w:t>The optical density was measured by micro-plate reader at 450 nm</w:t>
      </w:r>
      <w:r w:rsidR="00C52127" w:rsidRPr="00873C4C">
        <w:rPr>
          <w:color w:val="000000"/>
        </w:rPr>
        <w:t xml:space="preserve"> </w:t>
      </w:r>
      <w:r w:rsidRPr="00873C4C">
        <w:rPr>
          <w:color w:val="000000"/>
        </w:rPr>
        <w:t>against 620 nm (or 690 nm) as reference.</w:t>
      </w:r>
      <w:r w:rsidR="00FB2B13">
        <w:rPr>
          <w:color w:val="000000"/>
        </w:rPr>
        <w:t xml:space="preserve"> </w:t>
      </w:r>
      <w:r w:rsidRPr="00873C4C">
        <w:rPr>
          <w:color w:val="000000"/>
        </w:rPr>
        <w:t xml:space="preserve">The concentration of protein in the serum samples were determined by comparing the optical density of the samples against the standard curve provided by the kit.  </w:t>
      </w:r>
    </w:p>
    <w:p w:rsidR="002D284F" w:rsidRPr="00873C4C" w:rsidRDefault="002D284F" w:rsidP="00057B42">
      <w:pPr>
        <w:spacing w:line="360" w:lineRule="auto"/>
        <w:jc w:val="both"/>
        <w:rPr>
          <w:color w:val="000000"/>
        </w:rPr>
      </w:pPr>
    </w:p>
    <w:p w:rsidR="0078332F" w:rsidRDefault="0078332F" w:rsidP="00057B42">
      <w:pPr>
        <w:spacing w:line="360" w:lineRule="auto"/>
        <w:jc w:val="both"/>
        <w:rPr>
          <w:b/>
          <w:bCs/>
          <w:sz w:val="26"/>
          <w:szCs w:val="26"/>
          <w:lang w:eastAsia="en-US"/>
        </w:rPr>
      </w:pPr>
      <w:bookmarkStart w:id="810" w:name="_Toc306570629"/>
      <w:bookmarkStart w:id="811" w:name="_Toc307067694"/>
      <w:r>
        <w:br w:type="page"/>
      </w:r>
    </w:p>
    <w:p w:rsidR="002D284F" w:rsidRPr="002C3EA9" w:rsidRDefault="002D284F" w:rsidP="00645687">
      <w:pPr>
        <w:pStyle w:val="Heading4"/>
      </w:pPr>
      <w:bookmarkStart w:id="812" w:name="_Toc312169268"/>
      <w:bookmarkStart w:id="813" w:name="_Toc312172195"/>
      <w:bookmarkStart w:id="814" w:name="_Toc312257744"/>
      <w:r w:rsidRPr="002C3EA9">
        <w:lastRenderedPageBreak/>
        <w:t>Beta-2-microglobulin (B2M)</w:t>
      </w:r>
      <w:r w:rsidR="00C52127" w:rsidRPr="002C3EA9">
        <w:t xml:space="preserve"> - </w:t>
      </w:r>
      <w:r w:rsidRPr="002C3EA9">
        <w:t>Assay Procedure</w:t>
      </w:r>
      <w:bookmarkEnd w:id="810"/>
      <w:bookmarkEnd w:id="811"/>
      <w:bookmarkEnd w:id="812"/>
      <w:bookmarkEnd w:id="813"/>
      <w:bookmarkEnd w:id="814"/>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b/>
          <w:color w:val="000000"/>
        </w:rPr>
      </w:pPr>
      <w:r w:rsidRPr="00873C4C">
        <w:rPr>
          <w:color w:val="000000"/>
        </w:rPr>
        <w:t>Immunodiagnostik commercially available ELISA kit for B2M was used according to manufactures instruction</w:t>
      </w:r>
    </w:p>
    <w:p w:rsidR="002D284F" w:rsidRPr="00873C4C" w:rsidRDefault="002D284F" w:rsidP="00057B42">
      <w:pPr>
        <w:spacing w:line="360" w:lineRule="auto"/>
        <w:jc w:val="both"/>
        <w:rPr>
          <w:color w:val="000000"/>
        </w:rPr>
      </w:pPr>
      <w:r w:rsidRPr="00873C4C">
        <w:rPr>
          <w:color w:val="000000"/>
        </w:rPr>
        <w:t xml:space="preserve">In brief the ELISA </w:t>
      </w:r>
      <w:r w:rsidR="004D56C5" w:rsidRPr="00873C4C">
        <w:rPr>
          <w:color w:val="000000"/>
        </w:rPr>
        <w:t>test was</w:t>
      </w:r>
      <w:r w:rsidR="007069BF">
        <w:rPr>
          <w:color w:val="000000"/>
        </w:rPr>
        <w:t xml:space="preserve"> carried</w:t>
      </w:r>
      <w:r w:rsidRPr="00873C4C">
        <w:rPr>
          <w:color w:val="000000"/>
        </w:rPr>
        <w:t xml:space="preserve"> out in duplicate.</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 xml:space="preserve">To the plate 200 μl 0.9%  NaCl was added to each </w:t>
      </w:r>
    </w:p>
    <w:p w:rsidR="00FB2B13"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To the plate 10 μl STD (Standard), CTRL (Co</w:t>
      </w:r>
      <w:r>
        <w:rPr>
          <w:color w:val="000000"/>
        </w:rPr>
        <w:t xml:space="preserve">ntrol) and pre-diluted patients </w:t>
      </w:r>
    </w:p>
    <w:p w:rsidR="002D284F" w:rsidRPr="00873C4C" w:rsidRDefault="00FB2B13" w:rsidP="00057B42">
      <w:pPr>
        <w:tabs>
          <w:tab w:val="num" w:pos="0"/>
        </w:tabs>
        <w:spacing w:line="360" w:lineRule="auto"/>
        <w:jc w:val="both"/>
        <w:rPr>
          <w:color w:val="000000"/>
        </w:rPr>
      </w:pPr>
      <w:r>
        <w:rPr>
          <w:color w:val="000000"/>
        </w:rPr>
        <w:t>s</w:t>
      </w:r>
      <w:r w:rsidR="002D284F" w:rsidRPr="00873C4C">
        <w:rPr>
          <w:color w:val="000000"/>
        </w:rPr>
        <w:t xml:space="preserve">ample were </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7069BF">
        <w:rPr>
          <w:color w:val="000000"/>
        </w:rPr>
        <w:t>The plate was i</w:t>
      </w:r>
      <w:r w:rsidR="002D284F" w:rsidRPr="00873C4C">
        <w:rPr>
          <w:color w:val="000000"/>
        </w:rPr>
        <w:t>ncubated for 1 hour shaking on a horizontal mixer at room temperature.</w:t>
      </w:r>
    </w:p>
    <w:p w:rsidR="002D284F" w:rsidRPr="00873C4C" w:rsidRDefault="00FB2B13" w:rsidP="00057B42">
      <w:pPr>
        <w:numPr>
          <w:ilvl w:val="0"/>
          <w:numId w:val="8"/>
        </w:numPr>
        <w:tabs>
          <w:tab w:val="clear" w:pos="720"/>
        </w:tabs>
        <w:spacing w:line="360" w:lineRule="auto"/>
        <w:ind w:left="0" w:firstLine="0"/>
        <w:jc w:val="both"/>
        <w:rPr>
          <w:color w:val="000000"/>
        </w:rPr>
      </w:pPr>
      <w:r>
        <w:rPr>
          <w:color w:val="000000"/>
        </w:rPr>
        <w:t xml:space="preserve"> </w:t>
      </w:r>
      <w:r w:rsidR="007069BF">
        <w:rPr>
          <w:color w:val="000000"/>
        </w:rPr>
        <w:t>The c</w:t>
      </w:r>
      <w:r w:rsidR="002D284F" w:rsidRPr="00873C4C">
        <w:rPr>
          <w:color w:val="000000"/>
        </w:rPr>
        <w:t>ontent</w:t>
      </w:r>
      <w:r w:rsidR="007069BF">
        <w:rPr>
          <w:color w:val="000000"/>
        </w:rPr>
        <w:t>s</w:t>
      </w:r>
      <w:r w:rsidR="002D284F" w:rsidRPr="00873C4C">
        <w:rPr>
          <w:color w:val="000000"/>
        </w:rPr>
        <w:t xml:space="preserve"> of the plate were discarded and the wells were washed five </w:t>
      </w:r>
      <w:r w:rsidR="004D56C5" w:rsidRPr="00873C4C">
        <w:rPr>
          <w:color w:val="000000"/>
        </w:rPr>
        <w:t>times with</w:t>
      </w:r>
      <w:r w:rsidR="002D284F" w:rsidRPr="00873C4C">
        <w:rPr>
          <w:color w:val="000000"/>
        </w:rPr>
        <w:t xml:space="preserve"> </w:t>
      </w:r>
      <w:r w:rsidR="004D56C5" w:rsidRPr="00873C4C">
        <w:rPr>
          <w:color w:val="000000"/>
        </w:rPr>
        <w:t>250 μl</w:t>
      </w:r>
      <w:r w:rsidR="002D284F" w:rsidRPr="00873C4C">
        <w:rPr>
          <w:color w:val="000000"/>
        </w:rPr>
        <w:t xml:space="preserve"> of diluted wash buffer.</w:t>
      </w:r>
    </w:p>
    <w:p w:rsidR="002D284F" w:rsidRPr="00873C4C" w:rsidRDefault="002D284F" w:rsidP="00057B42">
      <w:pPr>
        <w:numPr>
          <w:ilvl w:val="0"/>
          <w:numId w:val="8"/>
        </w:numPr>
        <w:tabs>
          <w:tab w:val="clear" w:pos="720"/>
          <w:tab w:val="num" w:pos="0"/>
        </w:tabs>
        <w:spacing w:line="360" w:lineRule="auto"/>
        <w:ind w:left="0" w:firstLine="0"/>
        <w:jc w:val="both"/>
        <w:rPr>
          <w:color w:val="000000"/>
        </w:rPr>
      </w:pPr>
      <w:r w:rsidRPr="00873C4C">
        <w:rPr>
          <w:color w:val="000000"/>
        </w:rPr>
        <w:t>200 μl pre-diluted CONJ (Peroxidase-</w:t>
      </w:r>
      <w:r w:rsidR="004D56C5" w:rsidRPr="00873C4C">
        <w:rPr>
          <w:color w:val="000000"/>
        </w:rPr>
        <w:t>labelled</w:t>
      </w:r>
      <w:r w:rsidRPr="00873C4C">
        <w:rPr>
          <w:color w:val="000000"/>
        </w:rPr>
        <w:t xml:space="preserve"> antibody)</w:t>
      </w:r>
      <w:r w:rsidR="007069BF">
        <w:rPr>
          <w:color w:val="000000"/>
        </w:rPr>
        <w:t xml:space="preserve"> was added</w:t>
      </w:r>
      <w:r w:rsidRPr="00873C4C">
        <w:rPr>
          <w:color w:val="000000"/>
        </w:rPr>
        <w:t>.</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7069BF">
        <w:rPr>
          <w:color w:val="000000"/>
        </w:rPr>
        <w:t>The plate was i</w:t>
      </w:r>
      <w:r w:rsidR="002D284F" w:rsidRPr="00873C4C">
        <w:rPr>
          <w:color w:val="000000"/>
        </w:rPr>
        <w:t>ncubated for 15 minutes shaking on a horizontal mixer at room temperature.</w:t>
      </w:r>
    </w:p>
    <w:p w:rsidR="002D284F" w:rsidRPr="00FB2B13"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FB2B13">
        <w:rPr>
          <w:color w:val="000000"/>
        </w:rPr>
        <w:t>The content of the plate was discarded and the wells were washed  five times  with 250μl diluted wash buffer.</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To the plate 200 μl SUB (TMB substrate) was added.</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Plate was incubated for 10-15 minutes at room temperature.</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A 50 μl of STOP (stop solution) were added and mix shortly.</w:t>
      </w:r>
    </w:p>
    <w:p w:rsidR="002D284F" w:rsidRPr="00873C4C" w:rsidRDefault="00FB2B13" w:rsidP="00057B42">
      <w:pPr>
        <w:numPr>
          <w:ilvl w:val="0"/>
          <w:numId w:val="8"/>
        </w:numPr>
        <w:tabs>
          <w:tab w:val="clear" w:pos="720"/>
          <w:tab w:val="num" w:pos="0"/>
        </w:tabs>
        <w:spacing w:line="360" w:lineRule="auto"/>
        <w:ind w:left="0" w:firstLine="0"/>
        <w:jc w:val="both"/>
        <w:rPr>
          <w:color w:val="000000"/>
        </w:rPr>
      </w:pPr>
      <w:r>
        <w:rPr>
          <w:color w:val="000000"/>
        </w:rPr>
        <w:t xml:space="preserve"> </w:t>
      </w:r>
      <w:r w:rsidR="002D284F" w:rsidRPr="00873C4C">
        <w:rPr>
          <w:color w:val="000000"/>
        </w:rPr>
        <w:t>The optical density was measured by micro-plate reader at 450 nm</w:t>
      </w:r>
      <w:r w:rsidR="00C52127" w:rsidRPr="00873C4C">
        <w:rPr>
          <w:color w:val="000000"/>
        </w:rPr>
        <w:t xml:space="preserve"> </w:t>
      </w:r>
      <w:r w:rsidR="002D284F" w:rsidRPr="00873C4C">
        <w:rPr>
          <w:color w:val="000000"/>
        </w:rPr>
        <w:t xml:space="preserve">against 620 nm (or 690 nm) as reference. The concentration of protein in the serum     samples were determined by comparing the optical density of the samples against the standard curve provided by the kit.  </w:t>
      </w:r>
    </w:p>
    <w:p w:rsidR="0078332F" w:rsidRDefault="0078332F" w:rsidP="00057B42">
      <w:pPr>
        <w:spacing w:line="360" w:lineRule="auto"/>
        <w:jc w:val="both"/>
        <w:rPr>
          <w:b/>
          <w:bCs/>
          <w:sz w:val="26"/>
          <w:szCs w:val="26"/>
          <w:lang w:eastAsia="en-US"/>
        </w:rPr>
      </w:pPr>
      <w:bookmarkStart w:id="815" w:name="_Toc306570630"/>
      <w:bookmarkStart w:id="816" w:name="_Toc307067695"/>
      <w:r>
        <w:br w:type="page"/>
      </w:r>
    </w:p>
    <w:p w:rsidR="00C52127" w:rsidRDefault="002D284F" w:rsidP="00645687">
      <w:pPr>
        <w:pStyle w:val="Heading4"/>
      </w:pPr>
      <w:bookmarkStart w:id="817" w:name="_Toc312169269"/>
      <w:bookmarkStart w:id="818" w:name="_Toc312172196"/>
      <w:bookmarkStart w:id="819" w:name="_Toc312257745"/>
      <w:r w:rsidRPr="002C3EA9">
        <w:lastRenderedPageBreak/>
        <w:t>Human Serum Amyloid A (SAA)</w:t>
      </w:r>
      <w:r w:rsidR="00C52127" w:rsidRPr="002C3EA9">
        <w:t xml:space="preserve"> -Assay Procedure</w:t>
      </w:r>
      <w:bookmarkEnd w:id="815"/>
      <w:bookmarkEnd w:id="816"/>
      <w:bookmarkEnd w:id="817"/>
      <w:bookmarkEnd w:id="818"/>
      <w:bookmarkEnd w:id="819"/>
    </w:p>
    <w:p w:rsidR="009A376D" w:rsidRPr="009A376D" w:rsidRDefault="009A376D" w:rsidP="00057B42">
      <w:pPr>
        <w:spacing w:line="360" w:lineRule="auto"/>
        <w:jc w:val="both"/>
        <w:rPr>
          <w:lang w:eastAsia="en-US"/>
        </w:rPr>
      </w:pPr>
    </w:p>
    <w:p w:rsidR="002D284F" w:rsidRPr="00873C4C" w:rsidRDefault="002D284F" w:rsidP="00057B42">
      <w:pPr>
        <w:spacing w:line="360" w:lineRule="auto"/>
        <w:jc w:val="both"/>
        <w:rPr>
          <w:color w:val="000000"/>
        </w:rPr>
      </w:pPr>
      <w:r w:rsidRPr="00873C4C">
        <w:rPr>
          <w:color w:val="000000"/>
        </w:rPr>
        <w:t>Invitrogen commercially available ELISA kit for SAA was used accord</w:t>
      </w:r>
      <w:r w:rsidR="00C52127" w:rsidRPr="00873C4C">
        <w:rPr>
          <w:color w:val="000000"/>
        </w:rPr>
        <w:t>ing to manufactures instruction</w:t>
      </w:r>
      <w:r w:rsidRPr="00873C4C">
        <w:rPr>
          <w:color w:val="000000"/>
        </w:rPr>
        <w:t xml:space="preserve">. The Invitrogen Hu SAA kit is a solid phase sandwich Enzyme Linked-Immuno-Sorbent Assay (ELISA). A highly purified monoclonal antibody against Hu SAA has been coated onto the wells of the microtiter strips. </w:t>
      </w:r>
    </w:p>
    <w:p w:rsidR="002D284F" w:rsidRPr="00873C4C" w:rsidRDefault="002D284F" w:rsidP="00057B42">
      <w:pPr>
        <w:spacing w:line="360" w:lineRule="auto"/>
        <w:jc w:val="both"/>
        <w:rPr>
          <w:color w:val="000000"/>
        </w:rPr>
      </w:pPr>
    </w:p>
    <w:p w:rsidR="002D284F" w:rsidRPr="00873C4C" w:rsidRDefault="0078332F" w:rsidP="00057B42">
      <w:pPr>
        <w:numPr>
          <w:ilvl w:val="0"/>
          <w:numId w:val="10"/>
        </w:numPr>
        <w:spacing w:line="360" w:lineRule="auto"/>
        <w:ind w:left="0" w:firstLine="0"/>
        <w:jc w:val="both"/>
        <w:rPr>
          <w:color w:val="000000"/>
        </w:rPr>
      </w:pPr>
      <w:r>
        <w:rPr>
          <w:color w:val="000000"/>
        </w:rPr>
        <w:t xml:space="preserve"> </w:t>
      </w:r>
      <w:r w:rsidR="002D284F" w:rsidRPr="00873C4C">
        <w:rPr>
          <w:color w:val="000000"/>
        </w:rPr>
        <w:t xml:space="preserve">During the first incubation, 100 μl of standards of known Hu SAA content, controls, and unknown samples were pipetted into the coated wells as shown below. </w:t>
      </w:r>
    </w:p>
    <w:p w:rsidR="002D284F" w:rsidRPr="00873C4C" w:rsidRDefault="00E56CB7" w:rsidP="00057B42">
      <w:pPr>
        <w:spacing w:line="360" w:lineRule="auto"/>
        <w:jc w:val="both"/>
        <w:rPr>
          <w:color w:val="000000"/>
        </w:rPr>
      </w:pPr>
      <w:r w:rsidRPr="00873C4C">
        <w:rPr>
          <w:color w:val="000000"/>
        </w:rPr>
        <w:t>2.</w:t>
      </w:r>
      <w:r w:rsidRPr="00873C4C">
        <w:rPr>
          <w:color w:val="000000"/>
        </w:rPr>
        <w:tab/>
      </w:r>
      <w:r w:rsidR="0078332F">
        <w:rPr>
          <w:color w:val="000000"/>
        </w:rPr>
        <w:t xml:space="preserve"> </w:t>
      </w:r>
      <w:r w:rsidR="002D284F" w:rsidRPr="00873C4C">
        <w:rPr>
          <w:color w:val="000000"/>
        </w:rPr>
        <w:t>This was</w:t>
      </w:r>
      <w:r w:rsidR="0078332F">
        <w:rPr>
          <w:color w:val="000000"/>
        </w:rPr>
        <w:t xml:space="preserve"> followed by the addition of 50 </w:t>
      </w:r>
      <w:r w:rsidR="002D284F" w:rsidRPr="00873C4C">
        <w:rPr>
          <w:color w:val="000000"/>
        </w:rPr>
        <w:t>μl of biotinylated second monoclonal antibody.</w:t>
      </w:r>
    </w:p>
    <w:p w:rsidR="002D284F" w:rsidRPr="00873C4C" w:rsidRDefault="00E56CB7" w:rsidP="00057B42">
      <w:pPr>
        <w:spacing w:line="360" w:lineRule="auto"/>
        <w:jc w:val="both"/>
        <w:rPr>
          <w:color w:val="000000"/>
        </w:rPr>
      </w:pPr>
      <w:r w:rsidRPr="00873C4C">
        <w:rPr>
          <w:color w:val="000000"/>
        </w:rPr>
        <w:t>3.</w:t>
      </w:r>
      <w:r w:rsidRPr="00873C4C">
        <w:rPr>
          <w:color w:val="000000"/>
        </w:rPr>
        <w:tab/>
      </w:r>
      <w:r w:rsidR="0078332F">
        <w:rPr>
          <w:color w:val="000000"/>
        </w:rPr>
        <w:t xml:space="preserve"> </w:t>
      </w:r>
      <w:r w:rsidR="002D284F" w:rsidRPr="00873C4C">
        <w:rPr>
          <w:color w:val="000000"/>
        </w:rPr>
        <w:t>After washing, 100 μl of Str</w:t>
      </w:r>
      <w:r w:rsidR="007069BF">
        <w:rPr>
          <w:color w:val="000000"/>
        </w:rPr>
        <w:t>eptavidin-Peroxidase (enzyme) was</w:t>
      </w:r>
      <w:r w:rsidR="002D284F" w:rsidRPr="00873C4C">
        <w:rPr>
          <w:color w:val="000000"/>
        </w:rPr>
        <w:t xml:space="preserve"> added. This binds</w:t>
      </w:r>
      <w:r w:rsidR="0078332F">
        <w:rPr>
          <w:color w:val="000000"/>
        </w:rPr>
        <w:t xml:space="preserve"> </w:t>
      </w:r>
      <w:r w:rsidR="002D284F" w:rsidRPr="00873C4C">
        <w:rPr>
          <w:color w:val="000000"/>
        </w:rPr>
        <w:t>to the biotinylated antibody to complete the four-member sandwich.</w:t>
      </w:r>
    </w:p>
    <w:p w:rsidR="002D284F" w:rsidRPr="00873C4C" w:rsidRDefault="00E56CB7" w:rsidP="00057B42">
      <w:pPr>
        <w:spacing w:line="360" w:lineRule="auto"/>
        <w:jc w:val="both"/>
        <w:rPr>
          <w:color w:val="000000"/>
        </w:rPr>
      </w:pPr>
      <w:r w:rsidRPr="00873C4C">
        <w:rPr>
          <w:color w:val="000000"/>
        </w:rPr>
        <w:t>4.</w:t>
      </w:r>
      <w:r w:rsidRPr="00873C4C">
        <w:rPr>
          <w:color w:val="000000"/>
        </w:rPr>
        <w:tab/>
      </w:r>
      <w:r w:rsidR="0078332F">
        <w:rPr>
          <w:color w:val="000000"/>
        </w:rPr>
        <w:t xml:space="preserve"> </w:t>
      </w:r>
      <w:r w:rsidR="002D284F" w:rsidRPr="00873C4C">
        <w:rPr>
          <w:color w:val="000000"/>
        </w:rPr>
        <w:t>After a second incub</w:t>
      </w:r>
      <w:r w:rsidR="0078332F">
        <w:rPr>
          <w:color w:val="000000"/>
        </w:rPr>
        <w:t xml:space="preserve">ation and washing to remove all </w:t>
      </w:r>
      <w:r w:rsidR="002D284F" w:rsidRPr="00873C4C">
        <w:rPr>
          <w:color w:val="000000"/>
        </w:rPr>
        <w:t>the unbound</w:t>
      </w:r>
      <w:r w:rsidRPr="00873C4C">
        <w:rPr>
          <w:color w:val="000000"/>
        </w:rPr>
        <w:t xml:space="preserve"> </w:t>
      </w:r>
      <w:r w:rsidR="002D284F" w:rsidRPr="00873C4C">
        <w:rPr>
          <w:color w:val="000000"/>
        </w:rPr>
        <w:t>enzyme,</w:t>
      </w:r>
      <w:r w:rsidR="007069BF">
        <w:rPr>
          <w:color w:val="000000"/>
        </w:rPr>
        <w:t xml:space="preserve"> 100 μl of substrate solution was</w:t>
      </w:r>
      <w:r w:rsidR="002D284F" w:rsidRPr="00873C4C">
        <w:rPr>
          <w:color w:val="000000"/>
        </w:rPr>
        <w:t xml:space="preserve"> added, which is acted upon by the bound</w:t>
      </w:r>
      <w:r w:rsidRPr="00873C4C">
        <w:rPr>
          <w:color w:val="000000"/>
        </w:rPr>
        <w:t xml:space="preserve"> </w:t>
      </w:r>
      <w:r w:rsidR="002D284F" w:rsidRPr="00873C4C">
        <w:rPr>
          <w:color w:val="000000"/>
        </w:rPr>
        <w:t xml:space="preserve">enzyme to produce colour. </w:t>
      </w:r>
    </w:p>
    <w:p w:rsidR="002D284F" w:rsidRPr="00873C4C" w:rsidRDefault="00E56CB7" w:rsidP="00057B42">
      <w:pPr>
        <w:spacing w:line="360" w:lineRule="auto"/>
        <w:jc w:val="both"/>
        <w:rPr>
          <w:color w:val="000000"/>
        </w:rPr>
      </w:pPr>
      <w:r w:rsidRPr="00873C4C">
        <w:rPr>
          <w:color w:val="000000"/>
        </w:rPr>
        <w:t>5.</w:t>
      </w:r>
      <w:r w:rsidRPr="00873C4C">
        <w:rPr>
          <w:color w:val="000000"/>
        </w:rPr>
        <w:tab/>
      </w:r>
      <w:r w:rsidR="0078332F">
        <w:rPr>
          <w:color w:val="000000"/>
        </w:rPr>
        <w:t xml:space="preserve"> </w:t>
      </w:r>
      <w:r w:rsidR="002D284F" w:rsidRPr="00873C4C">
        <w:rPr>
          <w:color w:val="000000"/>
        </w:rPr>
        <w:t>The optical density was measured by micro-plate reader at 450 nm</w:t>
      </w:r>
      <w:r w:rsidR="0078332F">
        <w:rPr>
          <w:color w:val="000000"/>
        </w:rPr>
        <w:t xml:space="preserve">. </w:t>
      </w:r>
      <w:r w:rsidR="002D284F" w:rsidRPr="00873C4C">
        <w:rPr>
          <w:color w:val="000000"/>
        </w:rPr>
        <w:t xml:space="preserve">The concentration of protein in the serum samples were determined by comparing the optical density of the samples against the standard curve provided by the kit.  </w:t>
      </w:r>
    </w:p>
    <w:p w:rsidR="002D284F" w:rsidRPr="00873C4C" w:rsidRDefault="002D284F" w:rsidP="00057B42">
      <w:pPr>
        <w:spacing w:line="360" w:lineRule="auto"/>
        <w:jc w:val="both"/>
        <w:rPr>
          <w:color w:val="000000"/>
        </w:rPr>
      </w:pPr>
    </w:p>
    <w:p w:rsidR="0078332F" w:rsidRDefault="0078332F" w:rsidP="00057B42">
      <w:pPr>
        <w:spacing w:line="360" w:lineRule="auto"/>
        <w:jc w:val="both"/>
        <w:rPr>
          <w:b/>
          <w:bCs/>
          <w:sz w:val="26"/>
          <w:szCs w:val="26"/>
          <w:lang w:eastAsia="en-US"/>
        </w:rPr>
      </w:pPr>
      <w:bookmarkStart w:id="820" w:name="_Toc306570631"/>
      <w:bookmarkStart w:id="821" w:name="_Toc307067696"/>
      <w:r>
        <w:br w:type="page"/>
      </w:r>
    </w:p>
    <w:p w:rsidR="00E56CB7" w:rsidRDefault="002D284F" w:rsidP="00645687">
      <w:pPr>
        <w:pStyle w:val="Heading4"/>
      </w:pPr>
      <w:bookmarkStart w:id="822" w:name="_Toc312169270"/>
      <w:bookmarkStart w:id="823" w:name="_Toc312172197"/>
      <w:bookmarkStart w:id="824" w:name="_Toc312257746"/>
      <w:r w:rsidRPr="002C3EA9">
        <w:lastRenderedPageBreak/>
        <w:t xml:space="preserve">Serum </w:t>
      </w:r>
      <w:r w:rsidR="002968BA" w:rsidRPr="002C3EA9">
        <w:t>Haptoglobin</w:t>
      </w:r>
      <w:r w:rsidRPr="002C3EA9">
        <w:t xml:space="preserve"> Precursor (Hp)</w:t>
      </w:r>
      <w:r w:rsidR="00E56CB7" w:rsidRPr="002C3EA9">
        <w:t>-Assay Procedure</w:t>
      </w:r>
      <w:bookmarkEnd w:id="820"/>
      <w:bookmarkEnd w:id="821"/>
      <w:bookmarkEnd w:id="822"/>
      <w:bookmarkEnd w:id="823"/>
      <w:bookmarkEnd w:id="824"/>
    </w:p>
    <w:p w:rsidR="009A376D" w:rsidRPr="009A376D" w:rsidRDefault="009A376D" w:rsidP="00057B42">
      <w:pPr>
        <w:spacing w:line="360" w:lineRule="auto"/>
        <w:jc w:val="both"/>
        <w:rPr>
          <w:lang w:eastAsia="en-US"/>
        </w:rPr>
      </w:pPr>
    </w:p>
    <w:p w:rsidR="002D284F" w:rsidRPr="00873C4C" w:rsidRDefault="002D284F" w:rsidP="00057B42">
      <w:pPr>
        <w:spacing w:line="360" w:lineRule="auto"/>
        <w:jc w:val="both"/>
        <w:rPr>
          <w:b/>
          <w:color w:val="000000"/>
        </w:rPr>
      </w:pPr>
      <w:r w:rsidRPr="00873C4C">
        <w:rPr>
          <w:color w:val="000000"/>
        </w:rPr>
        <w:t>AssayMax commercially available ELISA kit for Hp was used according to manufactures instruction</w:t>
      </w:r>
      <w:r w:rsidR="00E56CB7" w:rsidRPr="00873C4C">
        <w:rPr>
          <w:color w:val="000000"/>
        </w:rPr>
        <w:t>, the ELISA test were carry out in duplicate.</w:t>
      </w:r>
    </w:p>
    <w:p w:rsidR="002D284F" w:rsidRPr="00873C4C" w:rsidRDefault="002D284F" w:rsidP="00057B42">
      <w:pPr>
        <w:spacing w:line="360" w:lineRule="auto"/>
        <w:jc w:val="both"/>
        <w:rPr>
          <w:color w:val="000000"/>
        </w:rPr>
      </w:pPr>
      <w:r w:rsidRPr="00873C4C">
        <w:rPr>
          <w:color w:val="000000"/>
        </w:rPr>
        <w:t xml:space="preserve">1. </w:t>
      </w:r>
      <w:r w:rsidR="00E56CB7" w:rsidRPr="00873C4C">
        <w:rPr>
          <w:color w:val="000000"/>
        </w:rPr>
        <w:tab/>
        <w:t>In brief t</w:t>
      </w:r>
      <w:r w:rsidRPr="00873C4C">
        <w:rPr>
          <w:color w:val="000000"/>
        </w:rPr>
        <w:t>o the plate 25 μl STD (Standard), CTRL (Control), Biotinylated</w:t>
      </w:r>
    </w:p>
    <w:p w:rsidR="002D284F" w:rsidRPr="00873C4C" w:rsidRDefault="000723C6" w:rsidP="00057B42">
      <w:pPr>
        <w:spacing w:line="360" w:lineRule="auto"/>
        <w:jc w:val="both"/>
        <w:rPr>
          <w:color w:val="000000"/>
        </w:rPr>
      </w:pPr>
      <w:r>
        <w:rPr>
          <w:color w:val="000000"/>
        </w:rPr>
        <w:tab/>
      </w:r>
      <w:r w:rsidR="004D56C5" w:rsidRPr="00873C4C">
        <w:rPr>
          <w:color w:val="000000"/>
        </w:rPr>
        <w:t>Haptoglobin</w:t>
      </w:r>
      <w:r w:rsidR="002D284F" w:rsidRPr="00873C4C">
        <w:rPr>
          <w:color w:val="000000"/>
        </w:rPr>
        <w:t xml:space="preserve"> and pre-diluted sample were added</w:t>
      </w:r>
    </w:p>
    <w:p w:rsidR="002D284F" w:rsidRPr="00873C4C" w:rsidRDefault="002D284F" w:rsidP="00057B42">
      <w:pPr>
        <w:spacing w:line="360" w:lineRule="auto"/>
        <w:jc w:val="both"/>
        <w:rPr>
          <w:color w:val="000000"/>
        </w:rPr>
      </w:pPr>
      <w:r w:rsidRPr="00873C4C">
        <w:rPr>
          <w:color w:val="000000"/>
        </w:rPr>
        <w:t xml:space="preserve">2. </w:t>
      </w:r>
      <w:r w:rsidR="00E56CB7" w:rsidRPr="00873C4C">
        <w:rPr>
          <w:color w:val="000000"/>
        </w:rPr>
        <w:tab/>
      </w:r>
      <w:r w:rsidR="007069BF">
        <w:rPr>
          <w:color w:val="000000"/>
        </w:rPr>
        <w:t>The plate was i</w:t>
      </w:r>
      <w:r w:rsidRPr="00873C4C">
        <w:rPr>
          <w:color w:val="000000"/>
        </w:rPr>
        <w:t xml:space="preserve">ncubated for 1 hour at room temperature. </w:t>
      </w:r>
    </w:p>
    <w:p w:rsidR="002D284F" w:rsidRPr="00873C4C" w:rsidRDefault="002D284F" w:rsidP="00057B42">
      <w:pPr>
        <w:spacing w:line="360" w:lineRule="auto"/>
        <w:jc w:val="both"/>
        <w:rPr>
          <w:color w:val="000000"/>
        </w:rPr>
      </w:pPr>
      <w:r w:rsidRPr="00873C4C">
        <w:rPr>
          <w:color w:val="000000"/>
        </w:rPr>
        <w:t xml:space="preserve">3. </w:t>
      </w:r>
      <w:r w:rsidR="00E56CB7" w:rsidRPr="00873C4C">
        <w:rPr>
          <w:color w:val="000000"/>
        </w:rPr>
        <w:tab/>
      </w:r>
      <w:r w:rsidR="007069BF">
        <w:rPr>
          <w:color w:val="000000"/>
        </w:rPr>
        <w:t>The c</w:t>
      </w:r>
      <w:r w:rsidRPr="00873C4C">
        <w:rPr>
          <w:color w:val="000000"/>
        </w:rPr>
        <w:t>ontent</w:t>
      </w:r>
      <w:r w:rsidR="007069BF">
        <w:rPr>
          <w:color w:val="000000"/>
        </w:rPr>
        <w:t>s</w:t>
      </w:r>
      <w:r w:rsidRPr="00873C4C">
        <w:rPr>
          <w:color w:val="000000"/>
        </w:rPr>
        <w:t xml:space="preserve"> of the plate </w:t>
      </w:r>
      <w:r w:rsidR="007069BF">
        <w:rPr>
          <w:color w:val="000000"/>
        </w:rPr>
        <w:t>were</w:t>
      </w:r>
      <w:r w:rsidRPr="00873C4C">
        <w:rPr>
          <w:color w:val="000000"/>
        </w:rPr>
        <w:t xml:space="preserve"> discarded and the wells were washed five </w:t>
      </w:r>
      <w:r w:rsidR="004D56C5" w:rsidRPr="00873C4C">
        <w:rPr>
          <w:color w:val="000000"/>
        </w:rPr>
        <w:t>times with</w:t>
      </w:r>
      <w:r w:rsidRPr="00873C4C">
        <w:rPr>
          <w:color w:val="000000"/>
        </w:rPr>
        <w:t xml:space="preserve"> </w:t>
      </w:r>
      <w:r w:rsidR="004D56C5" w:rsidRPr="00873C4C">
        <w:rPr>
          <w:color w:val="000000"/>
        </w:rPr>
        <w:t>200</w:t>
      </w:r>
      <w:r w:rsidR="004D56C5">
        <w:rPr>
          <w:color w:val="000000"/>
        </w:rPr>
        <w:t xml:space="preserve"> </w:t>
      </w:r>
      <w:r w:rsidR="004D56C5" w:rsidRPr="00873C4C">
        <w:rPr>
          <w:color w:val="000000"/>
        </w:rPr>
        <w:t>μl</w:t>
      </w:r>
      <w:r w:rsidRPr="00873C4C">
        <w:rPr>
          <w:color w:val="000000"/>
        </w:rPr>
        <w:t xml:space="preserve"> of diluted wash buffer.</w:t>
      </w:r>
    </w:p>
    <w:p w:rsidR="002D284F" w:rsidRPr="00873C4C" w:rsidRDefault="002D284F" w:rsidP="00057B42">
      <w:pPr>
        <w:spacing w:line="360" w:lineRule="auto"/>
        <w:jc w:val="both"/>
        <w:rPr>
          <w:color w:val="000000"/>
        </w:rPr>
      </w:pPr>
      <w:r w:rsidRPr="00873C4C">
        <w:rPr>
          <w:color w:val="000000"/>
        </w:rPr>
        <w:t>4.</w:t>
      </w:r>
      <w:r w:rsidR="00E56CB7" w:rsidRPr="00873C4C">
        <w:rPr>
          <w:color w:val="000000"/>
        </w:rPr>
        <w:tab/>
      </w:r>
      <w:r w:rsidRPr="00873C4C">
        <w:rPr>
          <w:color w:val="000000"/>
        </w:rPr>
        <w:t xml:space="preserve"> 50 μl pre-diluted Streptavidin-Peroxidase</w:t>
      </w:r>
      <w:r w:rsidR="007069BF">
        <w:rPr>
          <w:color w:val="000000"/>
        </w:rPr>
        <w:t xml:space="preserve"> was added to the plate.</w:t>
      </w:r>
    </w:p>
    <w:p w:rsidR="002D284F" w:rsidRPr="00873C4C" w:rsidRDefault="002D284F" w:rsidP="00057B42">
      <w:pPr>
        <w:spacing w:line="360" w:lineRule="auto"/>
        <w:jc w:val="both"/>
        <w:rPr>
          <w:color w:val="000000"/>
        </w:rPr>
      </w:pPr>
      <w:r w:rsidRPr="00873C4C">
        <w:rPr>
          <w:color w:val="000000"/>
        </w:rPr>
        <w:t>5.</w:t>
      </w:r>
      <w:r w:rsidR="00E56CB7" w:rsidRPr="00873C4C">
        <w:rPr>
          <w:color w:val="000000"/>
        </w:rPr>
        <w:tab/>
      </w:r>
      <w:r w:rsidRPr="00873C4C">
        <w:rPr>
          <w:color w:val="000000"/>
        </w:rPr>
        <w:t xml:space="preserve"> The plate was incubated for 30 minutes shaking on a horizontal mixer at room </w:t>
      </w:r>
      <w:r w:rsidR="00E56CB7" w:rsidRPr="00873C4C">
        <w:rPr>
          <w:color w:val="000000"/>
        </w:rPr>
        <w:tab/>
      </w:r>
      <w:r w:rsidRPr="00873C4C">
        <w:rPr>
          <w:color w:val="000000"/>
        </w:rPr>
        <w:t>temperature.</w:t>
      </w:r>
    </w:p>
    <w:p w:rsidR="002D284F" w:rsidRPr="00873C4C" w:rsidRDefault="002D284F" w:rsidP="00057B42">
      <w:pPr>
        <w:spacing w:line="360" w:lineRule="auto"/>
        <w:jc w:val="both"/>
        <w:rPr>
          <w:color w:val="000000"/>
        </w:rPr>
      </w:pPr>
      <w:r w:rsidRPr="00873C4C">
        <w:rPr>
          <w:color w:val="000000"/>
        </w:rPr>
        <w:t xml:space="preserve">6. </w:t>
      </w:r>
      <w:r w:rsidR="00E56CB7" w:rsidRPr="00873C4C">
        <w:rPr>
          <w:color w:val="000000"/>
        </w:rPr>
        <w:tab/>
      </w:r>
      <w:r w:rsidRPr="00873C4C">
        <w:rPr>
          <w:color w:val="000000"/>
        </w:rPr>
        <w:t>The content of the plate was disc</w:t>
      </w:r>
      <w:r w:rsidR="007069BF">
        <w:rPr>
          <w:color w:val="000000"/>
        </w:rPr>
        <w:t>arded and the wells were washed</w:t>
      </w:r>
      <w:r w:rsidR="00E56CB7" w:rsidRPr="00873C4C">
        <w:rPr>
          <w:color w:val="000000"/>
        </w:rPr>
        <w:tab/>
      </w:r>
      <w:r w:rsidRPr="00873C4C">
        <w:rPr>
          <w:color w:val="000000"/>
        </w:rPr>
        <w:t xml:space="preserve">five times  with </w:t>
      </w:r>
      <w:r w:rsidR="004D56C5" w:rsidRPr="00873C4C">
        <w:rPr>
          <w:color w:val="000000"/>
        </w:rPr>
        <w:t>200</w:t>
      </w:r>
      <w:r w:rsidR="004D56C5">
        <w:rPr>
          <w:color w:val="000000"/>
        </w:rPr>
        <w:t xml:space="preserve"> </w:t>
      </w:r>
      <w:r w:rsidR="004D56C5" w:rsidRPr="00873C4C">
        <w:rPr>
          <w:color w:val="000000"/>
        </w:rPr>
        <w:t>μl</w:t>
      </w:r>
      <w:r w:rsidRPr="00873C4C">
        <w:rPr>
          <w:color w:val="000000"/>
        </w:rPr>
        <w:t xml:space="preserve"> diluted wash buffer.</w:t>
      </w:r>
    </w:p>
    <w:p w:rsidR="002D284F" w:rsidRPr="00873C4C" w:rsidRDefault="002D284F" w:rsidP="00057B42">
      <w:pPr>
        <w:spacing w:line="360" w:lineRule="auto"/>
        <w:jc w:val="both"/>
        <w:rPr>
          <w:color w:val="000000"/>
        </w:rPr>
      </w:pPr>
      <w:r w:rsidRPr="00873C4C">
        <w:rPr>
          <w:color w:val="000000"/>
        </w:rPr>
        <w:t xml:space="preserve">7. </w:t>
      </w:r>
      <w:r w:rsidR="00E56CB7" w:rsidRPr="00873C4C">
        <w:rPr>
          <w:color w:val="000000"/>
        </w:rPr>
        <w:tab/>
      </w:r>
      <w:r w:rsidRPr="00873C4C">
        <w:rPr>
          <w:color w:val="000000"/>
        </w:rPr>
        <w:t>To the plate 50 μl Chromogen Substrate was added.</w:t>
      </w:r>
    </w:p>
    <w:p w:rsidR="002D284F" w:rsidRPr="00873C4C" w:rsidRDefault="002D284F" w:rsidP="00057B42">
      <w:pPr>
        <w:spacing w:line="360" w:lineRule="auto"/>
        <w:jc w:val="both"/>
        <w:rPr>
          <w:color w:val="000000"/>
        </w:rPr>
      </w:pPr>
      <w:r w:rsidRPr="00873C4C">
        <w:rPr>
          <w:color w:val="000000"/>
        </w:rPr>
        <w:t xml:space="preserve">8. </w:t>
      </w:r>
      <w:r w:rsidR="00E56CB7" w:rsidRPr="00873C4C">
        <w:rPr>
          <w:color w:val="000000"/>
        </w:rPr>
        <w:tab/>
      </w:r>
      <w:r w:rsidRPr="00873C4C">
        <w:rPr>
          <w:color w:val="000000"/>
        </w:rPr>
        <w:t>Plate was incubated for 10-15 minutes at room temperature.</w:t>
      </w:r>
    </w:p>
    <w:p w:rsidR="002D284F" w:rsidRPr="00873C4C" w:rsidRDefault="002D284F" w:rsidP="00057B42">
      <w:pPr>
        <w:spacing w:line="360" w:lineRule="auto"/>
        <w:jc w:val="both"/>
        <w:rPr>
          <w:color w:val="000000"/>
        </w:rPr>
      </w:pPr>
      <w:r w:rsidRPr="00873C4C">
        <w:rPr>
          <w:color w:val="000000"/>
        </w:rPr>
        <w:t xml:space="preserve">9. </w:t>
      </w:r>
      <w:r w:rsidR="00E56CB7" w:rsidRPr="00873C4C">
        <w:rPr>
          <w:color w:val="000000"/>
        </w:rPr>
        <w:tab/>
      </w:r>
      <w:r w:rsidRPr="00873C4C">
        <w:rPr>
          <w:color w:val="000000"/>
        </w:rPr>
        <w:t>A 50 μl of STOP (stop solution) were added and mix shortly</w:t>
      </w:r>
      <w:r w:rsidR="002968BA">
        <w:rPr>
          <w:color w:val="000000"/>
        </w:rPr>
        <w:t xml:space="preserve">. </w:t>
      </w:r>
      <w:r w:rsidRPr="00873C4C">
        <w:rPr>
          <w:color w:val="000000"/>
        </w:rPr>
        <w:t xml:space="preserve">The </w:t>
      </w:r>
      <w:r w:rsidR="002968BA" w:rsidRPr="00873C4C">
        <w:rPr>
          <w:color w:val="000000"/>
        </w:rPr>
        <w:t>colours were</w:t>
      </w:r>
      <w:r w:rsidRPr="00873C4C">
        <w:rPr>
          <w:color w:val="000000"/>
        </w:rPr>
        <w:t xml:space="preserve"> changed from blue to yellow.</w:t>
      </w:r>
    </w:p>
    <w:p w:rsidR="002D284F" w:rsidRPr="00873C4C" w:rsidRDefault="002D284F" w:rsidP="00057B42">
      <w:pPr>
        <w:spacing w:line="360" w:lineRule="auto"/>
        <w:jc w:val="both"/>
        <w:rPr>
          <w:color w:val="000000"/>
        </w:rPr>
      </w:pPr>
      <w:r w:rsidRPr="00873C4C">
        <w:rPr>
          <w:color w:val="000000"/>
        </w:rPr>
        <w:t xml:space="preserve">10. </w:t>
      </w:r>
      <w:r w:rsidR="00E56CB7" w:rsidRPr="00873C4C">
        <w:rPr>
          <w:color w:val="000000"/>
        </w:rPr>
        <w:tab/>
      </w:r>
      <w:r w:rsidRPr="00873C4C">
        <w:rPr>
          <w:color w:val="000000"/>
        </w:rPr>
        <w:t>The optical density was measured by micro-plate reader at 450 nm</w:t>
      </w:r>
      <w:r w:rsidR="002968BA">
        <w:rPr>
          <w:color w:val="000000"/>
        </w:rPr>
        <w:t xml:space="preserve"> </w:t>
      </w:r>
      <w:r w:rsidRPr="00873C4C">
        <w:rPr>
          <w:color w:val="000000"/>
        </w:rPr>
        <w:t>against 620 nm (or 690 nm) as reference.</w:t>
      </w:r>
      <w:r w:rsidR="002968BA">
        <w:rPr>
          <w:color w:val="000000"/>
        </w:rPr>
        <w:t xml:space="preserve"> </w:t>
      </w:r>
      <w:r w:rsidRPr="00873C4C">
        <w:rPr>
          <w:color w:val="000000"/>
        </w:rPr>
        <w:t xml:space="preserve">The concentration of protein in the serum samples were determined by comparing the optical density of the </w:t>
      </w:r>
      <w:r w:rsidR="002968BA">
        <w:rPr>
          <w:color w:val="000000"/>
        </w:rPr>
        <w:t xml:space="preserve">serum </w:t>
      </w:r>
      <w:r w:rsidRPr="00873C4C">
        <w:rPr>
          <w:color w:val="000000"/>
        </w:rPr>
        <w:t>samples against</w:t>
      </w:r>
      <w:r w:rsidR="002968BA">
        <w:rPr>
          <w:color w:val="000000"/>
        </w:rPr>
        <w:t xml:space="preserve"> the </w:t>
      </w:r>
      <w:r w:rsidRPr="00873C4C">
        <w:rPr>
          <w:color w:val="000000"/>
        </w:rPr>
        <w:t xml:space="preserve">standard curve provided by the kit.  </w:t>
      </w:r>
    </w:p>
    <w:p w:rsidR="00BD5286" w:rsidRDefault="00BD5286" w:rsidP="00645687">
      <w:pPr>
        <w:pStyle w:val="Heading3"/>
      </w:pPr>
      <w:r w:rsidRPr="00873C4C">
        <w:br w:type="page"/>
      </w:r>
      <w:r w:rsidR="00E56CB7" w:rsidRPr="00873C4C">
        <w:lastRenderedPageBreak/>
        <w:tab/>
      </w:r>
      <w:bookmarkStart w:id="825" w:name="_Toc306570632"/>
      <w:bookmarkStart w:id="826" w:name="_Toc307067697"/>
      <w:bookmarkStart w:id="827" w:name="_Toc312169271"/>
      <w:bookmarkStart w:id="828" w:name="_Toc312172198"/>
      <w:bookmarkStart w:id="829" w:name="_Toc312257747"/>
      <w:r w:rsidRPr="00873C4C">
        <w:t>Quantification of thalidomide level in serum</w:t>
      </w:r>
      <w:bookmarkEnd w:id="825"/>
      <w:bookmarkEnd w:id="826"/>
      <w:bookmarkEnd w:id="827"/>
      <w:bookmarkEnd w:id="828"/>
      <w:bookmarkEnd w:id="829"/>
    </w:p>
    <w:p w:rsidR="00BD5286" w:rsidRPr="002C3EA9" w:rsidRDefault="002968BA" w:rsidP="00645687">
      <w:pPr>
        <w:pStyle w:val="Heading4"/>
      </w:pPr>
      <w:bookmarkStart w:id="830" w:name="_Toc306570633"/>
      <w:bookmarkStart w:id="831" w:name="_Toc307067698"/>
      <w:bookmarkStart w:id="832" w:name="_Toc312169272"/>
      <w:bookmarkStart w:id="833" w:name="_Toc312172199"/>
      <w:bookmarkStart w:id="834" w:name="_Toc312257748"/>
      <w:r>
        <w:t>S</w:t>
      </w:r>
      <w:r w:rsidR="00BD5286" w:rsidRPr="002C3EA9">
        <w:t>erum sample</w:t>
      </w:r>
      <w:r>
        <w:t xml:space="preserve"> p</w:t>
      </w:r>
      <w:r w:rsidRPr="002C3EA9">
        <w:t>reparation</w:t>
      </w:r>
      <w:r w:rsidR="009A376D">
        <w:t xml:space="preserve"> for</w:t>
      </w:r>
      <w:r w:rsidR="00BD5286" w:rsidRPr="002C3EA9">
        <w:t xml:space="preserve"> thalidomide level analysis</w:t>
      </w:r>
      <w:bookmarkEnd w:id="830"/>
      <w:bookmarkEnd w:id="831"/>
      <w:bookmarkEnd w:id="832"/>
      <w:bookmarkEnd w:id="833"/>
      <w:bookmarkEnd w:id="834"/>
    </w:p>
    <w:p w:rsidR="00BD5286" w:rsidRDefault="00BD5286" w:rsidP="00223103">
      <w:pPr>
        <w:spacing w:before="240" w:line="360" w:lineRule="auto"/>
        <w:jc w:val="both"/>
        <w:rPr>
          <w:color w:val="000000"/>
        </w:rPr>
      </w:pPr>
      <w:r w:rsidRPr="00873C4C">
        <w:rPr>
          <w:color w:val="000000"/>
        </w:rPr>
        <w:t xml:space="preserve">The blood sample from consenting patients were collected to generate a sample bank from patients who </w:t>
      </w:r>
      <w:r w:rsidR="007069BF">
        <w:rPr>
          <w:color w:val="000000"/>
        </w:rPr>
        <w:t xml:space="preserve">were </w:t>
      </w:r>
      <w:r w:rsidRPr="00873C4C">
        <w:rPr>
          <w:color w:val="000000"/>
        </w:rPr>
        <w:t>experiencing side effect related to thalidomide requiring dose reduction and from patients who do not require dose reduction. All the blood samples were collected from consented patients 12 hours after ingesting thalidomide</w:t>
      </w:r>
      <w:r w:rsidR="00223103">
        <w:rPr>
          <w:color w:val="000000"/>
        </w:rPr>
        <w:t>.</w:t>
      </w:r>
    </w:p>
    <w:p w:rsidR="00BD5286" w:rsidRDefault="00BD5286" w:rsidP="00645687">
      <w:pPr>
        <w:pStyle w:val="Heading4"/>
      </w:pPr>
      <w:bookmarkStart w:id="835" w:name="_Toc306570634"/>
      <w:bookmarkStart w:id="836" w:name="_Toc307067699"/>
      <w:bookmarkStart w:id="837" w:name="_Toc312169273"/>
      <w:bookmarkStart w:id="838" w:name="_Toc312172200"/>
      <w:bookmarkStart w:id="839" w:name="_Toc312257749"/>
      <w:r w:rsidRPr="002C3EA9">
        <w:t>Sample handling collection</w:t>
      </w:r>
      <w:bookmarkEnd w:id="835"/>
      <w:bookmarkEnd w:id="836"/>
      <w:bookmarkEnd w:id="837"/>
      <w:bookmarkEnd w:id="838"/>
      <w:bookmarkEnd w:id="839"/>
    </w:p>
    <w:p w:rsidR="00BD5286" w:rsidRDefault="00223103" w:rsidP="00223103">
      <w:pPr>
        <w:spacing w:before="240" w:line="360" w:lineRule="auto"/>
        <w:jc w:val="both"/>
        <w:rPr>
          <w:color w:val="000000"/>
        </w:rPr>
      </w:pPr>
      <w:r>
        <w:rPr>
          <w:color w:val="000000"/>
        </w:rPr>
        <w:t xml:space="preserve">A blood sample of 10 mL </w:t>
      </w:r>
      <w:r w:rsidR="00BD5286" w:rsidRPr="00873C4C">
        <w:rPr>
          <w:color w:val="000000"/>
        </w:rPr>
        <w:t>was collected in additive free blood tubes and the blood</w:t>
      </w:r>
      <w:r>
        <w:rPr>
          <w:color w:val="000000"/>
        </w:rPr>
        <w:t xml:space="preserve"> </w:t>
      </w:r>
      <w:r w:rsidR="00BD5286" w:rsidRPr="00873C4C">
        <w:rPr>
          <w:color w:val="000000"/>
        </w:rPr>
        <w:t>was allowed to clot for 30 minutes to 1 hour. The clinical specimens were then</w:t>
      </w:r>
      <w:r w:rsidR="00301D33">
        <w:rPr>
          <w:color w:val="000000"/>
        </w:rPr>
        <w:t xml:space="preserve"> </w:t>
      </w:r>
      <w:r w:rsidR="00BD5286" w:rsidRPr="00873C4C">
        <w:rPr>
          <w:color w:val="000000"/>
        </w:rPr>
        <w:t>transported from the Mater Hospital to NICB. All blood samples were collected under</w:t>
      </w:r>
      <w:r w:rsidR="00301D33">
        <w:rPr>
          <w:color w:val="000000"/>
        </w:rPr>
        <w:t xml:space="preserve"> </w:t>
      </w:r>
      <w:r w:rsidR="00BD5286" w:rsidRPr="00873C4C">
        <w:rPr>
          <w:color w:val="000000"/>
        </w:rPr>
        <w:t>the full ethical approval of the hospital Ethics committee. In the lab, the non-clotted</w:t>
      </w:r>
      <w:r w:rsidR="00301D33">
        <w:rPr>
          <w:color w:val="000000"/>
        </w:rPr>
        <w:t xml:space="preserve"> </w:t>
      </w:r>
      <w:r w:rsidR="00BD5286" w:rsidRPr="00873C4C">
        <w:rPr>
          <w:color w:val="000000"/>
        </w:rPr>
        <w:t xml:space="preserve">serum was transferred into a </w:t>
      </w:r>
      <w:r w:rsidR="004D56C5" w:rsidRPr="00873C4C">
        <w:rPr>
          <w:color w:val="000000"/>
        </w:rPr>
        <w:t>15</w:t>
      </w:r>
      <w:r w:rsidR="00E270F7">
        <w:rPr>
          <w:color w:val="000000"/>
        </w:rPr>
        <w:t xml:space="preserve"> </w:t>
      </w:r>
      <w:r w:rsidR="004D56C5" w:rsidRPr="00873C4C">
        <w:rPr>
          <w:color w:val="000000"/>
        </w:rPr>
        <w:t>ml</w:t>
      </w:r>
      <w:r w:rsidR="00BD5286" w:rsidRPr="00873C4C">
        <w:rPr>
          <w:color w:val="000000"/>
        </w:rPr>
        <w:t xml:space="preserve"> Falcon tube and spun down @</w:t>
      </w:r>
      <w:r w:rsidR="004D56C5" w:rsidRPr="00873C4C">
        <w:rPr>
          <w:color w:val="000000"/>
        </w:rPr>
        <w:t>400xG</w:t>
      </w:r>
      <w:r w:rsidR="00BD5286" w:rsidRPr="00873C4C">
        <w:rPr>
          <w:color w:val="000000"/>
        </w:rPr>
        <w:t xml:space="preserve">, </w:t>
      </w:r>
      <w:r w:rsidR="004D56C5" w:rsidRPr="00873C4C">
        <w:rPr>
          <w:color w:val="000000"/>
        </w:rPr>
        <w:t>30 minutes</w:t>
      </w:r>
      <w:r w:rsidR="00BD5286" w:rsidRPr="00873C4C">
        <w:rPr>
          <w:color w:val="000000"/>
        </w:rPr>
        <w:t xml:space="preserve"> at 4°C.</w:t>
      </w:r>
      <w:r w:rsidR="00301D33">
        <w:rPr>
          <w:color w:val="000000"/>
        </w:rPr>
        <w:t xml:space="preserve"> </w:t>
      </w:r>
      <w:r w:rsidR="00BD5286" w:rsidRPr="00873C4C">
        <w:rPr>
          <w:color w:val="000000"/>
        </w:rPr>
        <w:t xml:space="preserve">The frozen </w:t>
      </w:r>
      <w:r w:rsidR="004D56C5" w:rsidRPr="00873C4C">
        <w:rPr>
          <w:color w:val="000000"/>
        </w:rPr>
        <w:t>citrate was</w:t>
      </w:r>
      <w:r w:rsidR="00BD5286" w:rsidRPr="00873C4C">
        <w:rPr>
          <w:color w:val="000000"/>
        </w:rPr>
        <w:t xml:space="preserve"> allowed to thaw, either over time or by warming briefly in a water bath. One ml of citrate buffer pH 1.5 </w:t>
      </w:r>
      <w:r w:rsidR="004D56C5" w:rsidRPr="00873C4C">
        <w:rPr>
          <w:color w:val="000000"/>
        </w:rPr>
        <w:t>was</w:t>
      </w:r>
      <w:r w:rsidR="00BD5286" w:rsidRPr="00873C4C">
        <w:rPr>
          <w:color w:val="000000"/>
        </w:rPr>
        <w:t xml:space="preserve"> placed into labelled poly propylene. 1ml of serum sample </w:t>
      </w:r>
      <w:r w:rsidR="004D56C5" w:rsidRPr="00873C4C">
        <w:rPr>
          <w:color w:val="000000"/>
        </w:rPr>
        <w:t>was</w:t>
      </w:r>
      <w:r w:rsidR="00BD5286" w:rsidRPr="00873C4C">
        <w:rPr>
          <w:color w:val="000000"/>
        </w:rPr>
        <w:t xml:space="preserve"> mixed with 1 ml of 1 ml of citrate buffer pH 1. This will provide </w:t>
      </w:r>
      <w:r w:rsidR="004D56C5" w:rsidRPr="00873C4C">
        <w:rPr>
          <w:color w:val="000000"/>
        </w:rPr>
        <w:t>2</w:t>
      </w:r>
      <w:r w:rsidR="00E270F7">
        <w:rPr>
          <w:color w:val="000000"/>
        </w:rPr>
        <w:t xml:space="preserve"> </w:t>
      </w:r>
      <w:r w:rsidR="004D56C5" w:rsidRPr="00873C4C">
        <w:rPr>
          <w:color w:val="000000"/>
        </w:rPr>
        <w:t>ml</w:t>
      </w:r>
      <w:r w:rsidR="00BD5286" w:rsidRPr="00873C4C">
        <w:rPr>
          <w:color w:val="000000"/>
        </w:rPr>
        <w:t xml:space="preserve"> of solution in total. Samples are then to be stored in the -</w:t>
      </w:r>
      <w:r w:rsidR="004D56C5" w:rsidRPr="00873C4C">
        <w:rPr>
          <w:color w:val="000000"/>
        </w:rPr>
        <w:t>80°C</w:t>
      </w:r>
      <w:r w:rsidR="00BD5286" w:rsidRPr="00873C4C">
        <w:rPr>
          <w:color w:val="000000"/>
        </w:rPr>
        <w:t xml:space="preserve"> freezer for further analysis. </w:t>
      </w:r>
    </w:p>
    <w:p w:rsidR="00BD5286" w:rsidRPr="00873C4C" w:rsidRDefault="00BD5286" w:rsidP="00645687">
      <w:pPr>
        <w:pStyle w:val="Heading4"/>
      </w:pPr>
      <w:bookmarkStart w:id="840" w:name="_Toc306570635"/>
      <w:bookmarkStart w:id="841" w:name="_Toc307067700"/>
      <w:bookmarkStart w:id="842" w:name="_Toc312169274"/>
      <w:bookmarkStart w:id="843" w:name="_Toc312172201"/>
      <w:bookmarkStart w:id="844" w:name="_Toc312257750"/>
      <w:r w:rsidRPr="00873C4C">
        <w:t>Safe handling of cytotoxic drugs</w:t>
      </w:r>
      <w:bookmarkEnd w:id="840"/>
      <w:bookmarkEnd w:id="841"/>
      <w:bookmarkEnd w:id="842"/>
      <w:bookmarkEnd w:id="843"/>
      <w:bookmarkEnd w:id="844"/>
    </w:p>
    <w:p w:rsidR="00BD5286" w:rsidRDefault="00BD5286" w:rsidP="00223103">
      <w:pPr>
        <w:spacing w:before="240" w:line="360" w:lineRule="auto"/>
        <w:jc w:val="both"/>
        <w:rPr>
          <w:color w:val="000000"/>
        </w:rPr>
      </w:pPr>
      <w:r w:rsidRPr="00873C4C">
        <w:rPr>
          <w:color w:val="000000"/>
        </w:rPr>
        <w:t>Cytotoxic drugs were handled with extreme caution at all times in the laboratory, due to</w:t>
      </w:r>
      <w:r w:rsidR="00F15DB0">
        <w:rPr>
          <w:color w:val="000000"/>
        </w:rPr>
        <w:t xml:space="preserve"> </w:t>
      </w:r>
      <w:r w:rsidRPr="00873C4C">
        <w:rPr>
          <w:color w:val="000000"/>
        </w:rPr>
        <w:t>the potential risks in handling them. Disposable nitride gloves were worn at all times</w:t>
      </w:r>
      <w:r w:rsidR="00301D33">
        <w:rPr>
          <w:color w:val="000000"/>
        </w:rPr>
        <w:t xml:space="preserve"> </w:t>
      </w:r>
      <w:r w:rsidRPr="00873C4C">
        <w:rPr>
          <w:color w:val="000000"/>
        </w:rPr>
        <w:t>and all work was carried out in cytotoxic cabinets. All drugs were stored in a safety</w:t>
      </w:r>
      <w:r w:rsidR="00301D33">
        <w:rPr>
          <w:color w:val="000000"/>
        </w:rPr>
        <w:t xml:space="preserve"> </w:t>
      </w:r>
      <w:r w:rsidRPr="00873C4C">
        <w:rPr>
          <w:color w:val="000000"/>
        </w:rPr>
        <w:t>cabinet at room temperature or in designated areas at 4°C. All agents were disposed of</w:t>
      </w:r>
      <w:r w:rsidR="00F15DB0">
        <w:rPr>
          <w:color w:val="000000"/>
        </w:rPr>
        <w:t xml:space="preserve"> </w:t>
      </w:r>
      <w:r w:rsidRPr="00873C4C">
        <w:rPr>
          <w:color w:val="000000"/>
        </w:rPr>
        <w:t>by incineration</w:t>
      </w:r>
      <w:r w:rsidR="00424953">
        <w:rPr>
          <w:color w:val="000000"/>
        </w:rPr>
        <w:t>.</w:t>
      </w:r>
    </w:p>
    <w:p w:rsidR="00BD5286" w:rsidRPr="00873C4C" w:rsidRDefault="00BD5286" w:rsidP="00645687">
      <w:pPr>
        <w:pStyle w:val="Heading4"/>
      </w:pPr>
      <w:bookmarkStart w:id="845" w:name="_Toc306570636"/>
      <w:bookmarkStart w:id="846" w:name="_Toc307067701"/>
      <w:bookmarkStart w:id="847" w:name="_Toc312169275"/>
      <w:bookmarkStart w:id="848" w:name="_Toc312172202"/>
      <w:bookmarkStart w:id="849" w:name="_Toc312257751"/>
      <w:r w:rsidRPr="00873C4C">
        <w:t>Liquid-liquid extraction procedure</w:t>
      </w:r>
      <w:bookmarkEnd w:id="845"/>
      <w:bookmarkEnd w:id="846"/>
      <w:bookmarkEnd w:id="847"/>
      <w:bookmarkEnd w:id="848"/>
      <w:bookmarkEnd w:id="849"/>
    </w:p>
    <w:p w:rsidR="0012204A" w:rsidRPr="0012204A" w:rsidRDefault="00BD5286" w:rsidP="0012204A">
      <w:pPr>
        <w:spacing w:before="240" w:line="360" w:lineRule="auto"/>
        <w:jc w:val="both"/>
        <w:rPr>
          <w:color w:val="000000"/>
        </w:rPr>
      </w:pPr>
      <w:r w:rsidRPr="00873C4C">
        <w:rPr>
          <w:color w:val="000000"/>
        </w:rPr>
        <w:t>A 200</w:t>
      </w:r>
      <w:r w:rsidR="00D10C8B">
        <w:rPr>
          <w:color w:val="000000"/>
        </w:rPr>
        <w:t xml:space="preserve"> </w:t>
      </w:r>
      <w:r w:rsidRPr="00873C4C">
        <w:rPr>
          <w:color w:val="000000"/>
        </w:rPr>
        <w:t>μL aliquot of sample (serum: citrate 1:1, v/v) was added to a polypropylene</w:t>
      </w:r>
      <w:r w:rsidR="002C3EA9" w:rsidRPr="00873C4C">
        <w:rPr>
          <w:color w:val="000000"/>
        </w:rPr>
        <w:t xml:space="preserve"> </w:t>
      </w:r>
      <w:r w:rsidRPr="00873C4C">
        <w:rPr>
          <w:color w:val="000000"/>
        </w:rPr>
        <w:t>extraction tube. To this, 50</w:t>
      </w:r>
      <w:r w:rsidR="00D10C8B">
        <w:rPr>
          <w:color w:val="000000"/>
        </w:rPr>
        <w:t xml:space="preserve"> </w:t>
      </w:r>
      <w:r w:rsidRPr="00873C4C">
        <w:rPr>
          <w:color w:val="000000"/>
        </w:rPr>
        <w:t>μL of internal standard (600</w:t>
      </w:r>
      <w:r w:rsidR="00D10C8B">
        <w:rPr>
          <w:color w:val="000000"/>
        </w:rPr>
        <w:t xml:space="preserve"> </w:t>
      </w:r>
      <w:r w:rsidRPr="00873C4C">
        <w:rPr>
          <w:color w:val="000000"/>
        </w:rPr>
        <w:t>ng/mL umbelliferone) was</w:t>
      </w:r>
      <w:r w:rsidR="002C3EA9" w:rsidRPr="00873C4C">
        <w:rPr>
          <w:color w:val="000000"/>
        </w:rPr>
        <w:t xml:space="preserve"> </w:t>
      </w:r>
      <w:r w:rsidRPr="00873C4C">
        <w:rPr>
          <w:color w:val="000000"/>
        </w:rPr>
        <w:t>added, along with 50</w:t>
      </w:r>
      <w:r w:rsidR="00D10C8B">
        <w:rPr>
          <w:color w:val="000000"/>
        </w:rPr>
        <w:t xml:space="preserve"> </w:t>
      </w:r>
      <w:r w:rsidRPr="00873C4C">
        <w:rPr>
          <w:color w:val="000000"/>
        </w:rPr>
        <w:t xml:space="preserve">μL of acetonitrile and </w:t>
      </w:r>
      <w:r w:rsidR="004D56C5" w:rsidRPr="00873C4C">
        <w:rPr>
          <w:color w:val="000000"/>
        </w:rPr>
        <w:t>2ml</w:t>
      </w:r>
      <w:r w:rsidRPr="00873C4C">
        <w:rPr>
          <w:color w:val="000000"/>
        </w:rPr>
        <w:t xml:space="preserve"> of extraction solvent (ethyl</w:t>
      </w:r>
      <w:r w:rsidR="002C3EA9" w:rsidRPr="00873C4C">
        <w:rPr>
          <w:color w:val="000000"/>
        </w:rPr>
        <w:t xml:space="preserve"> </w:t>
      </w:r>
      <w:r w:rsidRPr="00873C4C">
        <w:rPr>
          <w:color w:val="000000"/>
        </w:rPr>
        <w:t>acetate/ACN, 3:1, v/v). The extraction tubes were vortexed and mixed on a blood tube</w:t>
      </w:r>
      <w:r w:rsidR="002C3EA9" w:rsidRPr="00873C4C">
        <w:rPr>
          <w:color w:val="000000"/>
        </w:rPr>
        <w:t xml:space="preserve"> </w:t>
      </w:r>
      <w:r w:rsidRPr="00873C4C">
        <w:rPr>
          <w:color w:val="000000"/>
        </w:rPr>
        <w:t xml:space="preserve">mixer for 5 minutes. The samples were centrifuged at </w:t>
      </w:r>
      <w:r w:rsidR="004D56C5">
        <w:rPr>
          <w:color w:val="000000"/>
        </w:rPr>
        <w:t>3200xG</w:t>
      </w:r>
      <w:r w:rsidRPr="00873C4C">
        <w:rPr>
          <w:color w:val="000000"/>
        </w:rPr>
        <w:t xml:space="preserve"> for 5 minutes. </w:t>
      </w:r>
      <w:r w:rsidRPr="00873C4C">
        <w:rPr>
          <w:color w:val="000000"/>
        </w:rPr>
        <w:lastRenderedPageBreak/>
        <w:t xml:space="preserve">The </w:t>
      </w:r>
      <w:r w:rsidR="004D56C5">
        <w:rPr>
          <w:color w:val="000000"/>
        </w:rPr>
        <w:t>1.1ml</w:t>
      </w:r>
      <w:r w:rsidR="002C3EA9" w:rsidRPr="00873C4C">
        <w:rPr>
          <w:color w:val="000000"/>
        </w:rPr>
        <w:t xml:space="preserve"> </w:t>
      </w:r>
      <w:r w:rsidRPr="00873C4C">
        <w:rPr>
          <w:color w:val="000000"/>
        </w:rPr>
        <w:t>of the organic layer was removed with a glass pasteur pipette and transferred to a</w:t>
      </w:r>
      <w:r w:rsidR="002C3EA9" w:rsidRPr="00873C4C">
        <w:rPr>
          <w:color w:val="000000"/>
        </w:rPr>
        <w:t xml:space="preserve"> </w:t>
      </w:r>
      <w:r w:rsidRPr="00873C4C">
        <w:rPr>
          <w:color w:val="000000"/>
        </w:rPr>
        <w:t xml:space="preserve">conical bottomed glass LC </w:t>
      </w:r>
      <w:r w:rsidR="004D56C5" w:rsidRPr="00873C4C">
        <w:rPr>
          <w:color w:val="000000"/>
        </w:rPr>
        <w:t>auto sampler</w:t>
      </w:r>
      <w:r w:rsidRPr="00873C4C">
        <w:rPr>
          <w:color w:val="000000"/>
        </w:rPr>
        <w:t xml:space="preserve"> vial (Chromacol). The vials were evaporated to</w:t>
      </w:r>
      <w:r w:rsidR="002C3EA9" w:rsidRPr="00873C4C">
        <w:rPr>
          <w:color w:val="000000"/>
        </w:rPr>
        <w:t xml:space="preserve"> </w:t>
      </w:r>
      <w:r w:rsidRPr="00873C4C">
        <w:rPr>
          <w:color w:val="000000"/>
        </w:rPr>
        <w:t>dryness using a Genevac EZ-2 (Ipswich, UK) evaporator at ambient temperature,</w:t>
      </w:r>
      <w:r w:rsidR="002C3EA9" w:rsidRPr="00873C4C">
        <w:rPr>
          <w:color w:val="000000"/>
        </w:rPr>
        <w:t xml:space="preserve"> </w:t>
      </w:r>
      <w:r w:rsidRPr="00873C4C">
        <w:rPr>
          <w:color w:val="000000"/>
        </w:rPr>
        <w:t>without light. The samples were reconstituted in 50</w:t>
      </w:r>
      <w:r w:rsidR="00D10C8B">
        <w:rPr>
          <w:color w:val="000000"/>
        </w:rPr>
        <w:t xml:space="preserve"> </w:t>
      </w:r>
      <w:r w:rsidRPr="00873C4C">
        <w:rPr>
          <w:color w:val="000000"/>
        </w:rPr>
        <w:t>μL of mobile phase. Two injections</w:t>
      </w:r>
      <w:r w:rsidR="002C3EA9" w:rsidRPr="00873C4C">
        <w:rPr>
          <w:color w:val="000000"/>
        </w:rPr>
        <w:t xml:space="preserve"> </w:t>
      </w:r>
      <w:r w:rsidRPr="00873C4C">
        <w:rPr>
          <w:color w:val="000000"/>
        </w:rPr>
        <w:t>of 20</w:t>
      </w:r>
      <w:r w:rsidR="00D10C8B">
        <w:rPr>
          <w:color w:val="000000"/>
        </w:rPr>
        <w:t xml:space="preserve"> </w:t>
      </w:r>
      <w:r w:rsidRPr="00873C4C">
        <w:rPr>
          <w:color w:val="000000"/>
        </w:rPr>
        <w:t>μL were injected automatically by the auto</w:t>
      </w:r>
      <w:r w:rsidR="0012204A">
        <w:rPr>
          <w:color w:val="000000"/>
        </w:rPr>
        <w:t xml:space="preserve"> </w:t>
      </w:r>
      <w:r w:rsidRPr="00873C4C">
        <w:rPr>
          <w:color w:val="000000"/>
        </w:rPr>
        <w:t>sampler</w:t>
      </w:r>
      <w:r w:rsidR="0012204A">
        <w:rPr>
          <w:color w:val="000000"/>
        </w:rPr>
        <w:t xml:space="preserve">. </w:t>
      </w:r>
      <w:r w:rsidR="0094376A" w:rsidRPr="00873C4C">
        <w:rPr>
          <w:color w:val="000000"/>
        </w:rPr>
        <w:t>This analysis was performed by Sandra Roche</w:t>
      </w:r>
      <w:r w:rsidR="0012204A">
        <w:rPr>
          <w:color w:val="000000"/>
        </w:rPr>
        <w:t xml:space="preserve"> (</w:t>
      </w:r>
      <w:r w:rsidR="0012204A">
        <w:t>Roche et al., 2011).</w:t>
      </w:r>
    </w:p>
    <w:p w:rsidR="00BD5286" w:rsidRDefault="00BD5286" w:rsidP="00057B42">
      <w:pPr>
        <w:spacing w:line="360" w:lineRule="auto"/>
        <w:jc w:val="both"/>
        <w:rPr>
          <w:color w:val="000000"/>
        </w:rPr>
      </w:pPr>
    </w:p>
    <w:p w:rsidR="00F15DB0" w:rsidRPr="00873C4C" w:rsidRDefault="00F15DB0" w:rsidP="00057B42">
      <w:pPr>
        <w:spacing w:line="360" w:lineRule="auto"/>
        <w:jc w:val="both"/>
        <w:rPr>
          <w:color w:val="000000"/>
        </w:rPr>
      </w:pPr>
    </w:p>
    <w:p w:rsidR="00BD5286" w:rsidRPr="00873C4C" w:rsidRDefault="00BD5286" w:rsidP="00645687">
      <w:pPr>
        <w:pStyle w:val="Heading4"/>
      </w:pPr>
      <w:bookmarkStart w:id="850" w:name="_Toc306570637"/>
      <w:bookmarkStart w:id="851" w:name="_Toc307067702"/>
      <w:bookmarkStart w:id="852" w:name="_Toc312169276"/>
      <w:bookmarkStart w:id="853" w:name="_Toc312172203"/>
      <w:bookmarkStart w:id="854" w:name="_Toc312257752"/>
      <w:r w:rsidRPr="00873C4C">
        <w:t>Chroma</w:t>
      </w:r>
      <w:r w:rsidR="007919B7">
        <w:t>tographic and mass spectrometry</w:t>
      </w:r>
      <w:r w:rsidRPr="00873C4C">
        <w:t xml:space="preserve"> conditions</w:t>
      </w:r>
      <w:bookmarkEnd w:id="850"/>
      <w:bookmarkEnd w:id="851"/>
      <w:bookmarkEnd w:id="852"/>
      <w:bookmarkEnd w:id="853"/>
      <w:bookmarkEnd w:id="854"/>
    </w:p>
    <w:p w:rsidR="00F15DB0" w:rsidRDefault="00BD5286" w:rsidP="00CC237F">
      <w:pPr>
        <w:spacing w:before="240" w:line="360" w:lineRule="auto"/>
        <w:jc w:val="both"/>
        <w:rPr>
          <w:color w:val="000000"/>
        </w:rPr>
      </w:pPr>
      <w:r w:rsidRPr="00873C4C">
        <w:rPr>
          <w:color w:val="000000"/>
        </w:rPr>
        <w:t>Chromatographic separation was achieved using a Prodigy C18 column (150</w:t>
      </w:r>
      <w:r w:rsidR="00D10C8B">
        <w:rPr>
          <w:color w:val="000000"/>
        </w:rPr>
        <w:t xml:space="preserve"> </w:t>
      </w:r>
      <w:r w:rsidRPr="00873C4C">
        <w:rPr>
          <w:color w:val="000000"/>
        </w:rPr>
        <w:t>mm</w:t>
      </w:r>
      <w:r w:rsidR="00D10C8B">
        <w:rPr>
          <w:color w:val="000000"/>
        </w:rPr>
        <w:t xml:space="preserve"> </w:t>
      </w:r>
      <w:r w:rsidRPr="00873C4C">
        <w:rPr>
          <w:color w:val="000000"/>
        </w:rPr>
        <w:t>×</w:t>
      </w:r>
      <w:r w:rsidR="00D10C8B">
        <w:rPr>
          <w:color w:val="000000"/>
        </w:rPr>
        <w:t xml:space="preserve"> </w:t>
      </w:r>
      <w:r w:rsidRPr="00873C4C">
        <w:rPr>
          <w:color w:val="000000"/>
        </w:rPr>
        <w:t>4.0</w:t>
      </w:r>
      <w:r w:rsidR="00D10C8B">
        <w:rPr>
          <w:color w:val="000000"/>
        </w:rPr>
        <w:t xml:space="preserve"> </w:t>
      </w:r>
      <w:r w:rsidRPr="00873C4C">
        <w:rPr>
          <w:color w:val="000000"/>
        </w:rPr>
        <w:t>mm i.d., 5μm particle size) with a SecurityGuard C18 guard column</w:t>
      </w:r>
      <w:r w:rsidR="00D10C8B">
        <w:rPr>
          <w:color w:val="000000"/>
        </w:rPr>
        <w:t xml:space="preserve"> </w:t>
      </w:r>
      <w:r w:rsidRPr="00873C4C">
        <w:rPr>
          <w:color w:val="000000"/>
        </w:rPr>
        <w:t>(4</w:t>
      </w:r>
      <w:r w:rsidR="00D10C8B">
        <w:rPr>
          <w:color w:val="000000"/>
        </w:rPr>
        <w:t xml:space="preserve"> </w:t>
      </w:r>
      <w:r w:rsidRPr="00873C4C">
        <w:rPr>
          <w:color w:val="000000"/>
        </w:rPr>
        <w:t>mm</w:t>
      </w:r>
      <w:r w:rsidR="00D10C8B">
        <w:rPr>
          <w:color w:val="000000"/>
        </w:rPr>
        <w:t xml:space="preserve"> </w:t>
      </w:r>
      <w:r w:rsidRPr="00873C4C">
        <w:rPr>
          <w:color w:val="000000"/>
        </w:rPr>
        <w:t>×</w:t>
      </w:r>
      <w:r w:rsidR="00D10C8B">
        <w:rPr>
          <w:color w:val="000000"/>
        </w:rPr>
        <w:t xml:space="preserve"> </w:t>
      </w:r>
      <w:r w:rsidRPr="00873C4C">
        <w:rPr>
          <w:color w:val="000000"/>
        </w:rPr>
        <w:t>3.0</w:t>
      </w:r>
      <w:r w:rsidR="00D10C8B">
        <w:rPr>
          <w:color w:val="000000"/>
        </w:rPr>
        <w:t xml:space="preserve"> </w:t>
      </w:r>
      <w:r w:rsidRPr="00873C4C">
        <w:rPr>
          <w:color w:val="000000"/>
        </w:rPr>
        <w:t xml:space="preserve">mm i.d.) both from Phenomenex, UK. A mixture of acetonitrile: water (30:70, v/v) 0.1% formic acid was used as mobile phase, at a flow rate of </w:t>
      </w:r>
      <w:r w:rsidR="004D56C5">
        <w:rPr>
          <w:color w:val="000000"/>
        </w:rPr>
        <w:t>0.5 ml</w:t>
      </w:r>
      <w:r w:rsidRPr="00873C4C">
        <w:rPr>
          <w:color w:val="000000"/>
        </w:rPr>
        <w:t>/min. The column temperature was maintained at 20°C and the temperature of the</w:t>
      </w:r>
      <w:r w:rsidR="00F15DB0">
        <w:rPr>
          <w:color w:val="000000"/>
        </w:rPr>
        <w:t xml:space="preserve"> </w:t>
      </w:r>
      <w:r w:rsidRPr="00873C4C">
        <w:rPr>
          <w:color w:val="000000"/>
        </w:rPr>
        <w:t>autosampler was maintained at 4°C</w:t>
      </w:r>
      <w:r w:rsidR="0094376A">
        <w:rPr>
          <w:color w:val="000000"/>
        </w:rPr>
        <w:t xml:space="preserve"> </w:t>
      </w:r>
      <w:r w:rsidR="0012204A">
        <w:rPr>
          <w:color w:val="000000"/>
        </w:rPr>
        <w:t>(</w:t>
      </w:r>
      <w:r w:rsidR="0012204A">
        <w:t>Roche et al., 2011).</w:t>
      </w:r>
    </w:p>
    <w:p w:rsidR="00F15DB0" w:rsidRDefault="00F15DB0" w:rsidP="00057B42">
      <w:pPr>
        <w:spacing w:line="360" w:lineRule="auto"/>
        <w:jc w:val="both"/>
        <w:rPr>
          <w:color w:val="000000"/>
        </w:rPr>
      </w:pPr>
    </w:p>
    <w:p w:rsidR="00BD5286" w:rsidRPr="00873C4C" w:rsidRDefault="00BD5286" w:rsidP="00057B42">
      <w:pPr>
        <w:spacing w:line="360" w:lineRule="auto"/>
        <w:jc w:val="both"/>
        <w:rPr>
          <w:color w:val="000000"/>
        </w:rPr>
      </w:pPr>
      <w:r w:rsidRPr="00873C4C">
        <w:rPr>
          <w:color w:val="000000"/>
        </w:rPr>
        <w:t xml:space="preserve">The complete chromatographic run time of each sample was 13 minutes, which separated umbelliferone and thalidomide from each other with retention times of 7.9 and 9.3 minutes respectively. Peaks were quantified using Agilent Masshunter Software (Version B.01.04). The </w:t>
      </w:r>
      <w:r w:rsidR="00223103">
        <w:rPr>
          <w:color w:val="000000"/>
        </w:rPr>
        <w:t xml:space="preserve">triple quadrupole </w:t>
      </w:r>
      <w:r w:rsidRPr="00873C4C">
        <w:rPr>
          <w:color w:val="000000"/>
        </w:rPr>
        <w:t>mass spectrometer was operated using an ESI source in the positive ion detection mode. The ionisation temperature was 300°C, gas flow rate was 11L/min and nebulizer pressure was 345</w:t>
      </w:r>
      <w:r w:rsidR="00D10C8B">
        <w:rPr>
          <w:color w:val="000000"/>
        </w:rPr>
        <w:t xml:space="preserve"> </w:t>
      </w:r>
      <w:r w:rsidRPr="00873C4C">
        <w:rPr>
          <w:color w:val="000000"/>
        </w:rPr>
        <w:t xml:space="preserve">kPa. Nitrogen was used as the ionisation source gas and ultrapure nitrogen as the collision cell gas. </w:t>
      </w:r>
      <w:r w:rsidRPr="00873C4C">
        <w:rPr>
          <w:rFonts w:hint="eastAsia"/>
          <w:color w:val="000000"/>
        </w:rPr>
        <w:t>Analysis was performed in MRM mode with the following transitions: m/z 259.1</w:t>
      </w:r>
      <w:r w:rsidRPr="00873C4C">
        <w:rPr>
          <w:rFonts w:hint="eastAsia"/>
          <w:color w:val="000000"/>
        </w:rPr>
        <w:t>→</w:t>
      </w:r>
      <w:r w:rsidRPr="00873C4C">
        <w:rPr>
          <w:rFonts w:hint="eastAsia"/>
          <w:color w:val="000000"/>
        </w:rPr>
        <w:t>m/z</w:t>
      </w:r>
      <w:r w:rsidRPr="00873C4C">
        <w:rPr>
          <w:color w:val="000000"/>
        </w:rPr>
        <w:t xml:space="preserve"> </w:t>
      </w:r>
      <w:r w:rsidRPr="00873C4C">
        <w:rPr>
          <w:rFonts w:hint="eastAsia"/>
          <w:color w:val="000000"/>
        </w:rPr>
        <w:t>(186 and 84) for thalidomide, and m/z 163.1</w:t>
      </w:r>
      <w:r w:rsidRPr="00873C4C">
        <w:rPr>
          <w:rFonts w:hint="eastAsia"/>
          <w:color w:val="000000"/>
        </w:rPr>
        <w:t>→</w:t>
      </w:r>
      <w:r w:rsidRPr="00873C4C">
        <w:rPr>
          <w:rFonts w:hint="eastAsia"/>
          <w:color w:val="000000"/>
        </w:rPr>
        <w:t>m/z 107 for umbelliferone, with a dwell</w:t>
      </w:r>
      <w:r w:rsidRPr="00873C4C">
        <w:rPr>
          <w:color w:val="000000"/>
        </w:rPr>
        <w:t xml:space="preserve"> time of 200</w:t>
      </w:r>
      <w:r w:rsidR="00D10C8B">
        <w:rPr>
          <w:color w:val="000000"/>
        </w:rPr>
        <w:t xml:space="preserve"> </w:t>
      </w:r>
      <w:r w:rsidRPr="00873C4C">
        <w:rPr>
          <w:color w:val="000000"/>
        </w:rPr>
        <w:t>ms. Both product ions of thalidomide were monitored, 84 m/z was the quantifier ion and 186 m/z was the qualifier ion (</w:t>
      </w:r>
      <w:r w:rsidR="0012204A">
        <w:t>Roche et al., 2011</w:t>
      </w:r>
      <w:r w:rsidRPr="00873C4C">
        <w:rPr>
          <w:color w:val="000000"/>
        </w:rPr>
        <w:t>).</w:t>
      </w:r>
    </w:p>
    <w:p w:rsidR="002D284F" w:rsidRPr="00873C4C" w:rsidRDefault="002D284F" w:rsidP="00057B42">
      <w:pPr>
        <w:spacing w:line="360" w:lineRule="auto"/>
        <w:jc w:val="both"/>
        <w:rPr>
          <w:color w:val="000000"/>
        </w:rPr>
      </w:pPr>
    </w:p>
    <w:p w:rsidR="002D284F" w:rsidRPr="00873C4C" w:rsidRDefault="002D284F" w:rsidP="00057B42">
      <w:pPr>
        <w:spacing w:line="360" w:lineRule="auto"/>
        <w:jc w:val="both"/>
        <w:rPr>
          <w:color w:val="000000"/>
        </w:rPr>
      </w:pPr>
    </w:p>
    <w:p w:rsidR="00D63D68" w:rsidRPr="00873C4C" w:rsidRDefault="00D63D68" w:rsidP="00057B42">
      <w:pPr>
        <w:spacing w:line="360" w:lineRule="auto"/>
        <w:jc w:val="both"/>
        <w:rPr>
          <w:color w:val="000000"/>
        </w:rPr>
      </w:pPr>
    </w:p>
    <w:p w:rsidR="00FC262D" w:rsidRPr="00FC262D" w:rsidRDefault="00FC262D" w:rsidP="00057B42">
      <w:pPr>
        <w:pStyle w:val="Heading1"/>
        <w:jc w:val="both"/>
      </w:pPr>
      <w:bookmarkStart w:id="855" w:name="_Toc312169277"/>
      <w:bookmarkStart w:id="856" w:name="_Toc312172204"/>
      <w:bookmarkStart w:id="857" w:name="_Toc312257753"/>
      <w:bookmarkStart w:id="858" w:name="_Toc279658424"/>
      <w:bookmarkEnd w:id="855"/>
      <w:bookmarkEnd w:id="856"/>
      <w:bookmarkEnd w:id="857"/>
    </w:p>
    <w:p w:rsidR="002968BA" w:rsidRPr="00B933E7" w:rsidRDefault="002968BA" w:rsidP="00057B42">
      <w:pPr>
        <w:spacing w:line="360" w:lineRule="auto"/>
      </w:pPr>
      <w:bookmarkStart w:id="859" w:name="_Toc306570638"/>
      <w:bookmarkStart w:id="860" w:name="_Toc307067703"/>
    </w:p>
    <w:p w:rsidR="002968BA" w:rsidRPr="00B933E7" w:rsidRDefault="002968BA" w:rsidP="00057B42">
      <w:pPr>
        <w:spacing w:line="360" w:lineRule="auto"/>
      </w:pPr>
    </w:p>
    <w:p w:rsidR="00F15DB0" w:rsidRPr="00B933E7" w:rsidRDefault="00F15DB0" w:rsidP="00057B42">
      <w:pPr>
        <w:spacing w:line="360" w:lineRule="auto"/>
      </w:pPr>
    </w:p>
    <w:p w:rsidR="00B933E7" w:rsidRDefault="00B933E7" w:rsidP="00057B42">
      <w:pPr>
        <w:spacing w:line="360" w:lineRule="auto"/>
        <w:jc w:val="center"/>
        <w:rPr>
          <w:sz w:val="72"/>
        </w:rPr>
      </w:pPr>
    </w:p>
    <w:p w:rsidR="00E53409" w:rsidRDefault="00E53409" w:rsidP="00057B42">
      <w:pPr>
        <w:spacing w:line="360" w:lineRule="auto"/>
        <w:jc w:val="center"/>
        <w:rPr>
          <w:b/>
          <w:sz w:val="72"/>
        </w:rPr>
      </w:pPr>
    </w:p>
    <w:p w:rsidR="00FC262D" w:rsidRDefault="00FC262D" w:rsidP="00057B42">
      <w:pPr>
        <w:spacing w:line="360" w:lineRule="auto"/>
        <w:jc w:val="center"/>
        <w:rPr>
          <w:b/>
          <w:sz w:val="72"/>
        </w:rPr>
      </w:pPr>
      <w:r w:rsidRPr="00B933E7">
        <w:rPr>
          <w:b/>
          <w:sz w:val="72"/>
        </w:rPr>
        <w:t>Chapter 3</w:t>
      </w:r>
      <w:bookmarkEnd w:id="859"/>
      <w:bookmarkEnd w:id="860"/>
      <w:r w:rsidR="00B933E7" w:rsidRPr="00B933E7">
        <w:rPr>
          <w:b/>
          <w:sz w:val="72"/>
        </w:rPr>
        <w:t>.0</w:t>
      </w:r>
    </w:p>
    <w:p w:rsidR="006B72EF" w:rsidRPr="007E53B6" w:rsidRDefault="00FC262D" w:rsidP="00057B42">
      <w:pPr>
        <w:spacing w:line="360" w:lineRule="auto"/>
        <w:jc w:val="center"/>
        <w:rPr>
          <w:b/>
        </w:rPr>
      </w:pPr>
      <w:bookmarkStart w:id="861" w:name="_Toc306570639"/>
      <w:bookmarkStart w:id="862" w:name="_Toc307067704"/>
      <w:r w:rsidRPr="007E53B6">
        <w:rPr>
          <w:b/>
          <w:sz w:val="72"/>
        </w:rPr>
        <w:t>Results</w:t>
      </w:r>
      <w:bookmarkEnd w:id="861"/>
      <w:bookmarkEnd w:id="862"/>
      <w:r w:rsidRPr="007E53B6">
        <w:rPr>
          <w:b/>
        </w:rPr>
        <w:br w:type="page"/>
      </w:r>
      <w:bookmarkEnd w:id="858"/>
    </w:p>
    <w:p w:rsidR="006B72EF" w:rsidRDefault="00223103" w:rsidP="00645687">
      <w:pPr>
        <w:pStyle w:val="Heading2"/>
      </w:pPr>
      <w:bookmarkStart w:id="863" w:name="_Toc279658425"/>
      <w:bookmarkStart w:id="864" w:name="_Toc306570640"/>
      <w:bookmarkStart w:id="865" w:name="_Toc307067705"/>
      <w:r>
        <w:lastRenderedPageBreak/>
        <w:tab/>
      </w:r>
      <w:bookmarkStart w:id="866" w:name="_Toc312169278"/>
      <w:bookmarkStart w:id="867" w:name="_Toc312172205"/>
      <w:bookmarkStart w:id="868" w:name="_Toc312257754"/>
      <w:r w:rsidR="006B72EF" w:rsidRPr="00C25D9C">
        <w:t>Biological bank Sample sets</w:t>
      </w:r>
      <w:bookmarkEnd w:id="863"/>
      <w:bookmarkEnd w:id="864"/>
      <w:bookmarkEnd w:id="865"/>
      <w:bookmarkEnd w:id="866"/>
      <w:bookmarkEnd w:id="867"/>
      <w:bookmarkEnd w:id="868"/>
    </w:p>
    <w:p w:rsidR="00C25D9C" w:rsidRPr="00C25D9C" w:rsidRDefault="00C25D9C" w:rsidP="00057B42">
      <w:pPr>
        <w:spacing w:line="360" w:lineRule="auto"/>
        <w:rPr>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diagnosis of MM is based on the presence of characteristic signs and symptoms and the results of special tests on the blood and bone marrow. The disease specific biological bank was established in National Institute of Cellular Biotechnology (NICB) to ensure an adequate and continuous supply of multiple myeloma related biological specimens (serum and bone marrow) and associated data within an ethical framework. Creating a multiple myeloma biological bank is advantageous for </w:t>
      </w:r>
      <w:r w:rsidR="00301D33">
        <w:rPr>
          <w:rFonts w:eastAsia="Times New Roman"/>
          <w:color w:val="0D0D0D"/>
          <w:lang w:eastAsia="en-US"/>
        </w:rPr>
        <w:t>a number of</w:t>
      </w:r>
      <w:r w:rsidR="00817607">
        <w:rPr>
          <w:rFonts w:eastAsia="Times New Roman"/>
          <w:color w:val="0D0D0D"/>
          <w:lang w:eastAsia="en-US"/>
        </w:rPr>
        <w:t xml:space="preserve"> reason</w:t>
      </w:r>
      <w:r w:rsidRPr="006B72EF">
        <w:rPr>
          <w:rFonts w:eastAsia="Times New Roman"/>
          <w:color w:val="0D0D0D"/>
          <w:lang w:eastAsia="en-US"/>
        </w:rPr>
        <w:t>, Firstly by providing research scientists with secure, non-patient identifying access to the specific bio specimens and associated data needed for their research protocols. Secondly, costs and time scale duration of the future studies are decreased with the elimination of the sample collection stage, ethical approval etc. Thirdly, a biological bank is available for future development of new methods and new technology to utilize historical biological specimens. Last but not least, in today’s tight budget environment, biological banks can provide additional incentives for external collaboration and funding such as pharmaceutical companies. The bone marrow samples were obtained from patients following informed consent in accordance with the Declaration of Helsinki protocol. In addition the institutional policies of Mater Misericordiae, Beaumont and Midland Regional Tullamore Hospitals, were applied. These policies comply with the office of the Data Protection Commissioner 2006 ‘Promoting Health Research and Protecting Patient Rights’ and European Union Data Protection Commissioners working through the Article 29 Working Party, which concludes that, in order to b</w:t>
      </w:r>
      <w:r w:rsidR="00301D33">
        <w:rPr>
          <w:rFonts w:eastAsia="Times New Roman"/>
          <w:color w:val="0D0D0D"/>
          <w:lang w:eastAsia="en-US"/>
        </w:rPr>
        <w:t>e a valid, ‘consent’ must be a ‘</w:t>
      </w:r>
      <w:r w:rsidRPr="006B72EF">
        <w:rPr>
          <w:rFonts w:eastAsia="Times New Roman"/>
          <w:color w:val="0D0D0D"/>
          <w:lang w:eastAsia="en-US"/>
        </w:rPr>
        <w:t>freely given, specific and informed indication</w:t>
      </w:r>
      <w:r w:rsidR="00301D33">
        <w:rPr>
          <w:rFonts w:eastAsia="Times New Roman"/>
          <w:color w:val="0D0D0D"/>
          <w:lang w:eastAsia="en-US"/>
        </w:rPr>
        <w:t>’</w:t>
      </w:r>
      <w:r w:rsidRPr="006B72EF">
        <w:rPr>
          <w:rFonts w:eastAsia="Times New Roman"/>
          <w:color w:val="0D0D0D"/>
          <w:lang w:eastAsia="en-US"/>
        </w:rPr>
        <w:t xml:space="preserve"> of the data subject’s wishes.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our study, the patients were given an opportunity to explicitly grant or deny informed consent.  The consent was sought in a context where it could be freely given without any sense on the patient’s part that refusal would carry a penalty, whether real or implied, in relation to the medical management they received.</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Patient information leaflet, Standard Letter to Patients General Practitioner and consent form </w:t>
      </w:r>
      <w:r w:rsidR="008A49C7">
        <w:rPr>
          <w:rFonts w:eastAsia="Times New Roman"/>
          <w:color w:val="0D0D0D"/>
          <w:lang w:eastAsia="en-US"/>
        </w:rPr>
        <w:t>were</w:t>
      </w:r>
      <w:r w:rsidRPr="006B72EF">
        <w:rPr>
          <w:rFonts w:eastAsia="Times New Roman"/>
          <w:color w:val="0D0D0D"/>
          <w:lang w:eastAsia="en-US"/>
        </w:rPr>
        <w:t xml:space="preserve"> prepared according to Mater Misericordiae University Hospital and Beaumont, Midland Regional Tullamore Hospital ethical committees. (appendix </w:t>
      </w:r>
      <w:r w:rsidRPr="006B72EF">
        <w:rPr>
          <w:rFonts w:eastAsia="Times New Roman"/>
          <w:color w:val="0D0D0D"/>
          <w:lang w:eastAsia="en-US"/>
        </w:rPr>
        <w:lastRenderedPageBreak/>
        <w:t>section).</w:t>
      </w:r>
      <w:r w:rsidR="00A52529">
        <w:rPr>
          <w:rFonts w:eastAsia="Times New Roman"/>
          <w:color w:val="0D0D0D"/>
          <w:lang w:eastAsia="en-US"/>
        </w:rPr>
        <w:t xml:space="preserve"> </w:t>
      </w:r>
      <w:r w:rsidRPr="006B72EF">
        <w:rPr>
          <w:rFonts w:eastAsia="Times New Roman"/>
          <w:color w:val="0D0D0D"/>
          <w:lang w:eastAsia="en-US"/>
        </w:rPr>
        <w:t>Consent to collect 5-10 ml of bone marrow for research purposes, as outlined in material and method section, was sought from participating patients.</w:t>
      </w:r>
    </w:p>
    <w:p w:rsidR="006B72EF" w:rsidRPr="006B72EF" w:rsidRDefault="00C25D9C" w:rsidP="00645687">
      <w:pPr>
        <w:pStyle w:val="Heading3"/>
      </w:pPr>
      <w:bookmarkStart w:id="869" w:name="_Toc274586803"/>
      <w:bookmarkStart w:id="870" w:name="_Toc274736160"/>
      <w:bookmarkStart w:id="871" w:name="_Toc279658426"/>
      <w:r>
        <w:tab/>
      </w:r>
      <w:bookmarkStart w:id="872" w:name="_Toc306570641"/>
      <w:bookmarkStart w:id="873" w:name="_Toc307067706"/>
      <w:bookmarkStart w:id="874" w:name="_Toc312169279"/>
      <w:bookmarkStart w:id="875" w:name="_Toc312172206"/>
      <w:bookmarkStart w:id="876" w:name="_Toc312257755"/>
      <w:r w:rsidR="006B72EF" w:rsidRPr="006B72EF">
        <w:t>Bone marrow sample set</w:t>
      </w:r>
      <w:bookmarkEnd w:id="869"/>
      <w:bookmarkEnd w:id="870"/>
      <w:bookmarkEnd w:id="871"/>
      <w:bookmarkEnd w:id="872"/>
      <w:bookmarkEnd w:id="873"/>
      <w:bookmarkEnd w:id="874"/>
      <w:bookmarkEnd w:id="875"/>
      <w:bookmarkEnd w:id="876"/>
    </w:p>
    <w:p w:rsidR="00C25D9C"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These samples were obtained only when patients were having routine diagnostic or follow–up tests for reasons unrelated to this research. The time from sample procurement to storage </w:t>
      </w:r>
      <w:bookmarkStart w:id="877" w:name="_Toc274586804"/>
      <w:bookmarkStart w:id="878" w:name="_Toc274736161"/>
      <w:bookmarkStart w:id="879" w:name="_Toc279658427"/>
      <w:r w:rsidR="00C25D9C">
        <w:rPr>
          <w:rFonts w:eastAsia="Times New Roman"/>
          <w:color w:val="0D0D0D"/>
          <w:lang w:eastAsia="en-US"/>
        </w:rPr>
        <w:t>at -80ºC was less than 3 hours.</w:t>
      </w:r>
    </w:p>
    <w:p w:rsidR="006B72EF" w:rsidRDefault="00C25D9C" w:rsidP="00645687">
      <w:pPr>
        <w:pStyle w:val="Heading4"/>
      </w:pPr>
      <w:r>
        <w:tab/>
      </w:r>
      <w:bookmarkStart w:id="880" w:name="_Toc306570642"/>
      <w:bookmarkStart w:id="881" w:name="_Toc307067707"/>
      <w:bookmarkStart w:id="882" w:name="_Toc312169280"/>
      <w:bookmarkStart w:id="883" w:name="_Toc312172207"/>
      <w:bookmarkStart w:id="884" w:name="_Toc312257756"/>
      <w:r w:rsidR="006B72EF" w:rsidRPr="006B72EF">
        <w:t>Demographics</w:t>
      </w:r>
      <w:bookmarkEnd w:id="877"/>
      <w:bookmarkEnd w:id="878"/>
      <w:bookmarkEnd w:id="879"/>
      <w:bookmarkEnd w:id="880"/>
      <w:bookmarkEnd w:id="881"/>
      <w:bookmarkEnd w:id="882"/>
      <w:bookmarkEnd w:id="883"/>
      <w:bookmarkEnd w:id="884"/>
    </w:p>
    <w:p w:rsidR="006B72EF" w:rsidRDefault="006B72EF" w:rsidP="00223103">
      <w:pPr>
        <w:spacing w:before="240" w:after="240" w:line="360" w:lineRule="auto"/>
        <w:jc w:val="both"/>
        <w:rPr>
          <w:rFonts w:eastAsia="Times New Roman"/>
          <w:color w:val="0D0D0D"/>
          <w:lang w:eastAsia="en-US"/>
        </w:rPr>
      </w:pPr>
      <w:r w:rsidRPr="006B72EF">
        <w:rPr>
          <w:rFonts w:eastAsia="Times New Roman"/>
          <w:color w:val="0D0D0D"/>
          <w:lang w:eastAsia="en-US"/>
        </w:rPr>
        <w:t>A total of 173 bone marrow sample were collected, from 146 patients, 69 female and 77 male, with median age of 69 years (range 28 -87 years). Plasma cells were extracted from 27 patients.</w:t>
      </w:r>
    </w:p>
    <w:p w:rsidR="006B72EF" w:rsidRDefault="00C25D9C" w:rsidP="00645687">
      <w:pPr>
        <w:pStyle w:val="Heading4"/>
      </w:pPr>
      <w:bookmarkStart w:id="885" w:name="_Toc274586805"/>
      <w:bookmarkStart w:id="886" w:name="_Toc274736162"/>
      <w:bookmarkStart w:id="887" w:name="_Toc279658428"/>
      <w:r>
        <w:tab/>
      </w:r>
      <w:bookmarkStart w:id="888" w:name="_Toc306570643"/>
      <w:bookmarkStart w:id="889" w:name="_Toc307067708"/>
      <w:bookmarkStart w:id="890" w:name="_Toc312169281"/>
      <w:bookmarkStart w:id="891" w:name="_Toc312172208"/>
      <w:bookmarkStart w:id="892" w:name="_Toc312257757"/>
      <w:r w:rsidR="006B72EF" w:rsidRPr="006B72EF">
        <w:t>Participant Diagnosis</w:t>
      </w:r>
      <w:bookmarkEnd w:id="885"/>
      <w:bookmarkEnd w:id="886"/>
      <w:bookmarkEnd w:id="887"/>
      <w:bookmarkEnd w:id="888"/>
      <w:bookmarkEnd w:id="889"/>
      <w:bookmarkEnd w:id="890"/>
      <w:bookmarkEnd w:id="891"/>
      <w:bookmarkEnd w:id="892"/>
    </w:p>
    <w:p w:rsidR="006B72EF" w:rsidRPr="006B72EF" w:rsidRDefault="006B72EF" w:rsidP="00223103">
      <w:pPr>
        <w:spacing w:before="240" w:after="240" w:line="360" w:lineRule="auto"/>
        <w:jc w:val="both"/>
        <w:rPr>
          <w:rFonts w:eastAsia="Times New Roman"/>
          <w:color w:val="0D0D0D"/>
          <w:lang w:eastAsia="en-US"/>
        </w:rPr>
      </w:pPr>
      <w:r w:rsidRPr="006B72EF">
        <w:rPr>
          <w:rFonts w:eastAsia="Times New Roman"/>
          <w:color w:val="0D0D0D"/>
          <w:lang w:eastAsia="en-US"/>
        </w:rPr>
        <w:t>The bone marrow was collected at clinical diagnosis prior to commencement of anti-myeloma therapy. Additional samples were also collected at restaging investigation</w:t>
      </w:r>
      <w:r w:rsidR="008A49C7">
        <w:rPr>
          <w:rFonts w:eastAsia="Times New Roman"/>
          <w:color w:val="0D0D0D"/>
          <w:lang w:eastAsia="en-US"/>
        </w:rPr>
        <w:t>s</w:t>
      </w:r>
      <w:r w:rsidRPr="006B72EF">
        <w:rPr>
          <w:rFonts w:eastAsia="Times New Roman"/>
          <w:color w:val="0D0D0D"/>
          <w:lang w:eastAsia="en-US"/>
        </w:rPr>
        <w:t xml:space="preserve"> for the assessment of response to treatment.</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Bone marrow sample</w:t>
      </w:r>
      <w:r w:rsidR="008A49C7">
        <w:rPr>
          <w:rFonts w:eastAsia="Times New Roman"/>
          <w:color w:val="0D0D0D"/>
          <w:lang w:eastAsia="en-US"/>
        </w:rPr>
        <w:t>s</w:t>
      </w:r>
      <w:r w:rsidRPr="006B72EF">
        <w:rPr>
          <w:rFonts w:eastAsia="Times New Roman"/>
          <w:color w:val="0D0D0D"/>
          <w:lang w:eastAsia="en-US"/>
        </w:rPr>
        <w:t xml:space="preserve"> were collected and stored from patients with the diagnosis of multiple myeloma (n=123), MGUS (n=27), control bone marrow from patients having diagnosis of Iron deficiency, Auto immune neutropenia, Immune thrombocytopenia, Lymphopenia (n=21) (Figure </w:t>
      </w:r>
      <w:r w:rsidR="00C1356C">
        <w:rPr>
          <w:rFonts w:eastAsia="Times New Roman"/>
          <w:color w:val="0D0D0D"/>
          <w:lang w:eastAsia="en-US"/>
        </w:rPr>
        <w:t>3-</w:t>
      </w:r>
      <w:r w:rsidRPr="006B72EF">
        <w:rPr>
          <w:rFonts w:eastAsia="Times New Roman"/>
          <w:color w:val="0D0D0D"/>
          <w:lang w:eastAsia="en-US"/>
        </w:rPr>
        <w:t>1).</w:t>
      </w:r>
    </w:p>
    <w:p w:rsidR="00A52529" w:rsidRPr="006B72EF" w:rsidRDefault="00A52529" w:rsidP="00057B42">
      <w:pPr>
        <w:spacing w:after="240" w:line="360" w:lineRule="auto"/>
        <w:jc w:val="both"/>
        <w:rPr>
          <w:rFonts w:eastAsia="Times New Roman"/>
          <w:color w:val="0D0D0D"/>
          <w:lang w:eastAsia="en-US"/>
        </w:rPr>
      </w:pPr>
    </w:p>
    <w:p w:rsidR="007A42FE" w:rsidRDefault="00ED7D82" w:rsidP="00057B42">
      <w:pPr>
        <w:keepNext/>
        <w:spacing w:after="240" w:line="360" w:lineRule="auto"/>
        <w:jc w:val="center"/>
      </w:pPr>
      <w:r>
        <w:rPr>
          <w:rFonts w:eastAsia="Times New Roman"/>
          <w:noProof/>
          <w:color w:val="0D0D0D"/>
          <w:lang w:eastAsia="en-IE"/>
        </w:rPr>
        <w:lastRenderedPageBreak/>
        <w:drawing>
          <wp:inline distT="0" distB="0" distL="0" distR="0" wp14:anchorId="08D0759F" wp14:editId="403CFF8C">
            <wp:extent cx="4388485" cy="2767330"/>
            <wp:effectExtent l="0" t="0" r="12065" b="13970"/>
            <wp:docPr id="18"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C262D" w:rsidRPr="007A42FE" w:rsidRDefault="007A42FE" w:rsidP="00057B42">
      <w:pPr>
        <w:pStyle w:val="Caption"/>
        <w:jc w:val="both"/>
        <w:rPr>
          <w:rFonts w:eastAsia="Times New Roman"/>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1</w:t>
        </w:r>
      </w:fldSimple>
      <w:r>
        <w:t xml:space="preserve">  </w:t>
      </w:r>
      <w:bookmarkStart w:id="893" w:name="_Toc279441885"/>
      <w:r w:rsidR="006B72EF" w:rsidRPr="007A42FE">
        <w:rPr>
          <w:rFonts w:eastAsia="Times New Roman"/>
          <w:bCs w:val="0"/>
          <w:color w:val="000000"/>
          <w:lang w:eastAsia="en-US"/>
        </w:rPr>
        <w:t>shows that bone marrow samples were collected from patients with the diagnosis of multiple myeloma (n=123), MGUS (n=27) and benign diseases (n=21). Abbreviations; MM: Multiple Myeloma, MGUS: Monoclonal gammapathy of unknown significance.</w:t>
      </w:r>
      <w:bookmarkEnd w:id="893"/>
    </w:p>
    <w:p w:rsidR="00267DBF" w:rsidRDefault="00267DBF" w:rsidP="00057B42">
      <w:pPr>
        <w:pBdr>
          <w:bottom w:val="single" w:sz="12" w:space="1" w:color="auto"/>
        </w:pBdr>
        <w:spacing w:before="240" w:line="360" w:lineRule="auto"/>
        <w:ind w:right="-1"/>
        <w:jc w:val="both"/>
        <w:rPr>
          <w:rFonts w:eastAsia="Times New Roman"/>
          <w:b/>
          <w:bCs/>
          <w:color w:val="000000"/>
          <w:lang w:eastAsia="en-US"/>
        </w:rPr>
      </w:pPr>
    </w:p>
    <w:p w:rsidR="00223103" w:rsidRDefault="00223103" w:rsidP="00645687">
      <w:pPr>
        <w:pStyle w:val="Heading4"/>
        <w:numPr>
          <w:ilvl w:val="0"/>
          <w:numId w:val="0"/>
        </w:numPr>
      </w:pPr>
    </w:p>
    <w:p w:rsidR="006B72EF" w:rsidRDefault="00FC262D" w:rsidP="00645687">
      <w:pPr>
        <w:pStyle w:val="Heading4"/>
      </w:pPr>
      <w:r>
        <w:t xml:space="preserve"> </w:t>
      </w:r>
      <w:r>
        <w:tab/>
      </w:r>
      <w:bookmarkStart w:id="894" w:name="_Toc306570644"/>
      <w:bookmarkStart w:id="895" w:name="_Toc307067709"/>
      <w:bookmarkStart w:id="896" w:name="_Toc312169282"/>
      <w:bookmarkStart w:id="897" w:name="_Toc312172209"/>
      <w:bookmarkStart w:id="898" w:name="_Toc312257758"/>
      <w:r w:rsidR="00C25D9C">
        <w:t xml:space="preserve">Patients with </w:t>
      </w:r>
      <w:r w:rsidR="006B72EF" w:rsidRPr="006B72EF">
        <w:t>Multiple Myeloma</w:t>
      </w:r>
      <w:bookmarkEnd w:id="894"/>
      <w:bookmarkEnd w:id="895"/>
      <w:bookmarkEnd w:id="896"/>
      <w:bookmarkEnd w:id="897"/>
      <w:bookmarkEnd w:id="898"/>
    </w:p>
    <w:p w:rsidR="006B72EF" w:rsidRPr="006B72EF" w:rsidRDefault="006B72EF" w:rsidP="00223103">
      <w:pPr>
        <w:spacing w:before="240" w:after="240" w:line="360" w:lineRule="auto"/>
        <w:jc w:val="both"/>
        <w:rPr>
          <w:rFonts w:eastAsia="Times New Roman"/>
          <w:color w:val="0D0D0D"/>
          <w:lang w:eastAsia="en-US"/>
        </w:rPr>
      </w:pPr>
      <w:r w:rsidRPr="006B72EF">
        <w:rPr>
          <w:rFonts w:eastAsia="Times New Roman"/>
          <w:color w:val="0D0D0D"/>
          <w:lang w:eastAsia="en-US"/>
        </w:rPr>
        <w:t>One hundred and fifty four bone marrow samples were collected from myeloma and myeloma-related patients. Seventy five were male; eighty were female.  The median age of participating patients was seventy years (range 46-85 years). The Median age for male and female patients was 68 and 71 years respectively.</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These patients were classified using IMWG Diagnostic criteria (</w:t>
      </w:r>
      <w:r w:rsidR="00DC74BE">
        <w:rPr>
          <w:rFonts w:eastAsia="Times New Roman"/>
          <w:color w:val="0D0D0D"/>
          <w:lang w:eastAsia="en-US"/>
        </w:rPr>
        <w:t>Introduction-</w:t>
      </w:r>
      <w:r w:rsidR="00FC0203">
        <w:rPr>
          <w:rFonts w:eastAsia="Times New Roman"/>
          <w:color w:val="0D0D0D"/>
          <w:lang w:eastAsia="en-US"/>
        </w:rPr>
        <w:t>C</w:t>
      </w:r>
      <w:r w:rsidRPr="006B72EF">
        <w:rPr>
          <w:rFonts w:eastAsia="Times New Roman"/>
          <w:color w:val="0D0D0D"/>
          <w:lang w:eastAsia="en-US"/>
        </w:rPr>
        <w:t>hapter 1</w:t>
      </w:r>
      <w:r w:rsidR="00E33E35">
        <w:rPr>
          <w:rFonts w:eastAsia="Times New Roman"/>
          <w:color w:val="0D0D0D"/>
          <w:lang w:eastAsia="en-US"/>
        </w:rPr>
        <w:t>, page</w:t>
      </w:r>
      <w:r w:rsidRPr="006B72EF">
        <w:rPr>
          <w:rFonts w:eastAsia="Times New Roman"/>
          <w:color w:val="0D0D0D"/>
          <w:lang w:eastAsia="en-US"/>
        </w:rPr>
        <w:t xml:space="preserve"> </w:t>
      </w:r>
      <w:r w:rsidR="00E33E35">
        <w:rPr>
          <w:rFonts w:eastAsia="Times New Roman"/>
          <w:color w:val="0D0D0D"/>
          <w:lang w:eastAsia="en-US"/>
        </w:rPr>
        <w:t>46</w:t>
      </w:r>
      <w:r w:rsidRPr="006B72EF">
        <w:rPr>
          <w:rFonts w:eastAsia="Times New Roman"/>
          <w:color w:val="0D0D0D"/>
          <w:lang w:eastAsia="en-US"/>
        </w:rPr>
        <w:t xml:space="preserve">) as following; multiple myeloma (MM) (n=47), smouldering myeloma (n=3), Monoclonal gammapathy of unknown significance (n=30), MM relapse (n=29), MM in remission (n=54), control bone marrow from patients having diagnosis of Immune thrombocytopenia, Iron deficiency, auto immune neutropenia, Lymphopenia (n=9).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lastRenderedPageBreak/>
        <w:t>Twenty eight patients donated bone marrow on two or more occasions; these samples were collected only in conjunction with routine cl</w:t>
      </w:r>
      <w:r w:rsidR="00817607">
        <w:rPr>
          <w:rFonts w:eastAsia="Times New Roman"/>
          <w:color w:val="0D0D0D"/>
          <w:lang w:eastAsia="en-US"/>
        </w:rPr>
        <w:t>inical restaging investigations.</w:t>
      </w:r>
      <w:r w:rsidRPr="006B72EF">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Forty-seven marrow samples were obtained from newly diagnosed multiple myeloma patients prior to commencement of anti-myeloma therapy. Based on The International Staging System (ISS) for multiple myeloma </w:t>
      </w:r>
      <w:r w:rsidR="00E33E35">
        <w:rPr>
          <w:rFonts w:eastAsia="Times New Roman"/>
          <w:color w:val="0D0D0D"/>
          <w:lang w:eastAsia="en-US"/>
        </w:rPr>
        <w:t xml:space="preserve">as discussed in </w:t>
      </w:r>
      <w:r w:rsidR="00FC0203">
        <w:rPr>
          <w:rFonts w:eastAsia="Times New Roman"/>
          <w:color w:val="0D0D0D"/>
          <w:lang w:eastAsia="en-US"/>
        </w:rPr>
        <w:t>I</w:t>
      </w:r>
      <w:r w:rsidR="00DC74BE">
        <w:rPr>
          <w:rFonts w:eastAsia="Times New Roman"/>
          <w:color w:val="0D0D0D"/>
          <w:lang w:eastAsia="en-US"/>
        </w:rPr>
        <w:t>ntroduction-</w:t>
      </w:r>
      <w:r w:rsidR="00FC0203">
        <w:rPr>
          <w:rFonts w:eastAsia="Times New Roman"/>
          <w:color w:val="0D0D0D"/>
          <w:lang w:eastAsia="en-US"/>
        </w:rPr>
        <w:t>C</w:t>
      </w:r>
      <w:r w:rsidR="00E33E35">
        <w:rPr>
          <w:rFonts w:eastAsia="Times New Roman"/>
          <w:color w:val="0D0D0D"/>
          <w:lang w:eastAsia="en-US"/>
        </w:rPr>
        <w:t>hapter 1 page 47</w:t>
      </w:r>
      <w:r w:rsidRPr="006B72EF">
        <w:rPr>
          <w:rFonts w:eastAsia="Times New Roman"/>
          <w:color w:val="0D0D0D"/>
          <w:lang w:eastAsia="en-US"/>
        </w:rPr>
        <w:t xml:space="preserve">, eleven patients had stage I disease, twenty-one had stage II, and fifteen had stage III disease  </w:t>
      </w:r>
    </w:p>
    <w:p w:rsidR="007A42FE" w:rsidRDefault="00ED7D82" w:rsidP="00C723FB">
      <w:pPr>
        <w:keepNext/>
        <w:spacing w:after="240" w:line="360" w:lineRule="auto"/>
        <w:jc w:val="center"/>
      </w:pPr>
      <w:r>
        <w:rPr>
          <w:rFonts w:eastAsia="Times New Roman"/>
          <w:noProof/>
          <w:color w:val="0D0D0D"/>
          <w:lang w:eastAsia="en-IE"/>
        </w:rPr>
        <w:drawing>
          <wp:inline distT="0" distB="0" distL="0" distR="0" wp14:anchorId="5F0E76D9" wp14:editId="48F23D58">
            <wp:extent cx="4701045" cy="3240000"/>
            <wp:effectExtent l="0" t="0" r="23495" b="17780"/>
            <wp:docPr id="19" name="Char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B72EF" w:rsidRDefault="007A42FE" w:rsidP="00057B42">
      <w:pPr>
        <w:pStyle w:val="Caption"/>
        <w:jc w:val="both"/>
        <w:rPr>
          <w:rFonts w:eastAsia="Times New Roman"/>
          <w:b w:val="0"/>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2</w:t>
        </w:r>
      </w:fldSimple>
      <w:r>
        <w:t xml:space="preserve"> </w:t>
      </w:r>
      <w:bookmarkStart w:id="899" w:name="_Toc279441886"/>
      <w:r w:rsidR="006B72EF" w:rsidRPr="007A42FE">
        <w:rPr>
          <w:rFonts w:eastAsia="Times New Roman"/>
          <w:bCs w:val="0"/>
          <w:color w:val="000000"/>
          <w:lang w:eastAsia="en-US"/>
        </w:rPr>
        <w:t>shows that based on the International Staging System (ISS) for multiple myeloma eleven patients had stage I disease (23%), twenty-one had stage II (45%), and fifteen</w:t>
      </w:r>
      <w:r w:rsidR="008A49C7">
        <w:rPr>
          <w:rFonts w:eastAsia="Times New Roman"/>
          <w:bCs w:val="0"/>
          <w:color w:val="000000"/>
          <w:lang w:eastAsia="en-US"/>
        </w:rPr>
        <w:t xml:space="preserve"> had stage III disease (32%).  </w:t>
      </w:r>
      <w:r w:rsidR="006B72EF" w:rsidRPr="007A42FE">
        <w:rPr>
          <w:rFonts w:eastAsia="Times New Roman"/>
          <w:bCs w:val="0"/>
          <w:color w:val="000000"/>
          <w:lang w:eastAsia="en-US"/>
        </w:rPr>
        <w:t>Abbreviations; MMISS: multiple myeloma international staging system</w:t>
      </w:r>
      <w:r w:rsidR="006B72EF" w:rsidRPr="006B72EF">
        <w:rPr>
          <w:rFonts w:eastAsia="Times New Roman"/>
          <w:b w:val="0"/>
          <w:bCs w:val="0"/>
          <w:color w:val="000000"/>
          <w:lang w:eastAsia="en-US"/>
        </w:rPr>
        <w:t>.</w:t>
      </w:r>
      <w:bookmarkEnd w:id="899"/>
    </w:p>
    <w:p w:rsidR="007A42FE" w:rsidRDefault="007A42FE" w:rsidP="00057B42">
      <w:pPr>
        <w:pBdr>
          <w:bottom w:val="single" w:sz="12" w:space="1" w:color="auto"/>
        </w:pBdr>
        <w:spacing w:line="360" w:lineRule="auto"/>
        <w:rPr>
          <w:lang w:eastAsia="en-US"/>
        </w:rPr>
      </w:pPr>
    </w:p>
    <w:p w:rsidR="007A42FE" w:rsidRPr="007A42FE" w:rsidRDefault="007A42FE" w:rsidP="00057B42">
      <w:pPr>
        <w:spacing w:line="360" w:lineRule="auto"/>
        <w:rPr>
          <w:lang w:eastAsia="en-US"/>
        </w:rPr>
      </w:pPr>
    </w:p>
    <w:p w:rsidR="006B72EF" w:rsidRDefault="00C76C1D" w:rsidP="00057B42">
      <w:pPr>
        <w:spacing w:after="240" w:line="360" w:lineRule="auto"/>
        <w:jc w:val="both"/>
        <w:rPr>
          <w:rFonts w:eastAsia="Times New Roman"/>
          <w:color w:val="0D0D0D"/>
          <w:lang w:eastAsia="en-US"/>
        </w:rPr>
      </w:pPr>
      <w:r>
        <w:rPr>
          <w:rFonts w:eastAsia="Times New Roman"/>
          <w:color w:val="0D0D0D"/>
          <w:lang w:eastAsia="en-US"/>
        </w:rPr>
        <w:t>Based on Day-</w:t>
      </w:r>
      <w:r w:rsidR="006B72EF" w:rsidRPr="006B72EF">
        <w:rPr>
          <w:rFonts w:eastAsia="Times New Roman"/>
          <w:color w:val="0D0D0D"/>
          <w:lang w:eastAsia="en-US"/>
        </w:rPr>
        <w:t xml:space="preserve">100 re-staging investigations for assessment of response to treatment and using IMWG uniform response criteria, bone marrow samples were collected and stored from patients in clinical remission (n=55), from patients with progressive or relapsed myeloma (n=31) and while on anti-myeloma treatment to assess </w:t>
      </w:r>
      <w:r w:rsidR="006B72EF" w:rsidRPr="006B72EF">
        <w:rPr>
          <w:rFonts w:eastAsia="Times New Roman"/>
          <w:color w:val="0D0D0D"/>
          <w:lang w:eastAsia="en-US"/>
        </w:rPr>
        <w:lastRenderedPageBreak/>
        <w:t xml:space="preserve">response (n=21) (Figure </w:t>
      </w:r>
      <w:r w:rsidR="00FC0203">
        <w:rPr>
          <w:rFonts w:eastAsia="Times New Roman"/>
          <w:color w:val="0D0D0D"/>
          <w:lang w:eastAsia="en-US"/>
        </w:rPr>
        <w:t>3-</w:t>
      </w:r>
      <w:r w:rsidR="006B72EF" w:rsidRPr="006B72EF">
        <w:rPr>
          <w:rFonts w:eastAsia="Times New Roman"/>
          <w:color w:val="0D0D0D"/>
          <w:lang w:eastAsia="en-US"/>
        </w:rPr>
        <w:t xml:space="preserve">2). Of the 31 patients with relapsed/progressive disease, eight patients (three female, five male) have died due to MM related complications </w:t>
      </w:r>
    </w:p>
    <w:p w:rsidR="006B72EF" w:rsidRDefault="00C25D9C" w:rsidP="00645687">
      <w:pPr>
        <w:pStyle w:val="Heading4"/>
      </w:pPr>
      <w:r>
        <w:tab/>
      </w:r>
      <w:bookmarkStart w:id="900" w:name="_Toc306570645"/>
      <w:bookmarkStart w:id="901" w:name="_Toc307067710"/>
      <w:bookmarkStart w:id="902" w:name="_Toc312169283"/>
      <w:bookmarkStart w:id="903" w:name="_Toc312172210"/>
      <w:bookmarkStart w:id="904" w:name="_Toc312257759"/>
      <w:r>
        <w:t xml:space="preserve">Patients with </w:t>
      </w:r>
      <w:r w:rsidR="006B72EF" w:rsidRPr="00C25D9C">
        <w:t>Smouldering myeloma</w:t>
      </w:r>
      <w:bookmarkEnd w:id="900"/>
      <w:bookmarkEnd w:id="901"/>
      <w:bookmarkEnd w:id="902"/>
      <w:bookmarkEnd w:id="903"/>
      <w:bookmarkEnd w:id="904"/>
    </w:p>
    <w:p w:rsidR="006B72EF" w:rsidRDefault="006B72EF" w:rsidP="00C723FB">
      <w:pPr>
        <w:spacing w:before="240" w:after="240" w:line="360" w:lineRule="auto"/>
        <w:jc w:val="both"/>
        <w:rPr>
          <w:rFonts w:eastAsia="Times New Roman"/>
          <w:color w:val="0D0D0D"/>
          <w:lang w:eastAsia="en-US"/>
        </w:rPr>
      </w:pPr>
      <w:r w:rsidRPr="006B72EF">
        <w:rPr>
          <w:rFonts w:eastAsia="Times New Roman"/>
          <w:color w:val="0D0D0D"/>
          <w:lang w:eastAsia="en-US"/>
        </w:rPr>
        <w:t>Three patients had a diagnosis of smouldering myeloma, two female and one male.  One male and female patient eventually prog</w:t>
      </w:r>
      <w:r w:rsidR="008A49C7">
        <w:rPr>
          <w:rFonts w:eastAsia="Times New Roman"/>
          <w:color w:val="0D0D0D"/>
          <w:lang w:eastAsia="en-US"/>
        </w:rPr>
        <w:t xml:space="preserve">ressed to symptomatic MM and </w:t>
      </w:r>
      <w:r w:rsidR="004D56C5">
        <w:rPr>
          <w:rFonts w:eastAsia="Times New Roman"/>
          <w:color w:val="0D0D0D"/>
          <w:lang w:eastAsia="en-US"/>
        </w:rPr>
        <w:t>was</w:t>
      </w:r>
      <w:r w:rsidRPr="006B72EF">
        <w:rPr>
          <w:rFonts w:eastAsia="Times New Roman"/>
          <w:color w:val="0D0D0D"/>
          <w:lang w:eastAsia="en-US"/>
        </w:rPr>
        <w:t xml:space="preserve"> treated with anti-myeloma therapy (Figure 3</w:t>
      </w:r>
      <w:r w:rsidR="008A49C7">
        <w:rPr>
          <w:rFonts w:eastAsia="Times New Roman"/>
          <w:color w:val="0D0D0D"/>
          <w:lang w:eastAsia="en-US"/>
        </w:rPr>
        <w:t>-3</w:t>
      </w:r>
      <w:r w:rsidRPr="006B72EF">
        <w:rPr>
          <w:rFonts w:eastAsia="Times New Roman"/>
          <w:color w:val="0D0D0D"/>
          <w:lang w:eastAsia="en-US"/>
        </w:rPr>
        <w:t>).</w:t>
      </w:r>
    </w:p>
    <w:p w:rsidR="006B72EF" w:rsidRDefault="00C25D9C" w:rsidP="00645687">
      <w:pPr>
        <w:pStyle w:val="Heading4"/>
      </w:pPr>
      <w:r>
        <w:tab/>
      </w:r>
      <w:bookmarkStart w:id="905" w:name="_Toc306570646"/>
      <w:bookmarkStart w:id="906" w:name="_Toc307067711"/>
      <w:bookmarkStart w:id="907" w:name="_Toc312169284"/>
      <w:bookmarkStart w:id="908" w:name="_Toc312172211"/>
      <w:bookmarkStart w:id="909" w:name="_Toc312257760"/>
      <w:r>
        <w:t xml:space="preserve">Patients with </w:t>
      </w:r>
      <w:r w:rsidR="006B72EF" w:rsidRPr="006B72EF">
        <w:t xml:space="preserve">Monoclonal gammapathy of unknown </w:t>
      </w:r>
      <w:r w:rsidR="002968BA">
        <w:t>s</w:t>
      </w:r>
      <w:r w:rsidR="006B72EF" w:rsidRPr="006B72EF">
        <w:t>ignificance (MGUS)</w:t>
      </w:r>
      <w:bookmarkEnd w:id="905"/>
      <w:bookmarkEnd w:id="906"/>
      <w:bookmarkEnd w:id="907"/>
      <w:bookmarkEnd w:id="908"/>
      <w:bookmarkEnd w:id="909"/>
    </w:p>
    <w:p w:rsidR="006B72EF" w:rsidRDefault="006B72EF" w:rsidP="00C723FB">
      <w:pPr>
        <w:spacing w:before="240" w:after="240" w:line="360" w:lineRule="auto"/>
        <w:jc w:val="both"/>
        <w:rPr>
          <w:rFonts w:eastAsia="Times New Roman"/>
          <w:color w:val="0D0D0D"/>
          <w:lang w:eastAsia="en-US"/>
        </w:rPr>
      </w:pPr>
      <w:r w:rsidRPr="006B72EF">
        <w:rPr>
          <w:rFonts w:eastAsia="Times New Roman"/>
          <w:color w:val="0D0D0D"/>
          <w:lang w:eastAsia="en-US"/>
        </w:rPr>
        <w:t>Thirty one patients had a diagnosis of monoclonal gammapathy of unknown significance (MGUS). Two patients, one male and one female, eventually progressed to MM. The remaining twenty-nine patients remain clinically stable and attending haematology outpatient clinics in the Mater university hospital on regular interval</w:t>
      </w:r>
      <w:r w:rsidR="008A49C7">
        <w:rPr>
          <w:rFonts w:eastAsia="Times New Roman"/>
          <w:color w:val="0D0D0D"/>
          <w:lang w:eastAsia="en-US"/>
        </w:rPr>
        <w:t>s</w:t>
      </w:r>
      <w:r w:rsidRPr="006B72EF">
        <w:rPr>
          <w:rFonts w:eastAsia="Times New Roman"/>
          <w:color w:val="0D0D0D"/>
          <w:lang w:eastAsia="en-US"/>
        </w:rPr>
        <w:t xml:space="preserve"> (Figure 3</w:t>
      </w:r>
      <w:r w:rsidR="008A49C7">
        <w:rPr>
          <w:rFonts w:eastAsia="Times New Roman"/>
          <w:color w:val="0D0D0D"/>
          <w:lang w:eastAsia="en-US"/>
        </w:rPr>
        <w:t>-3</w:t>
      </w:r>
      <w:r w:rsidRPr="006B72EF">
        <w:rPr>
          <w:rFonts w:eastAsia="Times New Roman"/>
          <w:color w:val="0D0D0D"/>
          <w:lang w:eastAsia="en-US"/>
        </w:rPr>
        <w:t xml:space="preserve">).  </w:t>
      </w:r>
    </w:p>
    <w:p w:rsidR="006B72EF" w:rsidRDefault="00C25D9C" w:rsidP="00645687">
      <w:pPr>
        <w:pStyle w:val="Heading4"/>
      </w:pPr>
      <w:r>
        <w:tab/>
      </w:r>
      <w:bookmarkStart w:id="910" w:name="_Toc306570647"/>
      <w:bookmarkStart w:id="911" w:name="_Toc307067712"/>
      <w:bookmarkStart w:id="912" w:name="_Toc312169285"/>
      <w:bookmarkStart w:id="913" w:name="_Toc312172212"/>
      <w:bookmarkStart w:id="914" w:name="_Toc312257761"/>
      <w:r>
        <w:t xml:space="preserve">Patients with </w:t>
      </w:r>
      <w:r w:rsidR="006B72EF" w:rsidRPr="006B72EF">
        <w:t>Plasma cell leukaemia and Plasmacytoma</w:t>
      </w:r>
      <w:bookmarkEnd w:id="910"/>
      <w:bookmarkEnd w:id="911"/>
      <w:bookmarkEnd w:id="912"/>
      <w:bookmarkEnd w:id="913"/>
      <w:bookmarkEnd w:id="914"/>
      <w:r w:rsidR="006B72EF" w:rsidRPr="006B72EF">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Based on IMWG Diagnostic criteria, two patients had a diagnosis of plasma cell leukaemia (one female patient: seventy-one years old, one male patient: eighty years old). Both patients died of myeloma / plasma cell leukaemia related complications within 3 months of diagnosis (Figure 3</w:t>
      </w:r>
      <w:r w:rsidR="008A49C7">
        <w:rPr>
          <w:rFonts w:eastAsia="Times New Roman"/>
          <w:color w:val="0D0D0D"/>
          <w:lang w:eastAsia="en-US"/>
        </w:rPr>
        <w:t>-3</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p>
    <w:p w:rsidR="00C25D9C" w:rsidRDefault="00ED7D82" w:rsidP="00057B42">
      <w:pPr>
        <w:keepNext/>
        <w:spacing w:after="240" w:line="360" w:lineRule="auto"/>
        <w:jc w:val="center"/>
      </w:pPr>
      <w:r>
        <w:rPr>
          <w:rFonts w:eastAsia="Times New Roman"/>
          <w:noProof/>
          <w:color w:val="0D0D0D"/>
          <w:lang w:eastAsia="en-IE"/>
        </w:rPr>
        <w:lastRenderedPageBreak/>
        <w:drawing>
          <wp:inline distT="0" distB="0" distL="0" distR="0" wp14:anchorId="32F77ED2" wp14:editId="5BC91428">
            <wp:extent cx="4232752" cy="3240000"/>
            <wp:effectExtent l="0" t="0" r="15875" b="17780"/>
            <wp:docPr id="20" name="Chart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25D9C" w:rsidRDefault="00C25D9C" w:rsidP="00057B42">
      <w:pPr>
        <w:pStyle w:val="Caption"/>
        <w:jc w:val="both"/>
        <w:rPr>
          <w:rFonts w:eastAsia="Times New Roman"/>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3</w:t>
        </w:r>
      </w:fldSimple>
      <w:r>
        <w:t xml:space="preserve">  </w:t>
      </w:r>
      <w:bookmarkStart w:id="915" w:name="_Toc279441887"/>
      <w:r w:rsidR="006B72EF" w:rsidRPr="00C25D9C">
        <w:rPr>
          <w:rFonts w:eastAsia="Times New Roman"/>
          <w:bCs w:val="0"/>
          <w:color w:val="000000"/>
          <w:lang w:eastAsia="en-US"/>
        </w:rPr>
        <w:t>shows that A total of 154 bone marrow samples were collected and stored from following individual patients newly diagnosed of MM (n=47), MM smouldering (n=3), MGUS (n=31), MM relapse (n=26), MM in remission (n=46), Abbreviations; MM: Multiple Myeloma, MGUS: Monoclonal gammapathy of unknown significance</w:t>
      </w:r>
      <w:bookmarkEnd w:id="915"/>
      <w:r>
        <w:rPr>
          <w:rFonts w:eastAsia="Times New Roman"/>
          <w:bCs w:val="0"/>
          <w:color w:val="000000"/>
          <w:lang w:eastAsia="en-US"/>
        </w:rPr>
        <w:t>.</w:t>
      </w:r>
    </w:p>
    <w:p w:rsidR="006B72EF" w:rsidRDefault="006B72EF" w:rsidP="00057B42">
      <w:pPr>
        <w:pStyle w:val="Caption"/>
        <w:jc w:val="both"/>
        <w:rPr>
          <w:rFonts w:eastAsia="Times New Roman"/>
          <w:bCs w:val="0"/>
          <w:color w:val="000000"/>
          <w:lang w:eastAsia="en-US"/>
        </w:rPr>
      </w:pPr>
    </w:p>
    <w:p w:rsidR="00C25D9C" w:rsidRDefault="00C25D9C" w:rsidP="00057B42">
      <w:pPr>
        <w:pBdr>
          <w:bottom w:val="single" w:sz="12" w:space="1" w:color="auto"/>
        </w:pBdr>
        <w:spacing w:line="360" w:lineRule="auto"/>
        <w:rPr>
          <w:lang w:eastAsia="en-US"/>
        </w:rPr>
      </w:pPr>
    </w:p>
    <w:p w:rsidR="00C25D9C" w:rsidRPr="00C25D9C" w:rsidRDefault="00C25D9C" w:rsidP="00057B42">
      <w:pPr>
        <w:spacing w:line="360" w:lineRule="auto"/>
        <w:rPr>
          <w:lang w:eastAsia="en-US"/>
        </w:rPr>
      </w:pPr>
    </w:p>
    <w:p w:rsidR="006B72EF" w:rsidRPr="00C25D9C" w:rsidRDefault="006B72EF" w:rsidP="00057B42">
      <w:pPr>
        <w:spacing w:after="240" w:line="360" w:lineRule="auto"/>
        <w:rPr>
          <w:rFonts w:eastAsia="Times New Roman"/>
          <w:b/>
          <w:color w:val="0D0D0D"/>
          <w:lang w:eastAsia="en-US"/>
        </w:rPr>
      </w:pPr>
    </w:p>
    <w:p w:rsidR="006B72EF" w:rsidRPr="006B72EF" w:rsidRDefault="006B72EF" w:rsidP="00057B42">
      <w:pPr>
        <w:spacing w:after="240" w:line="360" w:lineRule="auto"/>
        <w:rPr>
          <w:rFonts w:eastAsia="Times New Roman"/>
          <w:color w:val="0D0D0D"/>
          <w:lang w:eastAsia="en-US"/>
        </w:rPr>
      </w:pPr>
    </w:p>
    <w:p w:rsidR="006B72EF" w:rsidRPr="006B72EF" w:rsidRDefault="006B72EF" w:rsidP="00057B42">
      <w:pPr>
        <w:spacing w:after="240" w:line="360" w:lineRule="auto"/>
        <w:rPr>
          <w:rFonts w:eastAsia="Times New Roman"/>
          <w:color w:val="0D0D0D"/>
          <w:lang w:eastAsia="en-US"/>
        </w:rPr>
      </w:pPr>
    </w:p>
    <w:p w:rsidR="006B72EF" w:rsidRPr="006B72EF" w:rsidRDefault="006B72EF" w:rsidP="00057B42">
      <w:pPr>
        <w:spacing w:after="240" w:line="360" w:lineRule="auto"/>
        <w:rPr>
          <w:rFonts w:eastAsia="Times New Roman"/>
          <w:color w:val="0D0D0D"/>
          <w:lang w:eastAsia="en-US"/>
        </w:rPr>
      </w:pPr>
    </w:p>
    <w:p w:rsidR="006B72EF" w:rsidRDefault="006B72EF" w:rsidP="00057B42">
      <w:pPr>
        <w:spacing w:after="240" w:line="360" w:lineRule="auto"/>
        <w:jc w:val="both"/>
        <w:rPr>
          <w:rFonts w:eastAsia="Times New Roman"/>
          <w:color w:val="0D0D0D"/>
          <w:lang w:eastAsia="en-US"/>
        </w:rPr>
      </w:pPr>
    </w:p>
    <w:p w:rsidR="00424953" w:rsidRDefault="00424953" w:rsidP="00057B42">
      <w:pPr>
        <w:spacing w:after="240" w:line="360" w:lineRule="auto"/>
        <w:jc w:val="both"/>
        <w:rPr>
          <w:rFonts w:eastAsia="Times New Roman"/>
          <w:color w:val="0D0D0D"/>
          <w:lang w:eastAsia="en-US"/>
        </w:rPr>
      </w:pPr>
    </w:p>
    <w:p w:rsidR="00C723FB" w:rsidRDefault="00C723FB">
      <w:pPr>
        <w:rPr>
          <w:b/>
          <w:color w:val="000000"/>
          <w:sz w:val="26"/>
          <w:szCs w:val="26"/>
          <w:lang w:eastAsia="en-US"/>
        </w:rPr>
      </w:pPr>
      <w:bookmarkStart w:id="916" w:name="_Toc274586806"/>
      <w:bookmarkStart w:id="917" w:name="_Toc274736163"/>
      <w:bookmarkStart w:id="918" w:name="_Toc279658429"/>
      <w:bookmarkStart w:id="919" w:name="_Toc306570649"/>
      <w:bookmarkStart w:id="920" w:name="_Toc307067714"/>
      <w:r>
        <w:br w:type="page"/>
      </w:r>
    </w:p>
    <w:p w:rsidR="006B72EF" w:rsidRPr="006B72EF" w:rsidRDefault="00C723FB" w:rsidP="00645687">
      <w:pPr>
        <w:pStyle w:val="Heading3"/>
      </w:pPr>
      <w:r>
        <w:lastRenderedPageBreak/>
        <w:tab/>
      </w:r>
      <w:bookmarkStart w:id="921" w:name="_Toc312169286"/>
      <w:bookmarkStart w:id="922" w:name="_Toc312172213"/>
      <w:bookmarkStart w:id="923" w:name="_Toc312257762"/>
      <w:r w:rsidR="006B72EF" w:rsidRPr="006B72EF">
        <w:t>Serum Samples</w:t>
      </w:r>
      <w:bookmarkEnd w:id="916"/>
      <w:bookmarkEnd w:id="917"/>
      <w:bookmarkEnd w:id="918"/>
      <w:bookmarkEnd w:id="919"/>
      <w:bookmarkEnd w:id="920"/>
      <w:bookmarkEnd w:id="921"/>
      <w:bookmarkEnd w:id="922"/>
      <w:bookmarkEnd w:id="923"/>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We used serum samples for discovery of biomarkers as the majority of patients find venepuncture tolerable, and it is also easier for the clinical team to collect the samples. Currently, in the hospital setting, it is normal practice to monitor disease progression or response to therapy by collecting serial blood samples.</w:t>
      </w:r>
    </w:p>
    <w:p w:rsidR="006B72EF" w:rsidRDefault="00AD3CAA" w:rsidP="00645687">
      <w:pPr>
        <w:pStyle w:val="Heading4"/>
      </w:pPr>
      <w:bookmarkStart w:id="924" w:name="_Toc274586807"/>
      <w:bookmarkStart w:id="925" w:name="_Toc274736164"/>
      <w:bookmarkStart w:id="926" w:name="_Toc279658430"/>
      <w:r>
        <w:tab/>
      </w:r>
      <w:bookmarkStart w:id="927" w:name="_Toc306570650"/>
      <w:bookmarkStart w:id="928" w:name="_Toc307067715"/>
      <w:bookmarkStart w:id="929" w:name="_Toc312169287"/>
      <w:bookmarkStart w:id="930" w:name="_Toc312172214"/>
      <w:bookmarkStart w:id="931" w:name="_Toc312257763"/>
      <w:r w:rsidR="006B72EF" w:rsidRPr="006B72EF">
        <w:t>Demographics</w:t>
      </w:r>
      <w:bookmarkEnd w:id="924"/>
      <w:bookmarkEnd w:id="925"/>
      <w:bookmarkEnd w:id="926"/>
      <w:bookmarkEnd w:id="927"/>
      <w:bookmarkEnd w:id="928"/>
      <w:bookmarkEnd w:id="929"/>
      <w:bookmarkEnd w:id="930"/>
      <w:bookmarkEnd w:id="931"/>
    </w:p>
    <w:p w:rsidR="006B72EF" w:rsidRDefault="00D63483" w:rsidP="00C723FB">
      <w:pPr>
        <w:spacing w:before="240" w:after="240" w:line="360" w:lineRule="auto"/>
        <w:jc w:val="both"/>
        <w:rPr>
          <w:rFonts w:eastAsia="Times New Roman"/>
          <w:color w:val="0D0D0D"/>
          <w:lang w:eastAsia="en-US"/>
        </w:rPr>
      </w:pPr>
      <w:r>
        <w:rPr>
          <w:rFonts w:eastAsia="Times New Roman"/>
          <w:color w:val="0D0D0D"/>
          <w:lang w:eastAsia="en-US"/>
        </w:rPr>
        <w:t>A t</w:t>
      </w:r>
      <w:r w:rsidR="006B72EF" w:rsidRPr="006B72EF">
        <w:rPr>
          <w:rFonts w:eastAsia="Times New Roman"/>
          <w:color w:val="0D0D0D"/>
          <w:lang w:eastAsia="en-US"/>
        </w:rPr>
        <w:t>otal of four hundred and forty-eight serum samples from two hundred and sixteen patients were collected and stored in</w:t>
      </w:r>
      <w:r w:rsidR="009A6EE7">
        <w:rPr>
          <w:rFonts w:eastAsia="Times New Roman"/>
          <w:color w:val="0D0D0D"/>
          <w:lang w:eastAsia="en-US"/>
        </w:rPr>
        <w:t xml:space="preserve"> a</w:t>
      </w:r>
      <w:r w:rsidR="006B72EF" w:rsidRPr="006B72EF">
        <w:rPr>
          <w:rFonts w:eastAsia="Times New Roman"/>
          <w:color w:val="0D0D0D"/>
          <w:lang w:eastAsia="en-US"/>
        </w:rPr>
        <w:t xml:space="preserve"> -80°C freezer. Median age of the participant group was 69 years (range 27-97 years), 216 were samples from 98 male patients, 248 were samples from 118 female patients. </w:t>
      </w:r>
    </w:p>
    <w:p w:rsidR="006B72EF" w:rsidRDefault="00AD3CAA" w:rsidP="00645687">
      <w:pPr>
        <w:pStyle w:val="Heading4"/>
      </w:pPr>
      <w:bookmarkStart w:id="932" w:name="_Toc274586808"/>
      <w:bookmarkStart w:id="933" w:name="_Toc274736165"/>
      <w:bookmarkStart w:id="934" w:name="_Toc279658431"/>
      <w:r>
        <w:tab/>
      </w:r>
      <w:bookmarkStart w:id="935" w:name="_Toc306570651"/>
      <w:bookmarkStart w:id="936" w:name="_Toc307067716"/>
      <w:bookmarkStart w:id="937" w:name="_Toc312169288"/>
      <w:bookmarkStart w:id="938" w:name="_Toc312172215"/>
      <w:bookmarkStart w:id="939" w:name="_Toc312257764"/>
      <w:r w:rsidR="006B72EF" w:rsidRPr="006B72EF">
        <w:t>Participant Diagnosis</w:t>
      </w:r>
      <w:bookmarkEnd w:id="932"/>
      <w:bookmarkEnd w:id="933"/>
      <w:bookmarkEnd w:id="934"/>
      <w:bookmarkEnd w:id="935"/>
      <w:bookmarkEnd w:id="936"/>
      <w:bookmarkEnd w:id="937"/>
      <w:bookmarkEnd w:id="938"/>
      <w:bookmarkEnd w:id="939"/>
    </w:p>
    <w:p w:rsidR="006B72EF" w:rsidRPr="006B72EF" w:rsidRDefault="006B72EF" w:rsidP="00E56B89">
      <w:pPr>
        <w:spacing w:before="240" w:after="240" w:line="360" w:lineRule="auto"/>
        <w:jc w:val="both"/>
        <w:rPr>
          <w:rFonts w:eastAsia="Times New Roman"/>
          <w:color w:val="0D0D0D"/>
          <w:lang w:eastAsia="en-US"/>
        </w:rPr>
      </w:pPr>
      <w:r w:rsidRPr="006B72EF">
        <w:rPr>
          <w:rFonts w:eastAsia="Times New Roman"/>
          <w:color w:val="0D0D0D"/>
          <w:lang w:eastAsia="en-US"/>
        </w:rPr>
        <w:t xml:space="preserve">Serum samples were obtained from patients having diagnoses of multiple myeloma (N= 302), Monoclonal gammapathy of unknown significance (MGUS) (N=51), Smouldering Myeloma (N=16), Plasmacytomas (N=15), Amyloid Disease (N=3), Plasma cell leukaemia (N=3), POEM syndrome (N=4) (Polyneuropathy, organomegaly, endocrinopathy, monoclonal gammapathy, and skin changes), Auto-immune diseases (N=15), Control and benign diseases (N=39) (Figure </w:t>
      </w:r>
      <w:r w:rsidR="009A6EE7">
        <w:rPr>
          <w:rFonts w:eastAsia="Times New Roman"/>
          <w:color w:val="0D0D0D"/>
          <w:lang w:eastAsia="en-US"/>
        </w:rPr>
        <w:t>3-</w:t>
      </w:r>
      <w:r w:rsidRPr="006B72EF">
        <w:rPr>
          <w:rFonts w:eastAsia="Times New Roman"/>
          <w:color w:val="0D0D0D"/>
          <w:lang w:eastAsia="en-US"/>
        </w:rPr>
        <w:t>4).</w:t>
      </w:r>
    </w:p>
    <w:p w:rsidR="006B72EF" w:rsidRPr="006B72EF" w:rsidRDefault="006B72EF" w:rsidP="00057B42">
      <w:pPr>
        <w:spacing w:after="240" w:line="360" w:lineRule="auto"/>
        <w:jc w:val="both"/>
        <w:rPr>
          <w:rFonts w:eastAsia="Times New Roman"/>
          <w:color w:val="0D0D0D"/>
          <w:lang w:eastAsia="en-US"/>
        </w:rPr>
      </w:pPr>
    </w:p>
    <w:p w:rsidR="00AD3CAA" w:rsidRDefault="00ED7D82" w:rsidP="00057B42">
      <w:pPr>
        <w:keepNext/>
        <w:spacing w:after="240" w:line="360" w:lineRule="auto"/>
        <w:jc w:val="center"/>
      </w:pPr>
      <w:r>
        <w:rPr>
          <w:rFonts w:eastAsia="Times New Roman"/>
          <w:noProof/>
          <w:color w:val="0D0D0D"/>
          <w:lang w:eastAsia="en-IE"/>
        </w:rPr>
        <w:lastRenderedPageBreak/>
        <w:drawing>
          <wp:inline distT="0" distB="0" distL="0" distR="0" wp14:anchorId="30FC160C" wp14:editId="51E69D4E">
            <wp:extent cx="4461009" cy="3240000"/>
            <wp:effectExtent l="0" t="0" r="15875" b="17780"/>
            <wp:docPr id="21" name="Chart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D3CAA" w:rsidRDefault="00AD3CAA" w:rsidP="00057B42">
      <w:pPr>
        <w:pStyle w:val="Caption"/>
        <w:pBdr>
          <w:bottom w:val="single" w:sz="12" w:space="1" w:color="auto"/>
        </w:pBdr>
        <w:jc w:val="both"/>
        <w:rPr>
          <w:rFonts w:eastAsia="Times New Roman"/>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4</w:t>
        </w:r>
      </w:fldSimple>
      <w:r>
        <w:tab/>
      </w:r>
      <w:r>
        <w:rPr>
          <w:rFonts w:eastAsia="Times New Roman"/>
          <w:bCs w:val="0"/>
          <w:color w:val="000000"/>
          <w:lang w:eastAsia="en-US"/>
        </w:rPr>
        <w:t>shows that</w:t>
      </w:r>
      <w:r w:rsidRPr="00AD3CAA">
        <w:rPr>
          <w:rFonts w:eastAsia="Times New Roman"/>
          <w:bCs w:val="0"/>
          <w:color w:val="000000"/>
          <w:lang w:eastAsia="en-US"/>
        </w:rPr>
        <w:t xml:space="preserve"> </w:t>
      </w:r>
      <w:r>
        <w:rPr>
          <w:rFonts w:eastAsia="Times New Roman"/>
          <w:bCs w:val="0"/>
          <w:color w:val="000000"/>
          <w:lang w:eastAsia="en-US"/>
        </w:rPr>
        <w:t>t</w:t>
      </w:r>
      <w:r w:rsidRPr="00AD3CAA">
        <w:rPr>
          <w:rFonts w:eastAsia="Times New Roman"/>
          <w:bCs w:val="0"/>
          <w:color w:val="000000"/>
          <w:lang w:eastAsia="en-US"/>
        </w:rPr>
        <w:t>otal of 448 serum samples were collected from patients with a diagnosis of MM, MGUS, smouldering MM, Plasmacytomas, POEM syndrome, Amyloid Disease, PC leukaemia, Benign diseases such as iron deficiency anaemia, mild thrombocytopenia, Auto-immune diseases such as immune thrombocytopenia. Abbreviations: MM: multiple myeloma, MGUS: Monoclonal gammapathy of unknown significance, Smouldering MM:  Smouldering multiple myeloma, PC leukaemia: Plasma cell leukaemia, POEM syndrome: Polyneuropathy, organomegaly, endocrinopathy, monoclonal gammapathy, and skin changes</w:t>
      </w:r>
      <w:r>
        <w:rPr>
          <w:rFonts w:eastAsia="Times New Roman"/>
          <w:bCs w:val="0"/>
          <w:color w:val="000000"/>
          <w:lang w:eastAsia="en-US"/>
        </w:rPr>
        <w:t>.</w:t>
      </w:r>
    </w:p>
    <w:p w:rsidR="006B72EF" w:rsidRDefault="006B72EF" w:rsidP="00057B42">
      <w:pPr>
        <w:pStyle w:val="Caption"/>
        <w:pBdr>
          <w:bottom w:val="single" w:sz="12" w:space="1" w:color="auto"/>
        </w:pBdr>
        <w:jc w:val="both"/>
        <w:rPr>
          <w:rFonts w:eastAsia="Times New Roman"/>
          <w:bCs w:val="0"/>
          <w:color w:val="000000"/>
          <w:lang w:eastAsia="en-US"/>
        </w:rPr>
      </w:pPr>
    </w:p>
    <w:p w:rsidR="00AD3CAA" w:rsidRPr="00AD3CAA" w:rsidRDefault="00AD3CAA" w:rsidP="00057B42">
      <w:pPr>
        <w:spacing w:line="360" w:lineRule="auto"/>
        <w:rPr>
          <w:lang w:eastAsia="en-US"/>
        </w:rPr>
      </w:pP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r>
        <w:rPr>
          <w:lang w:eastAsia="en-US"/>
        </w:rPr>
        <w:softHyphen/>
      </w:r>
    </w:p>
    <w:p w:rsidR="006B72EF" w:rsidRDefault="00AD3CAA" w:rsidP="00645687">
      <w:pPr>
        <w:pStyle w:val="Heading4"/>
      </w:pPr>
      <w:r>
        <w:tab/>
      </w:r>
      <w:bookmarkStart w:id="940" w:name="_Toc306570652"/>
      <w:bookmarkStart w:id="941" w:name="_Toc307067717"/>
      <w:bookmarkStart w:id="942" w:name="_Toc312169289"/>
      <w:bookmarkStart w:id="943" w:name="_Toc312172216"/>
      <w:bookmarkStart w:id="944" w:name="_Toc312257765"/>
      <w:r w:rsidR="002855FA">
        <w:t>Multiple m</w:t>
      </w:r>
      <w:r w:rsidR="006B72EF" w:rsidRPr="006B72EF">
        <w:t>yeloma patients sample</w:t>
      </w:r>
      <w:r w:rsidR="002855FA">
        <w:t>s</w:t>
      </w:r>
      <w:r w:rsidR="006B72EF" w:rsidRPr="006B72EF">
        <w:t xml:space="preserve"> set</w:t>
      </w:r>
      <w:bookmarkEnd w:id="940"/>
      <w:bookmarkEnd w:id="941"/>
      <w:bookmarkEnd w:id="942"/>
      <w:bookmarkEnd w:id="943"/>
      <w:bookmarkEnd w:id="944"/>
      <w:r w:rsidR="006B72EF" w:rsidRPr="006B72EF">
        <w:t xml:space="preserve"> </w:t>
      </w:r>
    </w:p>
    <w:p w:rsidR="006B72EF" w:rsidRPr="006B72EF" w:rsidRDefault="00C723FB" w:rsidP="00E56B89">
      <w:pPr>
        <w:spacing w:before="240" w:after="240" w:line="360" w:lineRule="auto"/>
        <w:jc w:val="both"/>
        <w:rPr>
          <w:rFonts w:eastAsia="Times New Roman"/>
          <w:color w:val="0D0D0D"/>
          <w:lang w:eastAsia="en-US"/>
        </w:rPr>
      </w:pPr>
      <w:r>
        <w:rPr>
          <w:rFonts w:eastAsia="Times New Roman"/>
          <w:color w:val="0D0D0D"/>
          <w:lang w:eastAsia="en-US"/>
        </w:rPr>
        <w:t>A t</w:t>
      </w:r>
      <w:r w:rsidR="006B72EF" w:rsidRPr="006B72EF">
        <w:rPr>
          <w:rFonts w:eastAsia="Times New Roman"/>
          <w:color w:val="0D0D0D"/>
          <w:lang w:eastAsia="en-US"/>
        </w:rPr>
        <w:t xml:space="preserve">otal of 302 serum samples from 97 myeloma patients were collected. There were 140 samples from 43 male patients, and 162 samples from 54 female patients. The median age of patients was 66 years; the mean age of the patient group was 69 SD +/- 7.25 years.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Based on Day-100 re-staging investigations of multiple myeloma and using the International Myeloma Working Group uniform response criteria, patients </w:t>
      </w:r>
      <w:r w:rsidR="009A6EE7">
        <w:rPr>
          <w:rFonts w:eastAsia="Times New Roman"/>
          <w:color w:val="0D0D0D"/>
          <w:lang w:eastAsia="en-US"/>
        </w:rPr>
        <w:t xml:space="preserve">serum </w:t>
      </w:r>
      <w:r w:rsidRPr="006B72EF">
        <w:rPr>
          <w:rFonts w:eastAsia="Times New Roman"/>
          <w:color w:val="0D0D0D"/>
          <w:lang w:eastAsia="en-US"/>
        </w:rPr>
        <w:lastRenderedPageBreak/>
        <w:t>samples were classified as following</w:t>
      </w:r>
      <w:r w:rsidR="009A6EE7">
        <w:rPr>
          <w:rFonts w:eastAsia="Times New Roman"/>
          <w:color w:val="0D0D0D"/>
          <w:lang w:eastAsia="en-US"/>
        </w:rPr>
        <w:t xml:space="preserve">: </w:t>
      </w:r>
      <w:r w:rsidRPr="006B72EF">
        <w:rPr>
          <w:rFonts w:eastAsia="Times New Roman"/>
          <w:color w:val="0D0D0D"/>
          <w:lang w:eastAsia="en-US"/>
        </w:rPr>
        <w:t>98 samples</w:t>
      </w:r>
      <w:r w:rsidR="009A6EE7">
        <w:rPr>
          <w:rFonts w:eastAsia="Times New Roman"/>
          <w:color w:val="0D0D0D"/>
          <w:lang w:eastAsia="en-US"/>
        </w:rPr>
        <w:t xml:space="preserve"> were </w:t>
      </w:r>
      <w:r w:rsidRPr="006B72EF">
        <w:rPr>
          <w:rFonts w:eastAsia="Times New Roman"/>
          <w:color w:val="0D0D0D"/>
          <w:lang w:eastAsia="en-US"/>
        </w:rPr>
        <w:t xml:space="preserve">from 23 patients, who have achieved a complete response to their respective treatment protocols, 71 samples were from 16 patients who have achieved very good partial response, remaining 22, 21, 90 samples were from 7, 8, 42 patients have achieved a partial response, progressive disease </w:t>
      </w:r>
      <w:r w:rsidR="009A6EE7" w:rsidRPr="006B72EF">
        <w:rPr>
          <w:rFonts w:eastAsia="Times New Roman"/>
          <w:color w:val="0D0D0D"/>
          <w:lang w:eastAsia="en-US"/>
        </w:rPr>
        <w:t>respectively</w:t>
      </w:r>
      <w:r w:rsidR="002855FA">
        <w:rPr>
          <w:rFonts w:eastAsia="Times New Roman"/>
          <w:color w:val="0D0D0D"/>
          <w:lang w:eastAsia="en-US"/>
        </w:rPr>
        <w:t xml:space="preserve"> </w:t>
      </w:r>
      <w:r w:rsidR="009A6EE7">
        <w:rPr>
          <w:rFonts w:eastAsia="Times New Roman"/>
          <w:color w:val="0D0D0D"/>
          <w:lang w:eastAsia="en-US"/>
        </w:rPr>
        <w:t>(Figure 3-</w:t>
      </w:r>
      <w:r w:rsidRPr="006B72EF">
        <w:rPr>
          <w:rFonts w:eastAsia="Times New Roman"/>
          <w:color w:val="0D0D0D"/>
          <w:lang w:eastAsia="en-US"/>
        </w:rPr>
        <w:t xml:space="preserve">5). </w:t>
      </w:r>
    </w:p>
    <w:p w:rsidR="00AD3CAA" w:rsidRDefault="00ED7D82" w:rsidP="00057B42">
      <w:pPr>
        <w:keepNext/>
        <w:spacing w:after="240" w:line="360" w:lineRule="auto"/>
        <w:jc w:val="center"/>
      </w:pPr>
      <w:r>
        <w:rPr>
          <w:rFonts w:eastAsia="Times New Roman"/>
          <w:noProof/>
          <w:color w:val="0D0D0D"/>
          <w:lang w:eastAsia="en-IE"/>
        </w:rPr>
        <w:drawing>
          <wp:inline distT="0" distB="0" distL="0" distR="0" wp14:anchorId="045C4633" wp14:editId="62FDB465">
            <wp:extent cx="4735132" cy="3240000"/>
            <wp:effectExtent l="0" t="0" r="27940" b="17780"/>
            <wp:docPr id="22" name="Chart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D3CAA" w:rsidRDefault="00AD3CAA" w:rsidP="00057B42">
      <w:pPr>
        <w:pStyle w:val="Caption"/>
        <w:jc w:val="both"/>
        <w:rPr>
          <w:rFonts w:eastAsia="Times New Roman"/>
          <w:b w:val="0"/>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5</w:t>
        </w:r>
      </w:fldSimple>
      <w:r>
        <w:t xml:space="preserve"> </w:t>
      </w:r>
      <w:bookmarkStart w:id="945" w:name="_Toc279441889"/>
      <w:r w:rsidR="006B72EF" w:rsidRPr="00AD3CAA">
        <w:rPr>
          <w:rFonts w:eastAsia="Times New Roman"/>
          <w:bCs w:val="0"/>
          <w:color w:val="000000"/>
          <w:lang w:eastAsia="en-US"/>
        </w:rPr>
        <w:t>shows multiple myeloma serum samples set; There are 302 serum samples. These samples were collected from patients at various stages of disease classified based on IMWG response criteria. Abbreviations; CR: complete response, VGPR: very good partial response, PR: partial response, IMWG: International Myeloma Working Group, PD: progressive disease, NR: non-responders.</w:t>
      </w:r>
      <w:bookmarkEnd w:id="945"/>
      <w:r w:rsidR="006B72EF" w:rsidRPr="006B72EF">
        <w:rPr>
          <w:rFonts w:eastAsia="Times New Roman"/>
          <w:b w:val="0"/>
          <w:bCs w:val="0"/>
          <w:color w:val="000000"/>
          <w:lang w:eastAsia="en-US"/>
        </w:rPr>
        <w:t xml:space="preserve">  </w:t>
      </w:r>
    </w:p>
    <w:p w:rsidR="006B72EF" w:rsidRDefault="006B72EF" w:rsidP="00057B42">
      <w:pPr>
        <w:pStyle w:val="Caption"/>
        <w:jc w:val="both"/>
        <w:rPr>
          <w:rFonts w:eastAsia="Times New Roman"/>
          <w:b w:val="0"/>
          <w:bCs w:val="0"/>
          <w:color w:val="000000"/>
          <w:lang w:eastAsia="en-US"/>
        </w:rPr>
      </w:pPr>
    </w:p>
    <w:p w:rsidR="00AD3CAA" w:rsidRDefault="00AD3CAA" w:rsidP="00057B42">
      <w:pPr>
        <w:pBdr>
          <w:bottom w:val="single" w:sz="12" w:space="1" w:color="auto"/>
        </w:pBdr>
        <w:spacing w:line="360" w:lineRule="auto"/>
        <w:rPr>
          <w:lang w:eastAsia="en-US"/>
        </w:rPr>
      </w:pPr>
    </w:p>
    <w:p w:rsidR="00AD3CAA" w:rsidRPr="00AD3CAA" w:rsidRDefault="00AD3CAA" w:rsidP="00057B42">
      <w:pPr>
        <w:spacing w:line="360" w:lineRule="auto"/>
        <w:rPr>
          <w:lang w:eastAsia="en-US"/>
        </w:rPr>
      </w:pPr>
    </w:p>
    <w:p w:rsidR="006B72EF" w:rsidRDefault="00E56B89" w:rsidP="00645687">
      <w:pPr>
        <w:pStyle w:val="Heading2"/>
      </w:pPr>
      <w:bookmarkStart w:id="946" w:name="_Toc274586809"/>
      <w:bookmarkStart w:id="947" w:name="_Toc274736166"/>
      <w:bookmarkStart w:id="948" w:name="_Toc279658432"/>
      <w:bookmarkStart w:id="949" w:name="_Toc306570653"/>
      <w:bookmarkStart w:id="950" w:name="_Toc307067718"/>
      <w:r>
        <w:tab/>
      </w:r>
      <w:bookmarkStart w:id="951" w:name="_Toc312169290"/>
      <w:bookmarkStart w:id="952" w:name="_Toc312172217"/>
      <w:bookmarkStart w:id="953" w:name="_Toc312257766"/>
      <w:r w:rsidR="002968BA">
        <w:t>2D-DIGE</w:t>
      </w:r>
      <w:r w:rsidR="006B72EF" w:rsidRPr="006B72EF">
        <w:t xml:space="preserve"> biomarker discovery</w:t>
      </w:r>
      <w:bookmarkEnd w:id="946"/>
      <w:bookmarkEnd w:id="947"/>
      <w:bookmarkEnd w:id="948"/>
      <w:bookmarkEnd w:id="949"/>
      <w:bookmarkEnd w:id="950"/>
      <w:bookmarkEnd w:id="951"/>
      <w:bookmarkEnd w:id="952"/>
      <w:bookmarkEnd w:id="953"/>
    </w:p>
    <w:p w:rsidR="00B34315" w:rsidRPr="006B72EF" w:rsidRDefault="006B72EF" w:rsidP="00E53409">
      <w:pPr>
        <w:spacing w:before="240" w:after="240" w:line="360" w:lineRule="auto"/>
        <w:jc w:val="both"/>
        <w:rPr>
          <w:rFonts w:eastAsia="Times New Roman"/>
          <w:color w:val="0D0D0D"/>
          <w:lang w:eastAsia="en-US"/>
        </w:rPr>
      </w:pPr>
      <w:r w:rsidRPr="006B72EF">
        <w:rPr>
          <w:rFonts w:eastAsia="Times New Roman"/>
          <w:color w:val="0D0D0D"/>
          <w:lang w:eastAsia="en-US"/>
        </w:rPr>
        <w:t xml:space="preserve">As explained </w:t>
      </w:r>
      <w:r w:rsidR="00DC74BE">
        <w:rPr>
          <w:rFonts w:eastAsia="Times New Roman"/>
          <w:color w:val="0D0D0D"/>
          <w:lang w:eastAsia="en-US"/>
        </w:rPr>
        <w:t>in Introduction-Chapter 1 page 84</w:t>
      </w:r>
      <w:r w:rsidRPr="006B72EF">
        <w:rPr>
          <w:rFonts w:eastAsia="Times New Roman"/>
          <w:color w:val="0D0D0D"/>
          <w:lang w:eastAsia="en-US"/>
        </w:rPr>
        <w:t xml:space="preserve">, serum samples obtained from different patients groups are differentially labelled with spectrally resolvable fluorescent dyes (Cy2, Cy3 and Cy5) and co-resolved on a single 2D gel for direct </w:t>
      </w:r>
      <w:r w:rsidRPr="006B72EF">
        <w:rPr>
          <w:rFonts w:eastAsia="Times New Roman"/>
          <w:color w:val="0D0D0D"/>
          <w:lang w:eastAsia="en-US"/>
        </w:rPr>
        <w:lastRenderedPageBreak/>
        <w:t>quantitation</w:t>
      </w:r>
      <w:r w:rsidR="003C51E7">
        <w:rPr>
          <w:rFonts w:eastAsia="Times New Roman"/>
          <w:color w:val="0D0D0D"/>
          <w:lang w:eastAsia="en-US"/>
        </w:rPr>
        <w:t>.</w:t>
      </w:r>
      <w:r w:rsidRPr="006B72EF">
        <w:rPr>
          <w:rFonts w:eastAsia="Times New Roman"/>
          <w:color w:val="0D0D0D"/>
          <w:lang w:eastAsia="en-US"/>
        </w:rPr>
        <w:t xml:space="preserve"> The proteins in each sample are covalently tagged with three colour fluorescent dyes. </w:t>
      </w:r>
    </w:p>
    <w:p w:rsidR="006B72EF" w:rsidRDefault="0046737E" w:rsidP="00645687">
      <w:pPr>
        <w:pStyle w:val="Heading3"/>
      </w:pPr>
      <w:bookmarkStart w:id="954" w:name="_Toc279658433"/>
      <w:bookmarkStart w:id="955" w:name="_Toc306570654"/>
      <w:bookmarkStart w:id="956" w:name="_Toc307067719"/>
      <w:r>
        <w:tab/>
      </w:r>
      <w:bookmarkStart w:id="957" w:name="_Toc312169291"/>
      <w:bookmarkStart w:id="958" w:name="_Toc312172218"/>
      <w:bookmarkStart w:id="959" w:name="_Toc312257767"/>
      <w:r w:rsidR="006B72EF" w:rsidRPr="006B72EF">
        <w:t xml:space="preserve">Patients’ samples data set for </w:t>
      </w:r>
      <w:r w:rsidR="002968BA">
        <w:t>2D-DIGE</w:t>
      </w:r>
      <w:r w:rsidR="006B72EF" w:rsidRPr="006B72EF">
        <w:t xml:space="preserve"> analysis</w:t>
      </w:r>
      <w:bookmarkEnd w:id="954"/>
      <w:bookmarkEnd w:id="955"/>
      <w:bookmarkEnd w:id="956"/>
      <w:bookmarkEnd w:id="957"/>
      <w:bookmarkEnd w:id="958"/>
      <w:bookmarkEnd w:id="959"/>
    </w:p>
    <w:p w:rsidR="006B72EF" w:rsidRDefault="006B72EF" w:rsidP="00057B42">
      <w:pPr>
        <w:spacing w:after="240" w:line="360" w:lineRule="auto"/>
        <w:contextualSpacing/>
        <w:jc w:val="both"/>
        <w:rPr>
          <w:rFonts w:eastAsia="Times New Roman"/>
          <w:color w:val="0D0D0D"/>
          <w:lang w:eastAsia="en-US"/>
        </w:rPr>
      </w:pPr>
      <w:r w:rsidRPr="006B72EF">
        <w:rPr>
          <w:rFonts w:eastAsia="Times New Roman"/>
          <w:color w:val="0D0D0D"/>
          <w:lang w:eastAsia="en-US"/>
        </w:rPr>
        <w:t xml:space="preserve">Proteomic analysis was performed on  newly-diagnosed multiple myeloma patients treated with a thalidomide-based regimen. Samples were collected at diagnosis and prior to initial treatment with thalidomide-based regimens. </w:t>
      </w:r>
    </w:p>
    <w:p w:rsidR="006B72EF" w:rsidRDefault="0046737E" w:rsidP="00645687">
      <w:pPr>
        <w:pStyle w:val="Heading3"/>
      </w:pPr>
      <w:bookmarkStart w:id="960" w:name="_Toc274586810"/>
      <w:bookmarkStart w:id="961" w:name="_Toc274736167"/>
      <w:bookmarkStart w:id="962" w:name="_Toc279658434"/>
      <w:bookmarkStart w:id="963" w:name="_Toc306570655"/>
      <w:bookmarkStart w:id="964" w:name="_Toc307067720"/>
      <w:r>
        <w:tab/>
      </w:r>
      <w:bookmarkStart w:id="965" w:name="_Toc312169292"/>
      <w:bookmarkStart w:id="966" w:name="_Toc312172219"/>
      <w:bookmarkStart w:id="967" w:name="_Toc312257768"/>
      <w:r w:rsidR="006B72EF" w:rsidRPr="006B72EF">
        <w:t>Age and Response data set</w:t>
      </w:r>
      <w:bookmarkEnd w:id="960"/>
      <w:bookmarkEnd w:id="961"/>
      <w:bookmarkEnd w:id="962"/>
      <w:bookmarkEnd w:id="963"/>
      <w:bookmarkEnd w:id="964"/>
      <w:bookmarkEnd w:id="965"/>
      <w:bookmarkEnd w:id="966"/>
      <w:bookmarkEnd w:id="967"/>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mean age of the patient group was 68 SD +/- 6.95 years (range 52- 81 years). There were 27 male</w:t>
      </w:r>
      <w:r w:rsidR="00525022">
        <w:rPr>
          <w:rFonts w:eastAsia="Times New Roman"/>
          <w:color w:val="0D0D0D"/>
          <w:lang w:eastAsia="en-US"/>
        </w:rPr>
        <w:t>s</w:t>
      </w:r>
      <w:r w:rsidRPr="006B72EF">
        <w:rPr>
          <w:rFonts w:eastAsia="Times New Roman"/>
          <w:color w:val="0D0D0D"/>
          <w:lang w:eastAsia="en-US"/>
        </w:rPr>
        <w:t xml:space="preserve"> and 24 female</w:t>
      </w:r>
      <w:r w:rsidR="00525022">
        <w:rPr>
          <w:rFonts w:eastAsia="Times New Roman"/>
          <w:color w:val="0D0D0D"/>
          <w:lang w:eastAsia="en-US"/>
        </w:rPr>
        <w:t>s</w:t>
      </w:r>
      <w:r w:rsidRPr="006B72EF">
        <w:rPr>
          <w:rFonts w:eastAsia="Times New Roman"/>
          <w:color w:val="0D0D0D"/>
          <w:lang w:eastAsia="en-US"/>
        </w:rPr>
        <w:t>.</w:t>
      </w:r>
      <w:r w:rsidR="002855FA">
        <w:rPr>
          <w:rFonts w:eastAsia="Times New Roman"/>
          <w:color w:val="0D0D0D"/>
          <w:lang w:eastAsia="en-US"/>
        </w:rPr>
        <w:t xml:space="preserve"> </w:t>
      </w:r>
      <w:r w:rsidRPr="006B72EF">
        <w:rPr>
          <w:rFonts w:eastAsia="Times New Roman"/>
          <w:color w:val="0D0D0D"/>
          <w:lang w:eastAsia="en-US"/>
        </w:rPr>
        <w:t xml:space="preserve">Based on Day-100 re-staging investigations of multiple myeloma and using the International Myeloma Working Group uniform response criteria </w:t>
      </w:r>
      <w:r w:rsidRPr="006B72EF">
        <w:rPr>
          <w:rFonts w:eastAsia="Times New Roman"/>
          <w:color w:val="0D0D0D"/>
          <w:lang w:eastAsia="en-US"/>
        </w:rPr>
        <w:fldChar w:fldCharType="begin">
          <w:fldData xml:space="preserve">PEVuZE5vdGU+PENpdGU+PEF1dGhvcj5SYWprdW1hcjwvQXV0aG9yPjxZZWFyPjIwMDc8L1llYXI+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=
</w:fldData>
        </w:fldChar>
      </w:r>
      <w:r w:rsidR="00857D49">
        <w:rPr>
          <w:rFonts w:eastAsia="Times New Roman"/>
          <w:color w:val="0D0D0D"/>
          <w:lang w:eastAsia="en-US"/>
        </w:rPr>
        <w:instrText xml:space="preserve"> ADDIN EN.CITE </w:instrText>
      </w:r>
      <w:r w:rsidR="00857D49">
        <w:rPr>
          <w:rFonts w:eastAsia="Times New Roman"/>
          <w:color w:val="0D0D0D"/>
          <w:lang w:eastAsia="en-US"/>
        </w:rPr>
        <w:fldChar w:fldCharType="begin">
          <w:fldData xml:space="preserve">PEVuZE5vdGU+PENpdGU+PEF1dGhvcj5SYWprdW1hcjwvQXV0aG9yPjxZZWFyPjIwMDc8L1llYXI+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=
</w:fldData>
        </w:fldChar>
      </w:r>
      <w:r w:rsidR="00857D49">
        <w:rPr>
          <w:rFonts w:eastAsia="Times New Roman"/>
          <w:color w:val="0D0D0D"/>
          <w:lang w:eastAsia="en-US"/>
        </w:rPr>
        <w:instrText xml:space="preserve"> ADDIN EN.CITE.DATA </w:instrText>
      </w:r>
      <w:r w:rsidR="00857D49">
        <w:rPr>
          <w:rFonts w:eastAsia="Times New Roman"/>
          <w:color w:val="0D0D0D"/>
          <w:lang w:eastAsia="en-US"/>
        </w:rPr>
      </w:r>
      <w:r w:rsidR="00857D49">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333" w:tooltip="Rajkumar, 2007 #7182" w:history="1">
        <w:r w:rsidR="004A784D">
          <w:rPr>
            <w:rFonts w:eastAsia="Times New Roman"/>
            <w:noProof/>
            <w:color w:val="0D0D0D"/>
            <w:lang w:eastAsia="en-US"/>
          </w:rPr>
          <w:t>Rajkumar and Buadi, 2007</w:t>
        </w:r>
      </w:hyperlink>
      <w:r w:rsidR="006F41FE">
        <w:rPr>
          <w:rFonts w:eastAsia="Times New Roman"/>
          <w:noProof/>
          <w:color w:val="0D0D0D"/>
          <w:lang w:eastAsia="en-US"/>
        </w:rPr>
        <w:t xml:space="preserve">, </w:t>
      </w:r>
      <w:hyperlink w:anchor="_ENREF_111" w:tooltip="Durie, 2006 #4" w:history="1">
        <w:r w:rsidR="004A784D">
          <w:rPr>
            <w:rFonts w:eastAsia="Times New Roman"/>
            <w:noProof/>
            <w:color w:val="0D0D0D"/>
            <w:lang w:eastAsia="en-US"/>
          </w:rPr>
          <w:t>Durie et al., 2006</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 xml:space="preserve"> for </w:t>
      </w:r>
      <w:r w:rsidR="009A6EE7">
        <w:rPr>
          <w:rFonts w:eastAsia="Times New Roman"/>
          <w:color w:val="0D0D0D"/>
          <w:lang w:eastAsia="en-US"/>
        </w:rPr>
        <w:t xml:space="preserve">MM, </w:t>
      </w:r>
      <w:r w:rsidRPr="006B72EF">
        <w:rPr>
          <w:rFonts w:eastAsia="Times New Roman"/>
          <w:color w:val="0D0D0D"/>
          <w:lang w:eastAsia="en-US"/>
        </w:rPr>
        <w:t>patients were classified as follows:</w:t>
      </w:r>
      <w:r w:rsidR="009A6EE7">
        <w:rPr>
          <w:rFonts w:eastAsia="Times New Roman"/>
          <w:color w:val="0D0D0D"/>
          <w:lang w:eastAsia="en-US"/>
        </w:rPr>
        <w:t xml:space="preserve"> </w:t>
      </w:r>
      <w:r w:rsidRPr="006B72EF">
        <w:rPr>
          <w:rFonts w:eastAsia="Times New Roman"/>
          <w:color w:val="0D0D0D"/>
          <w:lang w:eastAsia="en-US"/>
        </w:rPr>
        <w:t>Twenty nine patients were responders to thalidomide-based therapy. The mean age for this group was 66 SD +/- 6.80 years (range, 52-81 years).</w:t>
      </w:r>
      <w:r w:rsidR="009A6EE7">
        <w:rPr>
          <w:rFonts w:eastAsia="Times New Roman"/>
          <w:color w:val="0D0D0D"/>
          <w:lang w:eastAsia="en-US"/>
        </w:rPr>
        <w:t xml:space="preserve"> </w:t>
      </w:r>
      <w:r w:rsidRPr="006B72EF">
        <w:rPr>
          <w:rFonts w:eastAsia="Times New Roman"/>
          <w:color w:val="0D0D0D"/>
          <w:lang w:eastAsia="en-US"/>
        </w:rPr>
        <w:t xml:space="preserve">Twenty </w:t>
      </w:r>
      <w:r w:rsidR="00525022">
        <w:rPr>
          <w:rFonts w:eastAsia="Times New Roman"/>
          <w:color w:val="0D0D0D"/>
          <w:lang w:eastAsia="en-US"/>
        </w:rPr>
        <w:t xml:space="preserve">two </w:t>
      </w:r>
      <w:r w:rsidRPr="006B72EF">
        <w:rPr>
          <w:rFonts w:eastAsia="Times New Roman"/>
          <w:color w:val="0D0D0D"/>
          <w:lang w:eastAsia="en-US"/>
        </w:rPr>
        <w:t>patients were non-responders to thalidomide-based therapy. The mean age for this group was 70 SD +/- 6.69 years (range, 57-79 years).</w:t>
      </w:r>
      <w:r w:rsidR="00B34315">
        <w:rPr>
          <w:rFonts w:eastAsia="Times New Roman"/>
          <w:color w:val="0D0D0D"/>
          <w:lang w:eastAsia="en-US"/>
        </w:rPr>
        <w:t xml:space="preserve"> </w:t>
      </w:r>
      <w:bookmarkStart w:id="968" w:name="_Toc274736168"/>
      <w:bookmarkStart w:id="969" w:name="_Toc274586811"/>
    </w:p>
    <w:p w:rsidR="006B72EF" w:rsidRDefault="0046737E" w:rsidP="00645687">
      <w:pPr>
        <w:pStyle w:val="Heading3"/>
      </w:pPr>
      <w:bookmarkStart w:id="970" w:name="_Toc279658435"/>
      <w:r>
        <w:tab/>
      </w:r>
      <w:r w:rsidR="00AD3CAA">
        <w:t xml:space="preserve"> </w:t>
      </w:r>
      <w:bookmarkStart w:id="971" w:name="_Toc306570656"/>
      <w:bookmarkStart w:id="972" w:name="_Toc307067721"/>
      <w:bookmarkStart w:id="973" w:name="_Toc312169293"/>
      <w:bookmarkStart w:id="974" w:name="_Toc312172220"/>
      <w:bookmarkStart w:id="975" w:name="_Toc312257769"/>
      <w:r w:rsidR="006B72EF" w:rsidRPr="006B72EF">
        <w:t>Disease staging</w:t>
      </w:r>
      <w:bookmarkEnd w:id="970"/>
      <w:bookmarkEnd w:id="971"/>
      <w:bookmarkEnd w:id="972"/>
      <w:bookmarkEnd w:id="973"/>
      <w:bookmarkEnd w:id="974"/>
      <w:bookmarkEnd w:id="975"/>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Patients multiple myeloma disease status were designated based on the International Staging System (ISS) classification </w:t>
      </w:r>
      <w:r w:rsidRPr="006B72EF">
        <w:rPr>
          <w:rFonts w:eastAsia="Times New Roman"/>
          <w:color w:val="0D0D0D"/>
          <w:lang w:eastAsia="en-US"/>
        </w:rPr>
        <w:fldChar w:fldCharType="begin"/>
      </w:r>
      <w:r w:rsidR="006F41FE">
        <w:rPr>
          <w:rFonts w:eastAsia="Times New Roman"/>
          <w:color w:val="0D0D0D"/>
          <w:lang w:eastAsia="en-US"/>
        </w:rPr>
        <w:instrText xml:space="preserve"> ADDIN EN.CITE &lt;EndNote&gt;&lt;Cite&gt;&lt;Author&gt;Hotta&lt;/Author&gt;&lt;Year&gt;2007&lt;/Year&gt;&lt;RecNum&gt;25&lt;/RecNum&gt;&lt;DisplayText&gt;(Hotta, 2007)&lt;/DisplayText&gt;&lt;record&gt;&lt;rec-number&gt;25&lt;/rec-number&gt;&lt;ref-type name="Journal Article"&gt;17&lt;/ref-type&gt;&lt;contributors&gt;&lt;authors&gt;&lt;author&gt;Hotta, T.&lt;/author&gt;&lt;/authors&gt;&lt;/contributors&gt;&lt;auth-address&gt;National Hospital Organization, Nagoya Medical Center.&lt;/auth-address&gt;&lt;titles&gt;&lt;title&gt;[Classification, staging and prognostic indices for multiple myeloma]&lt;/title&gt;&lt;secondary-title&gt;Nippon Rinsho&lt;/secondary-title&gt;&lt;/titles&gt;&lt;pages&gt;2161-6&lt;/pages&gt;&lt;volume&gt;65&lt;/volume&gt;&lt;number&gt;12&lt;/number&gt;&lt;keywords&gt;&lt;keyword&gt;Biological Markers/analysis&lt;/keyword&gt;&lt;keyword&gt;Diagnostic Imaging&lt;/keyword&gt;&lt;keyword&gt;Humans&lt;/keyword&gt;&lt;keyword&gt;Multiple Myeloma/classification/*diagnosis/pathology&lt;/keyword&gt;&lt;keyword&gt;Myeloma Proteins/analysis&lt;/keyword&gt;&lt;keyword&gt;Neoplasm Staging&lt;/keyword&gt;&lt;keyword&gt;Prognosis&lt;/keyword&gt;&lt;keyword&gt;Reference Standards&lt;/keyword&gt;&lt;keyword&gt;Serum Albumin/analysis&lt;/keyword&gt;&lt;keyword&gt;beta 2-Microglobulin/blood&lt;/keyword&gt;&lt;/keywords&gt;&lt;dates&gt;&lt;year&gt;2007&lt;/year&gt;&lt;pub-dates&gt;&lt;date&gt;Dec&lt;/date&gt;&lt;/pub-dates&gt;&lt;/dates&gt;&lt;accession-num&gt;18069256&lt;/accession-num&gt;&lt;urls&gt;&lt;related-urls&gt;&lt;url&gt;http://www.ncbi.nlm.nih.gov/entrez/query.fcgi?cmd=Retrieve&amp;amp;db=PubMed&amp;amp;dopt=Citation&amp;amp;list_uids=18069256 &lt;/url&gt;&lt;/related-urls&gt;&lt;/urls&gt;&lt;/record&gt;&lt;/Cite&gt;&lt;/EndNote&gt;</w:instrText>
      </w:r>
      <w:r w:rsidRPr="006B72EF">
        <w:rPr>
          <w:rFonts w:eastAsia="Times New Roman"/>
          <w:color w:val="0D0D0D"/>
          <w:lang w:eastAsia="en-US"/>
        </w:rPr>
        <w:fldChar w:fldCharType="separate"/>
      </w:r>
      <w:bookmarkEnd w:id="968"/>
      <w:bookmarkEnd w:id="969"/>
      <w:r w:rsidR="006F41FE">
        <w:rPr>
          <w:rFonts w:eastAsia="Times New Roman"/>
          <w:noProof/>
          <w:color w:val="0D0D0D"/>
          <w:lang w:eastAsia="en-US"/>
        </w:rPr>
        <w:t>(</w:t>
      </w:r>
      <w:hyperlink w:anchor="_ENREF_180" w:tooltip="Hotta, 2007 #25" w:history="1">
        <w:r w:rsidR="004A784D">
          <w:rPr>
            <w:rFonts w:eastAsia="Times New Roman"/>
            <w:noProof/>
            <w:color w:val="0D0D0D"/>
            <w:lang w:eastAsia="en-US"/>
          </w:rPr>
          <w:t>Hotta, 2007</w:t>
        </w:r>
      </w:hyperlink>
      <w:r w:rsidR="006F41FE">
        <w:rPr>
          <w:rFonts w:eastAsia="Times New Roman"/>
          <w:noProof/>
          <w:color w:val="0D0D0D"/>
          <w:lang w:eastAsia="en-US"/>
        </w:rPr>
        <w:t>)</w:t>
      </w:r>
      <w:r w:rsidRPr="006B72EF">
        <w:rPr>
          <w:rFonts w:eastAsia="Times New Roman"/>
          <w:color w:val="0D0D0D"/>
          <w:lang w:eastAsia="en-US"/>
        </w:rPr>
        <w:fldChar w:fldCharType="end"/>
      </w:r>
      <w:r w:rsidR="00AD3CAA">
        <w:rPr>
          <w:rFonts w:eastAsia="Times New Roman"/>
          <w:color w:val="0D0D0D"/>
          <w:lang w:eastAsia="en-US"/>
        </w:rPr>
        <w:t>.</w:t>
      </w:r>
      <w:bookmarkStart w:id="976" w:name="_Toc274586812"/>
      <w:bookmarkStart w:id="977" w:name="_Toc274736169"/>
      <w:r w:rsidR="00AD3CAA">
        <w:rPr>
          <w:rFonts w:eastAsia="Times New Roman"/>
          <w:color w:val="0D0D0D"/>
          <w:lang w:eastAsia="en-US"/>
        </w:rPr>
        <w:t xml:space="preserve"> </w:t>
      </w:r>
      <w:r w:rsidRPr="006B72EF">
        <w:rPr>
          <w:rFonts w:eastAsia="Times New Roman"/>
          <w:color w:val="0D0D0D"/>
          <w:lang w:eastAsia="en-US"/>
        </w:rPr>
        <w:t>Six responding patients had stage I disease,</w:t>
      </w:r>
      <w:bookmarkEnd w:id="976"/>
      <w:bookmarkEnd w:id="977"/>
      <w:r w:rsidR="00AD3CAA">
        <w:rPr>
          <w:rFonts w:eastAsia="Times New Roman"/>
          <w:color w:val="0D0D0D"/>
          <w:lang w:eastAsia="en-US"/>
        </w:rPr>
        <w:t xml:space="preserve"> </w:t>
      </w:r>
      <w:r w:rsidR="00525022">
        <w:rPr>
          <w:rFonts w:eastAsia="Times New Roman"/>
          <w:color w:val="0D0D0D"/>
          <w:lang w:eastAsia="en-US"/>
        </w:rPr>
        <w:t>f</w:t>
      </w:r>
      <w:r w:rsidRPr="006B72EF">
        <w:rPr>
          <w:rFonts w:eastAsia="Times New Roman"/>
          <w:color w:val="0D0D0D"/>
          <w:lang w:eastAsia="en-US"/>
        </w:rPr>
        <w:t>ifteen responding patients had stage II disease; eight responding patients had stage III disease,</w:t>
      </w:r>
      <w:r w:rsidR="00AD3CAA">
        <w:rPr>
          <w:rFonts w:eastAsia="Times New Roman"/>
          <w:color w:val="0D0D0D"/>
          <w:lang w:eastAsia="en-US"/>
        </w:rPr>
        <w:t xml:space="preserve"> </w:t>
      </w:r>
      <w:r w:rsidRPr="006B72EF">
        <w:rPr>
          <w:rFonts w:eastAsia="Times New Roman"/>
          <w:color w:val="0D0D0D"/>
          <w:lang w:eastAsia="en-US"/>
        </w:rPr>
        <w:t>Two non-responding patients had stage I disease, eleven non-responding patients had stage II disease and nine non-responding patients had stage III disease.</w:t>
      </w:r>
    </w:p>
    <w:p w:rsidR="006B72EF" w:rsidRDefault="006B72EF" w:rsidP="00645687">
      <w:pPr>
        <w:pStyle w:val="Heading3"/>
      </w:pPr>
      <w:bookmarkStart w:id="978" w:name="_Toc274586813"/>
      <w:bookmarkStart w:id="979" w:name="_Toc274736170"/>
      <w:r w:rsidRPr="006B72EF">
        <w:tab/>
      </w:r>
      <w:bookmarkStart w:id="980" w:name="_Toc279658436"/>
      <w:bookmarkStart w:id="981" w:name="_Toc306570657"/>
      <w:bookmarkStart w:id="982" w:name="_Toc307067722"/>
      <w:bookmarkStart w:id="983" w:name="_Toc312169294"/>
      <w:bookmarkStart w:id="984" w:name="_Toc312172221"/>
      <w:bookmarkStart w:id="985" w:name="_Toc312257770"/>
      <w:r w:rsidRPr="006B72EF">
        <w:t>Treatment protocols</w:t>
      </w:r>
      <w:bookmarkEnd w:id="978"/>
      <w:bookmarkEnd w:id="979"/>
      <w:bookmarkEnd w:id="980"/>
      <w:bookmarkEnd w:id="981"/>
      <w:bookmarkEnd w:id="982"/>
      <w:bookmarkEnd w:id="983"/>
      <w:bookmarkEnd w:id="984"/>
      <w:bookmarkEnd w:id="985"/>
    </w:p>
    <w:p w:rsidR="006B72EF" w:rsidRDefault="006B72EF" w:rsidP="00057B42">
      <w:pPr>
        <w:spacing w:after="240" w:line="360" w:lineRule="auto"/>
        <w:jc w:val="both"/>
        <w:rPr>
          <w:rFonts w:eastAsia="Times New Roman"/>
          <w:color w:val="0D0D0D"/>
          <w:lang w:eastAsia="en-US"/>
        </w:rPr>
      </w:pPr>
      <w:bookmarkStart w:id="986" w:name="_Toc274586814"/>
      <w:bookmarkStart w:id="987" w:name="_Toc274587462"/>
      <w:bookmarkStart w:id="988" w:name="_Toc274736171"/>
      <w:r w:rsidRPr="006B72EF">
        <w:rPr>
          <w:rFonts w:eastAsia="Times New Roman"/>
          <w:color w:val="0D0D0D"/>
          <w:lang w:eastAsia="en-US"/>
        </w:rPr>
        <w:t xml:space="preserve">All patients received a standard thalidomide based anti-myeloma regimen. Thalidomide in combination with corticosteroid is recommended for the first-line treatment of multiple myeloma and the addition of an alkylating agent to the above combination is recommended as a first-line treatment in patients for whom high-dose chemotherapy with stem cell transplantation is considered inappropriate. In this study, depending on the clinical profile of patients, they were treated by the various </w:t>
      </w:r>
      <w:r w:rsidRPr="006B72EF">
        <w:rPr>
          <w:rFonts w:eastAsia="Times New Roman"/>
          <w:color w:val="0D0D0D"/>
          <w:lang w:eastAsia="en-US"/>
        </w:rPr>
        <w:lastRenderedPageBreak/>
        <w:t>combination of thalidomide based anti-myeloma therap</w:t>
      </w:r>
      <w:bookmarkEnd w:id="986"/>
      <w:bookmarkEnd w:id="987"/>
      <w:bookmarkEnd w:id="988"/>
      <w:r w:rsidRPr="006B72EF">
        <w:rPr>
          <w:rFonts w:eastAsia="Times New Roman"/>
          <w:color w:val="0D0D0D"/>
          <w:lang w:eastAsia="en-US"/>
        </w:rPr>
        <w:t>ies, However the difference in the number of various treatments protocols used between responders, and non-responders were not significant (</w:t>
      </w:r>
      <w:r w:rsidR="0010315E" w:rsidRPr="0010315E">
        <w:rPr>
          <w:rFonts w:eastAsia="Times New Roman"/>
          <w:i/>
          <w:color w:val="0D0D0D"/>
          <w:lang w:eastAsia="en-US"/>
        </w:rPr>
        <w:t>p=</w:t>
      </w:r>
      <w:r w:rsidRPr="006B72EF">
        <w:rPr>
          <w:rFonts w:eastAsia="Times New Roman"/>
          <w:color w:val="0D0D0D"/>
          <w:lang w:eastAsia="en-US"/>
        </w:rPr>
        <w:t xml:space="preserve"> 0.40) (Figure </w:t>
      </w:r>
      <w:r w:rsidR="00AD3CAA">
        <w:rPr>
          <w:rFonts w:eastAsia="Times New Roman"/>
          <w:color w:val="0D0D0D"/>
          <w:lang w:eastAsia="en-US"/>
        </w:rPr>
        <w:t>3-</w:t>
      </w:r>
      <w:r w:rsidRPr="006B72EF">
        <w:rPr>
          <w:rFonts w:eastAsia="Times New Roman"/>
          <w:color w:val="0D0D0D"/>
          <w:lang w:eastAsia="en-US"/>
        </w:rPr>
        <w:t xml:space="preserve">6). </w:t>
      </w:r>
    </w:p>
    <w:p w:rsidR="006B72EF" w:rsidRDefault="00AD3CAA" w:rsidP="00645687">
      <w:pPr>
        <w:pStyle w:val="Heading4"/>
      </w:pPr>
      <w:bookmarkStart w:id="989" w:name="_Toc274586815"/>
      <w:bookmarkStart w:id="990" w:name="_Toc274736172"/>
      <w:bookmarkStart w:id="991" w:name="_Toc279658437"/>
      <w:r>
        <w:tab/>
      </w:r>
      <w:bookmarkStart w:id="992" w:name="_Toc306570658"/>
      <w:bookmarkStart w:id="993" w:name="_Toc307067723"/>
      <w:bookmarkStart w:id="994" w:name="_Toc312169295"/>
      <w:bookmarkStart w:id="995" w:name="_Toc312172222"/>
      <w:bookmarkStart w:id="996" w:name="_Toc312257771"/>
      <w:r w:rsidR="006B72EF" w:rsidRPr="006B72EF">
        <w:t>Patients responsive to thalidomide based regimen</w:t>
      </w:r>
      <w:bookmarkEnd w:id="989"/>
      <w:bookmarkEnd w:id="990"/>
      <w:bookmarkEnd w:id="991"/>
      <w:bookmarkEnd w:id="992"/>
      <w:bookmarkEnd w:id="993"/>
      <w:bookmarkEnd w:id="994"/>
      <w:bookmarkEnd w:id="995"/>
      <w:bookmarkEnd w:id="996"/>
    </w:p>
    <w:p w:rsidR="006B72EF" w:rsidRDefault="006B72EF" w:rsidP="00525022">
      <w:pPr>
        <w:spacing w:before="240" w:after="240" w:line="360" w:lineRule="auto"/>
        <w:jc w:val="both"/>
        <w:rPr>
          <w:rFonts w:eastAsia="Times New Roman"/>
          <w:color w:val="0D0D0D"/>
          <w:lang w:eastAsia="en-US"/>
        </w:rPr>
      </w:pPr>
      <w:r w:rsidRPr="006B72EF">
        <w:rPr>
          <w:rFonts w:eastAsia="Times New Roman"/>
          <w:color w:val="0D0D0D"/>
          <w:lang w:eastAsia="en-US"/>
        </w:rPr>
        <w:t xml:space="preserve">Twenty four patients were treated with </w:t>
      </w:r>
      <w:r w:rsidR="009A6EE7">
        <w:rPr>
          <w:rFonts w:eastAsia="Times New Roman"/>
          <w:color w:val="0D0D0D"/>
          <w:lang w:eastAsia="en-US"/>
        </w:rPr>
        <w:t>thalidomide</w:t>
      </w:r>
      <w:r w:rsidRPr="006B72EF">
        <w:rPr>
          <w:rFonts w:eastAsia="Times New Roman"/>
          <w:color w:val="0D0D0D"/>
          <w:lang w:eastAsia="en-US"/>
        </w:rPr>
        <w:t xml:space="preserve"> and dexamethasone based therapy, three patients were treated with thalidomide; cyclophosphamide and dexamethasone based therapy and two patients were treated with melphalan, prednisone and thalidomide.</w:t>
      </w:r>
    </w:p>
    <w:p w:rsidR="006B72EF" w:rsidRDefault="00AD3CAA" w:rsidP="00645687">
      <w:pPr>
        <w:pStyle w:val="Heading4"/>
      </w:pPr>
      <w:bookmarkStart w:id="997" w:name="_Toc279658438"/>
      <w:r>
        <w:tab/>
      </w:r>
      <w:bookmarkStart w:id="998" w:name="_Toc306570659"/>
      <w:bookmarkStart w:id="999" w:name="_Toc307067724"/>
      <w:bookmarkStart w:id="1000" w:name="_Toc312169296"/>
      <w:bookmarkStart w:id="1001" w:name="_Toc312172223"/>
      <w:bookmarkStart w:id="1002" w:name="_Toc312257772"/>
      <w:r w:rsidR="006B72EF" w:rsidRPr="006B72EF">
        <w:t>Patients non-responsive to thalidomide based regimen</w:t>
      </w:r>
      <w:bookmarkEnd w:id="997"/>
      <w:bookmarkEnd w:id="998"/>
      <w:bookmarkEnd w:id="999"/>
      <w:bookmarkEnd w:id="1000"/>
      <w:bookmarkEnd w:id="1001"/>
      <w:bookmarkEnd w:id="1002"/>
    </w:p>
    <w:p w:rsidR="006B4C84" w:rsidRDefault="006B72EF" w:rsidP="00525022">
      <w:pPr>
        <w:spacing w:before="240" w:after="240" w:line="360" w:lineRule="auto"/>
        <w:jc w:val="both"/>
        <w:rPr>
          <w:rFonts w:eastAsia="Times New Roman"/>
          <w:color w:val="0D0D0D"/>
          <w:lang w:eastAsia="en-US"/>
        </w:rPr>
      </w:pPr>
      <w:r w:rsidRPr="006B72EF">
        <w:rPr>
          <w:rFonts w:eastAsia="Times New Roman"/>
          <w:color w:val="0D0D0D"/>
          <w:lang w:eastAsia="en-US"/>
        </w:rPr>
        <w:t>Seventeen patients were treated with thalidomide and dexamethasone based therapy. Four patients were treated with thalidomide; cyclophosphamide and dexamethasone based therapy and one patient received melphalan, prednisone and thalidomide.</w:t>
      </w:r>
      <w:r w:rsidR="00525022">
        <w:rPr>
          <w:rFonts w:eastAsia="Times New Roman"/>
          <w:color w:val="0D0D0D"/>
          <w:lang w:eastAsia="en-US"/>
        </w:rPr>
        <w:t xml:space="preserve"> </w:t>
      </w:r>
    </w:p>
    <w:p w:rsidR="00AD3CAA" w:rsidRDefault="00ED7D82" w:rsidP="00057B42">
      <w:pPr>
        <w:keepNext/>
        <w:spacing w:after="240" w:line="360" w:lineRule="auto"/>
        <w:jc w:val="center"/>
      </w:pPr>
      <w:r>
        <w:rPr>
          <w:rFonts w:eastAsia="Times New Roman"/>
          <w:noProof/>
          <w:color w:val="0D0D0D"/>
          <w:lang w:eastAsia="en-IE"/>
        </w:rPr>
        <w:drawing>
          <wp:inline distT="0" distB="0" distL="0" distR="0" wp14:anchorId="7B040E85" wp14:editId="65AE0AF6">
            <wp:extent cx="4009408" cy="2556000"/>
            <wp:effectExtent l="0" t="0" r="10160" b="15875"/>
            <wp:docPr id="23" name="Chart 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D3CAA" w:rsidRDefault="00AD3CAA" w:rsidP="00525022">
      <w:pPr>
        <w:pStyle w:val="Caption"/>
        <w:jc w:val="both"/>
        <w:rPr>
          <w:rFonts w:eastAsia="Times New Roman"/>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6</w:t>
        </w:r>
      </w:fldSimple>
      <w:r>
        <w:t xml:space="preserve">  </w:t>
      </w:r>
      <w:bookmarkStart w:id="1003" w:name="_Toc279441890"/>
      <w:r w:rsidR="006B72EF" w:rsidRPr="00AD3CAA">
        <w:rPr>
          <w:rFonts w:eastAsia="Times New Roman"/>
          <w:bCs w:val="0"/>
          <w:color w:val="000000"/>
          <w:lang w:eastAsia="en-US"/>
        </w:rPr>
        <w:t>shows responders and non-responding patients were treated with the different combination of thalidomide based anti-myeloma therapy. However, the difference in the number of various treatments protocols prescribed between responders, and non-responders were not significant (</w:t>
      </w:r>
      <w:r w:rsidR="0010315E" w:rsidRPr="0010315E">
        <w:rPr>
          <w:rFonts w:eastAsia="Times New Roman"/>
          <w:bCs w:val="0"/>
          <w:i/>
          <w:color w:val="000000"/>
          <w:lang w:eastAsia="en-US"/>
        </w:rPr>
        <w:t>p=</w:t>
      </w:r>
      <w:r w:rsidR="006B72EF" w:rsidRPr="00AD3CAA">
        <w:rPr>
          <w:rFonts w:eastAsia="Times New Roman"/>
          <w:bCs w:val="0"/>
          <w:color w:val="000000"/>
          <w:lang w:eastAsia="en-US"/>
        </w:rPr>
        <w:t xml:space="preserve"> 0.40).</w:t>
      </w:r>
      <w:bookmarkEnd w:id="1003"/>
      <w:r w:rsidR="00525022">
        <w:rPr>
          <w:rFonts w:eastAsia="Times New Roman"/>
          <w:bCs w:val="0"/>
          <w:color w:val="000000"/>
          <w:lang w:eastAsia="en-US"/>
        </w:rPr>
        <w:t xml:space="preserve"> </w:t>
      </w:r>
    </w:p>
    <w:p w:rsidR="00CC237F" w:rsidRDefault="00CC237F" w:rsidP="00CC237F">
      <w:pPr>
        <w:rPr>
          <w:lang w:eastAsia="en-US"/>
        </w:rPr>
      </w:pPr>
    </w:p>
    <w:p w:rsidR="00CC237F" w:rsidRDefault="00CC237F" w:rsidP="00CC237F">
      <w:pPr>
        <w:rPr>
          <w:lang w:eastAsia="en-US"/>
        </w:rPr>
      </w:pPr>
    </w:p>
    <w:p w:rsidR="004B395A" w:rsidRDefault="004B395A" w:rsidP="00CC237F">
      <w:pPr>
        <w:rPr>
          <w:lang w:eastAsia="en-US"/>
        </w:rPr>
      </w:pPr>
    </w:p>
    <w:p w:rsidR="00CC237F" w:rsidRPr="00CC237F" w:rsidRDefault="00CC237F" w:rsidP="00CC237F">
      <w:pPr>
        <w:rPr>
          <w:lang w:eastAsia="en-US"/>
        </w:rPr>
      </w:pPr>
    </w:p>
    <w:p w:rsidR="006B72EF" w:rsidRPr="006B72EF" w:rsidRDefault="006B72EF" w:rsidP="00645687">
      <w:pPr>
        <w:pStyle w:val="Heading3"/>
      </w:pPr>
      <w:bookmarkStart w:id="1004" w:name="_Toc274586817"/>
      <w:bookmarkStart w:id="1005" w:name="_Toc274736174"/>
      <w:r w:rsidRPr="006B72EF">
        <w:lastRenderedPageBreak/>
        <w:tab/>
      </w:r>
      <w:bookmarkStart w:id="1006" w:name="_Toc279658439"/>
      <w:bookmarkStart w:id="1007" w:name="_Toc306570660"/>
      <w:bookmarkStart w:id="1008" w:name="_Toc307067725"/>
      <w:bookmarkStart w:id="1009" w:name="_Toc312169297"/>
      <w:bookmarkStart w:id="1010" w:name="_Toc312172224"/>
      <w:bookmarkStart w:id="1011" w:name="_Toc312257773"/>
      <w:r w:rsidRPr="006B72EF">
        <w:t>Patients follow-up post initiation of anti-myeloma treatment</w:t>
      </w:r>
      <w:bookmarkEnd w:id="1004"/>
      <w:bookmarkEnd w:id="1005"/>
      <w:bookmarkEnd w:id="1006"/>
      <w:bookmarkEnd w:id="1007"/>
      <w:bookmarkEnd w:id="1008"/>
      <w:bookmarkEnd w:id="1009"/>
      <w:bookmarkEnd w:id="1010"/>
      <w:bookmarkEnd w:id="1011"/>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Patients involve in this study group were followed up closely in the haematology department of Mater University Hospital, on </w:t>
      </w:r>
      <w:r w:rsidR="0080421C">
        <w:rPr>
          <w:rFonts w:eastAsia="Times New Roman"/>
          <w:color w:val="0D0D0D"/>
          <w:lang w:eastAsia="en-US"/>
        </w:rPr>
        <w:t xml:space="preserve">a </w:t>
      </w:r>
      <w:r w:rsidRPr="006B72EF">
        <w:rPr>
          <w:rFonts w:eastAsia="Times New Roman"/>
          <w:color w:val="0D0D0D"/>
          <w:lang w:eastAsia="en-US"/>
        </w:rPr>
        <w:t>monthly basis.  In our study median follow was 18 months (range, 9-27 months).</w:t>
      </w:r>
    </w:p>
    <w:p w:rsidR="006B72EF" w:rsidRPr="006B72EF" w:rsidRDefault="002855FA" w:rsidP="00645687">
      <w:pPr>
        <w:pStyle w:val="Heading3"/>
      </w:pPr>
      <w:bookmarkStart w:id="1012" w:name="_Toc274586818"/>
      <w:bookmarkStart w:id="1013" w:name="_Toc274736175"/>
      <w:bookmarkStart w:id="1014" w:name="_Toc279658440"/>
      <w:bookmarkStart w:id="1015" w:name="_Toc306570661"/>
      <w:bookmarkStart w:id="1016" w:name="_Toc307067726"/>
      <w:r>
        <w:tab/>
      </w:r>
      <w:bookmarkStart w:id="1017" w:name="_Toc312169298"/>
      <w:bookmarkStart w:id="1018" w:name="_Toc312172225"/>
      <w:bookmarkStart w:id="1019" w:name="_Toc312257774"/>
      <w:r w:rsidR="006B72EF" w:rsidRPr="006B72EF">
        <w:t>Classification of response to thalidomide based treatment</w:t>
      </w:r>
      <w:bookmarkEnd w:id="1012"/>
      <w:bookmarkEnd w:id="1013"/>
      <w:bookmarkEnd w:id="1014"/>
      <w:bookmarkEnd w:id="1015"/>
      <w:bookmarkEnd w:id="1016"/>
      <w:bookmarkEnd w:id="1017"/>
      <w:bookmarkEnd w:id="1018"/>
      <w:bookmarkEnd w:id="1019"/>
    </w:p>
    <w:p w:rsidR="00F63886"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Based on International Myeloma Working Group Uniform Response Criteria patients involved in this study group achieved the following clinical response</w:t>
      </w:r>
      <w:r w:rsidR="002855FA">
        <w:rPr>
          <w:rFonts w:eastAsia="Times New Roman"/>
          <w:color w:val="0D0D0D"/>
          <w:lang w:eastAsia="en-US"/>
        </w:rPr>
        <w:t xml:space="preserve"> after thalidomide based </w:t>
      </w:r>
      <w:r w:rsidR="004D56C5">
        <w:rPr>
          <w:rFonts w:eastAsia="Times New Roman"/>
          <w:color w:val="0D0D0D"/>
          <w:lang w:eastAsia="en-US"/>
        </w:rPr>
        <w:t>treatment</w:t>
      </w:r>
      <w:r w:rsidR="00F63886">
        <w:rPr>
          <w:rFonts w:eastAsia="Times New Roman"/>
          <w:color w:val="0D0D0D"/>
          <w:lang w:eastAsia="en-US"/>
        </w:rPr>
        <w:t>.</w:t>
      </w:r>
    </w:p>
    <w:p w:rsidR="006B72EF" w:rsidRDefault="002855FA" w:rsidP="00645687">
      <w:pPr>
        <w:pStyle w:val="Theses4"/>
      </w:pPr>
      <w:bookmarkStart w:id="1020" w:name="_Toc274586819"/>
      <w:bookmarkStart w:id="1021" w:name="_Toc274736176"/>
      <w:bookmarkStart w:id="1022" w:name="_Toc279658441"/>
      <w:bookmarkStart w:id="1023" w:name="_Toc306570662"/>
      <w:bookmarkStart w:id="1024" w:name="_Toc307067727"/>
      <w:r>
        <w:tab/>
      </w:r>
      <w:bookmarkStart w:id="1025" w:name="_Toc312169299"/>
      <w:bookmarkStart w:id="1026" w:name="_Toc312172226"/>
      <w:bookmarkStart w:id="1027" w:name="_Toc312257775"/>
      <w:r w:rsidR="006B72EF" w:rsidRPr="006B72EF">
        <w:t>Responders to thalidomide based treatment</w:t>
      </w:r>
      <w:bookmarkEnd w:id="1020"/>
      <w:bookmarkEnd w:id="1021"/>
      <w:bookmarkEnd w:id="1022"/>
      <w:bookmarkEnd w:id="1023"/>
      <w:bookmarkEnd w:id="1024"/>
      <w:bookmarkEnd w:id="1025"/>
      <w:bookmarkEnd w:id="1026"/>
      <w:bookmarkEnd w:id="1027"/>
    </w:p>
    <w:p w:rsidR="006B72EF" w:rsidRPr="006B72EF" w:rsidRDefault="006B72EF" w:rsidP="00057B42">
      <w:pPr>
        <w:spacing w:after="240" w:line="360" w:lineRule="auto"/>
        <w:rPr>
          <w:rFonts w:eastAsia="Times New Roman"/>
          <w:color w:val="0D0D0D"/>
          <w:lang w:eastAsia="en-US"/>
        </w:rPr>
      </w:pPr>
      <w:r w:rsidRPr="006B72EF">
        <w:rPr>
          <w:rFonts w:eastAsia="Times New Roman"/>
          <w:color w:val="0D0D0D"/>
          <w:lang w:eastAsia="en-US"/>
        </w:rPr>
        <w:t>Twenty nine patients were responsive to thalidomide based treatment and achieved complete or very good partial response as following:</w:t>
      </w:r>
    </w:p>
    <w:p w:rsidR="00197FAB" w:rsidRDefault="00197FAB" w:rsidP="00645687">
      <w:pPr>
        <w:pStyle w:val="Heading4"/>
      </w:pPr>
      <w:r>
        <w:tab/>
      </w:r>
      <w:bookmarkStart w:id="1028" w:name="_Toc306570663"/>
      <w:bookmarkStart w:id="1029" w:name="_Toc307067728"/>
      <w:bookmarkStart w:id="1030" w:name="_Toc312169300"/>
      <w:bookmarkStart w:id="1031" w:name="_Toc312172227"/>
      <w:bookmarkStart w:id="1032" w:name="_Toc312257776"/>
      <w:r w:rsidR="0080421C">
        <w:t>Complete</w:t>
      </w:r>
      <w:r w:rsidR="006B72EF" w:rsidRPr="006B72EF">
        <w:t xml:space="preserve"> response</w:t>
      </w:r>
      <w:bookmarkEnd w:id="1028"/>
      <w:bookmarkEnd w:id="1029"/>
      <w:bookmarkEnd w:id="1030"/>
      <w:bookmarkEnd w:id="1031"/>
      <w:bookmarkEnd w:id="1032"/>
      <w:r w:rsidR="006B72EF" w:rsidRPr="006B72EF">
        <w:t xml:space="preserve"> </w:t>
      </w:r>
    </w:p>
    <w:p w:rsidR="006B72EF" w:rsidRPr="006B72EF" w:rsidRDefault="006B72EF" w:rsidP="00525022">
      <w:pPr>
        <w:spacing w:before="240" w:after="240" w:line="360" w:lineRule="auto"/>
        <w:jc w:val="both"/>
        <w:rPr>
          <w:rFonts w:eastAsia="Times New Roman"/>
          <w:color w:val="0D0D0D"/>
          <w:lang w:eastAsia="en-US"/>
        </w:rPr>
      </w:pPr>
      <w:r w:rsidRPr="006B72EF">
        <w:rPr>
          <w:rFonts w:eastAsia="Times New Roman"/>
          <w:color w:val="0D0D0D"/>
          <w:lang w:eastAsia="en-US"/>
        </w:rPr>
        <w:t>Nine patients achieved complete response, this</w:t>
      </w:r>
      <w:r w:rsidR="0080421C">
        <w:rPr>
          <w:rFonts w:eastAsia="Times New Roman"/>
          <w:color w:val="0D0D0D"/>
          <w:lang w:eastAsia="en-US"/>
        </w:rPr>
        <w:t xml:space="preserve"> patients group</w:t>
      </w:r>
      <w:r w:rsidRPr="006B72EF">
        <w:rPr>
          <w:rFonts w:eastAsia="Times New Roman"/>
          <w:color w:val="0D0D0D"/>
          <w:lang w:eastAsia="en-US"/>
        </w:rPr>
        <w:t xml:space="preserve"> have negative immunofixation of serum and urine </w:t>
      </w:r>
      <w:r w:rsidR="0080421C">
        <w:rPr>
          <w:rFonts w:eastAsia="Times New Roman"/>
          <w:color w:val="0D0D0D"/>
          <w:lang w:eastAsia="en-US"/>
        </w:rPr>
        <w:t xml:space="preserve">and </w:t>
      </w:r>
      <w:r w:rsidRPr="006B72EF">
        <w:rPr>
          <w:rFonts w:eastAsia="Times New Roman"/>
          <w:color w:val="0D0D0D"/>
          <w:lang w:eastAsia="en-US"/>
        </w:rPr>
        <w:t>&lt;5% plasma cells in bone marrow</w:t>
      </w:r>
      <w:r w:rsidR="00525022">
        <w:rPr>
          <w:rFonts w:eastAsia="Times New Roman"/>
          <w:color w:val="0D0D0D"/>
          <w:lang w:eastAsia="en-US"/>
        </w:rPr>
        <w:t>.</w:t>
      </w:r>
    </w:p>
    <w:p w:rsidR="00197FAB" w:rsidRDefault="00197FAB" w:rsidP="00645687">
      <w:pPr>
        <w:pStyle w:val="Heading4"/>
      </w:pPr>
      <w:r>
        <w:tab/>
      </w:r>
      <w:bookmarkStart w:id="1033" w:name="_Toc306570664"/>
      <w:bookmarkStart w:id="1034" w:name="_Toc307067729"/>
      <w:bookmarkStart w:id="1035" w:name="_Toc312169301"/>
      <w:bookmarkStart w:id="1036" w:name="_Toc312172228"/>
      <w:bookmarkStart w:id="1037" w:name="_Toc312257777"/>
      <w:r w:rsidR="006B72EF" w:rsidRPr="006B72EF">
        <w:t>Very good partial response</w:t>
      </w:r>
      <w:bookmarkEnd w:id="1033"/>
      <w:bookmarkEnd w:id="1034"/>
      <w:bookmarkEnd w:id="1035"/>
      <w:bookmarkEnd w:id="1036"/>
      <w:bookmarkEnd w:id="1037"/>
    </w:p>
    <w:p w:rsidR="006B72EF" w:rsidRDefault="006B72EF" w:rsidP="00525022">
      <w:pPr>
        <w:spacing w:before="240" w:after="240" w:line="360" w:lineRule="auto"/>
        <w:jc w:val="both"/>
        <w:rPr>
          <w:rFonts w:eastAsia="Times New Roman"/>
          <w:color w:val="0D0D0D"/>
          <w:lang w:eastAsia="en-US"/>
        </w:rPr>
      </w:pPr>
      <w:r w:rsidRPr="006B72EF">
        <w:rPr>
          <w:rFonts w:eastAsia="Times New Roman"/>
          <w:color w:val="0D0D0D"/>
          <w:lang w:eastAsia="en-US"/>
        </w:rPr>
        <w:t xml:space="preserve">Twenty patients achieved very good partial response. This identifies patients with a better outcome who have achieved excellent response but are not yet in complete response (Table </w:t>
      </w:r>
      <w:r w:rsidR="00F63886">
        <w:rPr>
          <w:rFonts w:eastAsia="Times New Roman"/>
          <w:color w:val="0D0D0D"/>
          <w:lang w:eastAsia="en-US"/>
        </w:rPr>
        <w:t>3-</w:t>
      </w:r>
      <w:r w:rsidRPr="006B72EF">
        <w:rPr>
          <w:rFonts w:eastAsia="Times New Roman"/>
          <w:color w:val="0D0D0D"/>
          <w:lang w:eastAsia="en-US"/>
        </w:rPr>
        <w:t>1).</w:t>
      </w:r>
    </w:p>
    <w:p w:rsidR="006B72EF" w:rsidRPr="006B72EF" w:rsidRDefault="00197FAB" w:rsidP="00645687">
      <w:pPr>
        <w:pStyle w:val="Heading3"/>
      </w:pPr>
      <w:bookmarkStart w:id="1038" w:name="_Toc274586820"/>
      <w:bookmarkStart w:id="1039" w:name="_Toc274736177"/>
      <w:bookmarkStart w:id="1040" w:name="_Toc279658442"/>
      <w:r>
        <w:tab/>
      </w:r>
      <w:bookmarkStart w:id="1041" w:name="_Toc306570665"/>
      <w:bookmarkStart w:id="1042" w:name="_Toc307067730"/>
      <w:bookmarkStart w:id="1043" w:name="_Toc312169302"/>
      <w:bookmarkStart w:id="1044" w:name="_Toc312172229"/>
      <w:bookmarkStart w:id="1045" w:name="_Toc312257778"/>
      <w:r w:rsidR="006B72EF" w:rsidRPr="006B72EF">
        <w:t>Non-responders to thalidomide based treatment</w:t>
      </w:r>
      <w:bookmarkEnd w:id="1038"/>
      <w:bookmarkEnd w:id="1039"/>
      <w:bookmarkEnd w:id="1040"/>
      <w:bookmarkEnd w:id="1041"/>
      <w:bookmarkEnd w:id="1042"/>
      <w:bookmarkEnd w:id="1043"/>
      <w:bookmarkEnd w:id="1044"/>
      <w:bookmarkEnd w:id="1045"/>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Five had Stable disease, this identifies patients not meeting criteria for complete response, very good partial response or progressive disease.</w:t>
      </w:r>
      <w:r w:rsidR="00525022">
        <w:rPr>
          <w:rFonts w:eastAsia="Times New Roman"/>
          <w:color w:val="0D0D0D"/>
          <w:lang w:eastAsia="en-US"/>
        </w:rPr>
        <w:t xml:space="preserve"> </w:t>
      </w:r>
      <w:r w:rsidRPr="006B72EF">
        <w:rPr>
          <w:rFonts w:eastAsia="Times New Roman"/>
          <w:color w:val="0D0D0D"/>
          <w:lang w:eastAsia="en-US"/>
        </w:rPr>
        <w:t xml:space="preserve">Seventeen patients had Progressive disease (PD). This identifies patients with increase of minimum of 25% disease activity in serum or bone (Table </w:t>
      </w:r>
      <w:r w:rsidR="00F63886">
        <w:rPr>
          <w:rFonts w:eastAsia="Times New Roman"/>
          <w:color w:val="0D0D0D"/>
          <w:lang w:eastAsia="en-US"/>
        </w:rPr>
        <w:t>3-2</w:t>
      </w:r>
      <w:r w:rsidRPr="006B72EF">
        <w:rPr>
          <w:rFonts w:eastAsia="Times New Roman"/>
          <w:color w:val="0D0D0D"/>
          <w:lang w:eastAsia="en-US"/>
        </w:rPr>
        <w:t>)</w:t>
      </w:r>
    </w:p>
    <w:p w:rsidR="00197FAB" w:rsidRDefault="0046737E" w:rsidP="00057B42">
      <w:pPr>
        <w:keepNext/>
        <w:spacing w:after="240" w:line="360" w:lineRule="auto"/>
        <w:rPr>
          <w:rFonts w:eastAsia="Times New Roman"/>
          <w:noProof/>
          <w:color w:val="0D0D0D"/>
          <w:lang w:eastAsia="en-IE"/>
        </w:rPr>
      </w:pPr>
      <w:r w:rsidRPr="0046737E">
        <w:rPr>
          <w:noProof/>
          <w:lang w:eastAsia="en-IE"/>
        </w:rPr>
        <w:lastRenderedPageBreak/>
        <w:drawing>
          <wp:inline distT="0" distB="0" distL="0" distR="0" wp14:anchorId="4859CC9B" wp14:editId="380B2655">
            <wp:extent cx="5183505" cy="621676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83505" cy="6216762"/>
                    </a:xfrm>
                    <a:prstGeom prst="rect">
                      <a:avLst/>
                    </a:prstGeom>
                  </pic:spPr>
                </pic:pic>
              </a:graphicData>
            </a:graphic>
          </wp:inline>
        </w:drawing>
      </w:r>
    </w:p>
    <w:p w:rsidR="00197FAB" w:rsidRDefault="00197FAB" w:rsidP="00057B42">
      <w:pPr>
        <w:keepNext/>
        <w:spacing w:after="240" w:line="360" w:lineRule="auto"/>
        <w:jc w:val="both"/>
      </w:pPr>
    </w:p>
    <w:p w:rsidR="00197FAB" w:rsidRPr="00197FAB" w:rsidRDefault="00197FAB" w:rsidP="00424953">
      <w:pPr>
        <w:pStyle w:val="Caption"/>
        <w:jc w:val="both"/>
        <w:rPr>
          <w:lang w:eastAsia="en-US"/>
        </w:rPr>
      </w:pPr>
      <w:r>
        <w:t xml:space="preserve">Table </w:t>
      </w:r>
      <w:fldSimple w:instr=" STYLEREF 1 \s ">
        <w:r w:rsidR="0081644B">
          <w:rPr>
            <w:noProof/>
          </w:rPr>
          <w:t>3</w:t>
        </w:r>
      </w:fldSimple>
      <w:r w:rsidR="00B55EFC">
        <w:noBreakHyphen/>
      </w:r>
      <w:fldSimple w:instr=" SEQ Table \* ARABIC \s 1 ">
        <w:r w:rsidR="0081644B">
          <w:rPr>
            <w:noProof/>
          </w:rPr>
          <w:t>1</w:t>
        </w:r>
      </w:fldSimple>
      <w:r>
        <w:t xml:space="preserve"> </w:t>
      </w:r>
      <w:bookmarkStart w:id="1046" w:name="_Toc274587619"/>
      <w:r w:rsidR="006B72EF" w:rsidRPr="00197FAB">
        <w:rPr>
          <w:rFonts w:eastAsia="Times New Roman"/>
          <w:bCs w:val="0"/>
          <w:color w:val="000000"/>
          <w:lang w:eastAsia="en-US"/>
        </w:rPr>
        <w:t>outlines the clinical details for the patients responding to thalidomide based regimen, including their: age, sex, patients were staged based on Int</w:t>
      </w:r>
      <w:r w:rsidR="00C76C1D">
        <w:rPr>
          <w:rFonts w:eastAsia="Times New Roman"/>
          <w:bCs w:val="0"/>
          <w:color w:val="000000"/>
          <w:lang w:eastAsia="en-US"/>
        </w:rPr>
        <w:t>ernational Staging System.  Day-</w:t>
      </w:r>
      <w:r w:rsidR="006B72EF" w:rsidRPr="00197FAB">
        <w:rPr>
          <w:rFonts w:eastAsia="Times New Roman"/>
          <w:bCs w:val="0"/>
          <w:color w:val="000000"/>
          <w:lang w:eastAsia="en-US"/>
        </w:rPr>
        <w:t xml:space="preserve">100 restaging results were based on International Myeloma Working Group uniform response criteria for multiple myeloma. </w:t>
      </w:r>
      <w:r w:rsidR="004D56C5" w:rsidRPr="00197FAB">
        <w:rPr>
          <w:rFonts w:eastAsia="Times New Roman"/>
          <w:bCs w:val="0"/>
          <w:color w:val="000000"/>
          <w:lang w:eastAsia="en-US"/>
        </w:rPr>
        <w:t>The last column shows the durat</w:t>
      </w:r>
      <w:r w:rsidR="004D56C5">
        <w:rPr>
          <w:rFonts w:eastAsia="Times New Roman"/>
          <w:bCs w:val="0"/>
          <w:color w:val="000000"/>
          <w:lang w:eastAsia="en-US"/>
        </w:rPr>
        <w:t>ion of patient</w:t>
      </w:r>
      <w:r w:rsidR="004D56C5" w:rsidRPr="00197FAB">
        <w:rPr>
          <w:rFonts w:eastAsia="Times New Roman"/>
          <w:bCs w:val="0"/>
          <w:color w:val="000000"/>
          <w:lang w:eastAsia="en-US"/>
        </w:rPr>
        <w:t xml:space="preserve"> clinical follow-up in months. </w:t>
      </w:r>
      <w:r w:rsidR="006B72EF" w:rsidRPr="00197FAB">
        <w:rPr>
          <w:rFonts w:eastAsia="Times New Roman"/>
          <w:bCs w:val="0"/>
          <w:color w:val="000000"/>
          <w:lang w:eastAsia="en-US"/>
        </w:rPr>
        <w:t>Abbreviations; CR: complete response, VGPR: very good partial response, IMWG: International Myeloma Working Group, R: Responders to thalidomide-based therapy, M: male, F: female.</w:t>
      </w:r>
      <w:bookmarkEnd w:id="1046"/>
    </w:p>
    <w:p w:rsidR="006B72EF" w:rsidRPr="006B72EF" w:rsidRDefault="0046737E" w:rsidP="00057B42">
      <w:pPr>
        <w:spacing w:after="240" w:line="360" w:lineRule="auto"/>
        <w:rPr>
          <w:rFonts w:eastAsia="Times New Roman"/>
          <w:color w:val="0D0D0D"/>
          <w:lang w:eastAsia="en-US"/>
        </w:rPr>
      </w:pPr>
      <w:r w:rsidRPr="0046737E">
        <w:rPr>
          <w:noProof/>
          <w:lang w:eastAsia="en-IE"/>
        </w:rPr>
        <w:lastRenderedPageBreak/>
        <w:drawing>
          <wp:inline distT="0" distB="0" distL="0" distR="0" wp14:anchorId="1ECA646C" wp14:editId="557B3908">
            <wp:extent cx="5183505" cy="466749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183505" cy="4667492"/>
                    </a:xfrm>
                    <a:prstGeom prst="rect">
                      <a:avLst/>
                    </a:prstGeom>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2</w:t>
      </w:r>
      <w:r w:rsidR="00B55EFC">
        <w:rPr>
          <w:rFonts w:eastAsia="Times New Roman"/>
          <w:b/>
          <w:bCs/>
          <w:color w:val="000000"/>
          <w:lang w:eastAsia="en-US"/>
        </w:rPr>
        <w:fldChar w:fldCharType="end"/>
      </w:r>
      <w:r w:rsidRPr="006B72EF">
        <w:rPr>
          <w:rFonts w:eastAsia="Times New Roman"/>
          <w:b/>
          <w:bCs/>
          <w:color w:val="000000"/>
          <w:lang w:eastAsia="en-US"/>
        </w:rPr>
        <w:t xml:space="preserve">  </w:t>
      </w:r>
      <w:r w:rsidR="002855FA">
        <w:rPr>
          <w:rFonts w:eastAsia="Times New Roman"/>
          <w:b/>
          <w:bCs/>
          <w:color w:val="000000"/>
          <w:lang w:eastAsia="en-US"/>
        </w:rPr>
        <w:t>outline the</w:t>
      </w:r>
      <w:r w:rsidRPr="006B72EF">
        <w:rPr>
          <w:rFonts w:eastAsia="Times New Roman"/>
          <w:b/>
          <w:bCs/>
          <w:color w:val="000000"/>
          <w:lang w:eastAsia="en-US"/>
        </w:rPr>
        <w:t xml:space="preserve"> clinical </w:t>
      </w:r>
      <w:r w:rsidR="008E4FE5">
        <w:rPr>
          <w:rFonts w:eastAsia="Times New Roman"/>
          <w:b/>
          <w:bCs/>
          <w:color w:val="000000"/>
          <w:lang w:eastAsia="en-US"/>
        </w:rPr>
        <w:t>disease status</w:t>
      </w:r>
      <w:r w:rsidRPr="006B72EF">
        <w:rPr>
          <w:rFonts w:eastAsia="Times New Roman"/>
          <w:b/>
          <w:bCs/>
          <w:color w:val="000000"/>
          <w:lang w:eastAsia="en-US"/>
        </w:rPr>
        <w:t xml:space="preserve"> </w:t>
      </w:r>
      <w:r w:rsidR="00C76C1D">
        <w:rPr>
          <w:rFonts w:eastAsia="Times New Roman"/>
          <w:b/>
          <w:bCs/>
          <w:color w:val="000000"/>
          <w:lang w:eastAsia="en-US"/>
        </w:rPr>
        <w:t>at Day-</w:t>
      </w:r>
      <w:r w:rsidR="008E4FE5">
        <w:rPr>
          <w:rFonts w:eastAsia="Times New Roman"/>
          <w:b/>
          <w:bCs/>
          <w:color w:val="000000"/>
          <w:lang w:eastAsia="en-US"/>
        </w:rPr>
        <w:t xml:space="preserve">100 </w:t>
      </w:r>
      <w:r w:rsidRPr="006B72EF">
        <w:rPr>
          <w:rFonts w:eastAsia="Times New Roman"/>
          <w:b/>
          <w:bCs/>
          <w:color w:val="000000"/>
          <w:lang w:eastAsia="en-US"/>
        </w:rPr>
        <w:t xml:space="preserve">for the </w:t>
      </w:r>
      <w:r w:rsidR="008E4FE5" w:rsidRPr="006B72EF">
        <w:rPr>
          <w:rFonts w:eastAsia="Times New Roman"/>
          <w:b/>
          <w:bCs/>
          <w:color w:val="000000"/>
          <w:lang w:eastAsia="en-US"/>
        </w:rPr>
        <w:t xml:space="preserve">non-responders </w:t>
      </w:r>
      <w:r w:rsidRPr="006B72EF">
        <w:rPr>
          <w:rFonts w:eastAsia="Times New Roman"/>
          <w:b/>
          <w:bCs/>
          <w:color w:val="000000"/>
          <w:lang w:eastAsia="en-US"/>
        </w:rPr>
        <w:t>to thalidomide based reg</w:t>
      </w:r>
      <w:r w:rsidR="008E4FE5">
        <w:rPr>
          <w:rFonts w:eastAsia="Times New Roman"/>
          <w:b/>
          <w:bCs/>
          <w:color w:val="000000"/>
          <w:lang w:eastAsia="en-US"/>
        </w:rPr>
        <w:t>imen, including their: age, sex. P</w:t>
      </w:r>
      <w:r w:rsidRPr="006B72EF">
        <w:rPr>
          <w:rFonts w:eastAsia="Times New Roman"/>
          <w:b/>
          <w:bCs/>
          <w:color w:val="000000"/>
          <w:lang w:eastAsia="en-US"/>
        </w:rPr>
        <w:t xml:space="preserve">atients </w:t>
      </w:r>
      <w:r w:rsidR="002855FA">
        <w:rPr>
          <w:rFonts w:eastAsia="Times New Roman"/>
          <w:b/>
          <w:bCs/>
          <w:color w:val="000000"/>
          <w:lang w:eastAsia="en-US"/>
        </w:rPr>
        <w:t>classified</w:t>
      </w:r>
      <w:r w:rsidR="002855FA" w:rsidRPr="006B72EF">
        <w:rPr>
          <w:rFonts w:eastAsia="Times New Roman"/>
          <w:b/>
          <w:bCs/>
          <w:color w:val="000000"/>
          <w:lang w:eastAsia="en-US"/>
        </w:rPr>
        <w:t xml:space="preserve"> based</w:t>
      </w:r>
      <w:r w:rsidRPr="006B72EF">
        <w:rPr>
          <w:rFonts w:eastAsia="Times New Roman"/>
          <w:b/>
          <w:bCs/>
          <w:color w:val="000000"/>
          <w:lang w:eastAsia="en-US"/>
        </w:rPr>
        <w:t xml:space="preserve"> on International Myeloma Working Group uniform response criteria for multiple myeloma. </w:t>
      </w:r>
      <w:r w:rsidR="004D56C5" w:rsidRPr="006B72EF">
        <w:rPr>
          <w:rFonts w:eastAsia="Times New Roman"/>
          <w:b/>
          <w:bCs/>
          <w:color w:val="000000"/>
          <w:lang w:eastAsia="en-US"/>
        </w:rPr>
        <w:t>The last colum</w:t>
      </w:r>
      <w:r w:rsidR="004D56C5">
        <w:rPr>
          <w:rFonts w:eastAsia="Times New Roman"/>
          <w:b/>
          <w:bCs/>
          <w:color w:val="000000"/>
          <w:lang w:eastAsia="en-US"/>
        </w:rPr>
        <w:t>n shows the duration of patients’</w:t>
      </w:r>
      <w:r w:rsidR="004D56C5" w:rsidRPr="006B72EF">
        <w:rPr>
          <w:rFonts w:eastAsia="Times New Roman"/>
          <w:b/>
          <w:bCs/>
          <w:color w:val="000000"/>
          <w:lang w:eastAsia="en-US"/>
        </w:rPr>
        <w:t xml:space="preserve"> follow-up in months. </w:t>
      </w:r>
      <w:r w:rsidRPr="006B72EF">
        <w:rPr>
          <w:rFonts w:eastAsia="Times New Roman"/>
          <w:b/>
          <w:bCs/>
          <w:color w:val="000000"/>
          <w:lang w:eastAsia="en-US"/>
        </w:rPr>
        <w:t xml:space="preserve">Abbreviations; SD: stable disease, PD: Progressive disease, IMWG: International Myeloma Working Group, </w:t>
      </w:r>
      <w:r w:rsidR="00332EDF">
        <w:rPr>
          <w:rFonts w:eastAsia="Times New Roman"/>
          <w:b/>
          <w:bCs/>
          <w:color w:val="000000"/>
          <w:lang w:eastAsia="en-US"/>
        </w:rPr>
        <w:t>N</w:t>
      </w:r>
      <w:r w:rsidRPr="006B72EF">
        <w:rPr>
          <w:rFonts w:eastAsia="Times New Roman"/>
          <w:b/>
          <w:bCs/>
          <w:color w:val="000000"/>
          <w:lang w:eastAsia="en-US"/>
        </w:rPr>
        <w:t xml:space="preserve">R: </w:t>
      </w:r>
      <w:r w:rsidR="00830F91">
        <w:rPr>
          <w:rFonts w:eastAsia="Times New Roman"/>
          <w:b/>
          <w:bCs/>
          <w:color w:val="000000"/>
          <w:lang w:eastAsia="en-US"/>
        </w:rPr>
        <w:t>Non-r</w:t>
      </w:r>
      <w:r w:rsidRPr="006B72EF">
        <w:rPr>
          <w:rFonts w:eastAsia="Times New Roman"/>
          <w:b/>
          <w:bCs/>
          <w:color w:val="000000"/>
          <w:lang w:eastAsia="en-US"/>
        </w:rPr>
        <w:t>esponders to thalidomide-based therapy, M: male, F: female.</w:t>
      </w:r>
    </w:p>
    <w:p w:rsidR="00451335" w:rsidRDefault="00451335" w:rsidP="00057B42">
      <w:pPr>
        <w:pBdr>
          <w:bottom w:val="single" w:sz="12" w:space="1" w:color="auto"/>
        </w:pBdr>
        <w:spacing w:before="240" w:line="360" w:lineRule="auto"/>
        <w:ind w:right="-1"/>
        <w:jc w:val="both"/>
        <w:rPr>
          <w:rFonts w:eastAsia="Times New Roman"/>
          <w:b/>
          <w:bCs/>
          <w:color w:val="000000"/>
          <w:lang w:eastAsia="en-US"/>
        </w:rPr>
      </w:pPr>
    </w:p>
    <w:p w:rsidR="0046737E" w:rsidRDefault="0046737E" w:rsidP="00057B42">
      <w:pPr>
        <w:spacing w:line="360" w:lineRule="auto"/>
        <w:rPr>
          <w:rFonts w:cs="Arial"/>
          <w:b/>
          <w:bCs/>
          <w:iCs/>
          <w:sz w:val="26"/>
          <w:szCs w:val="26"/>
          <w:lang w:eastAsia="en-US"/>
        </w:rPr>
      </w:pPr>
      <w:bookmarkStart w:id="1047" w:name="_Toc274586821"/>
      <w:bookmarkStart w:id="1048" w:name="_Toc274587469"/>
      <w:bookmarkStart w:id="1049" w:name="_Toc274736178"/>
      <w:bookmarkStart w:id="1050" w:name="_Toc274586822"/>
      <w:bookmarkStart w:id="1051" w:name="_Toc274587470"/>
      <w:bookmarkStart w:id="1052" w:name="_Toc274736179"/>
      <w:bookmarkStart w:id="1053" w:name="_Toc274586823"/>
      <w:bookmarkStart w:id="1054" w:name="_Toc274736180"/>
      <w:bookmarkStart w:id="1055" w:name="_Toc279658443"/>
      <w:bookmarkEnd w:id="1047"/>
      <w:bookmarkEnd w:id="1048"/>
      <w:bookmarkEnd w:id="1049"/>
      <w:bookmarkEnd w:id="1050"/>
      <w:bookmarkEnd w:id="1051"/>
      <w:bookmarkEnd w:id="1052"/>
      <w:r>
        <w:br w:type="page"/>
      </w:r>
    </w:p>
    <w:p w:rsidR="006B72EF" w:rsidRDefault="00451335" w:rsidP="00645687">
      <w:pPr>
        <w:pStyle w:val="Heading2"/>
      </w:pPr>
      <w:r>
        <w:lastRenderedPageBreak/>
        <w:tab/>
      </w:r>
      <w:bookmarkStart w:id="1056" w:name="_Toc306570666"/>
      <w:bookmarkStart w:id="1057" w:name="_Toc307067731"/>
      <w:bookmarkStart w:id="1058" w:name="_Toc312169303"/>
      <w:bookmarkStart w:id="1059" w:name="_Toc312172230"/>
      <w:bookmarkStart w:id="1060" w:name="_Toc312257779"/>
      <w:r w:rsidR="00BF6B2E">
        <w:t>2D-</w:t>
      </w:r>
      <w:r w:rsidR="006B72EF" w:rsidRPr="006B72EF">
        <w:t>DIGE and Proteomic Analysis</w:t>
      </w:r>
      <w:bookmarkEnd w:id="1053"/>
      <w:bookmarkEnd w:id="1054"/>
      <w:bookmarkEnd w:id="1055"/>
      <w:bookmarkEnd w:id="1056"/>
      <w:bookmarkEnd w:id="1057"/>
      <w:bookmarkEnd w:id="1058"/>
      <w:bookmarkEnd w:id="1059"/>
      <w:bookmarkEnd w:id="1060"/>
    </w:p>
    <w:p w:rsidR="00E53409" w:rsidRPr="00E53409" w:rsidRDefault="00E53409" w:rsidP="00E53409">
      <w:pPr>
        <w:rPr>
          <w:lang w:eastAsia="en-US"/>
        </w:rPr>
      </w:pPr>
    </w:p>
    <w:p w:rsidR="006B72EF" w:rsidRDefault="006B72EF" w:rsidP="00645687">
      <w:pPr>
        <w:pStyle w:val="Heading3"/>
      </w:pPr>
      <w:bookmarkStart w:id="1061" w:name="_Toc279436678"/>
      <w:bookmarkStart w:id="1062" w:name="_Toc279436851"/>
      <w:bookmarkStart w:id="1063" w:name="_Toc279658352"/>
      <w:bookmarkStart w:id="1064" w:name="_Toc279658444"/>
      <w:bookmarkStart w:id="1065" w:name="_Toc306570667"/>
      <w:bookmarkStart w:id="1066" w:name="_Toc279436679"/>
      <w:bookmarkStart w:id="1067" w:name="_Toc279436852"/>
      <w:bookmarkStart w:id="1068" w:name="_Toc279658353"/>
      <w:bookmarkStart w:id="1069" w:name="_Toc279658445"/>
      <w:bookmarkStart w:id="1070" w:name="_Toc306570668"/>
      <w:bookmarkStart w:id="1071" w:name="_Toc274586824"/>
      <w:bookmarkStart w:id="1072" w:name="_Toc274736181"/>
      <w:bookmarkEnd w:id="1061"/>
      <w:bookmarkEnd w:id="1062"/>
      <w:bookmarkEnd w:id="1063"/>
      <w:bookmarkEnd w:id="1064"/>
      <w:bookmarkEnd w:id="1065"/>
      <w:bookmarkEnd w:id="1066"/>
      <w:bookmarkEnd w:id="1067"/>
      <w:bookmarkEnd w:id="1068"/>
      <w:bookmarkEnd w:id="1069"/>
      <w:bookmarkEnd w:id="1070"/>
      <w:r w:rsidRPr="006B72EF">
        <w:tab/>
      </w:r>
      <w:bookmarkStart w:id="1073" w:name="_Toc279658446"/>
      <w:bookmarkStart w:id="1074" w:name="_Toc306570669"/>
      <w:bookmarkStart w:id="1075" w:name="_Toc307067732"/>
      <w:bookmarkStart w:id="1076" w:name="_Toc312169304"/>
      <w:bookmarkStart w:id="1077" w:name="_Toc312172231"/>
      <w:bookmarkStart w:id="1078" w:name="_Toc312257780"/>
      <w:r w:rsidRPr="006B72EF">
        <w:t>Serum Immunodepletion</w:t>
      </w:r>
      <w:bookmarkEnd w:id="1071"/>
      <w:bookmarkEnd w:id="1072"/>
      <w:bookmarkEnd w:id="1073"/>
      <w:bookmarkEnd w:id="1074"/>
      <w:bookmarkEnd w:id="1075"/>
      <w:bookmarkEnd w:id="1076"/>
      <w:bookmarkEnd w:id="1077"/>
      <w:bookmarkEnd w:id="1078"/>
      <w:r w:rsidR="00525022">
        <w:t xml:space="preserve"> </w:t>
      </w:r>
    </w:p>
    <w:p w:rsidR="0046737E"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To facilitate the discovery and identification of low-abundance proteins, high-abundance proteins w</w:t>
      </w:r>
      <w:r w:rsidR="00EC2E47">
        <w:rPr>
          <w:rFonts w:eastAsia="Times New Roman"/>
          <w:color w:val="0D0D0D"/>
          <w:lang w:eastAsia="en-US"/>
        </w:rPr>
        <w:t>ere</w:t>
      </w:r>
      <w:r w:rsidRPr="006B72EF">
        <w:rPr>
          <w:rFonts w:eastAsia="Times New Roman"/>
          <w:color w:val="0D0D0D"/>
          <w:lang w:eastAsia="en-US"/>
        </w:rPr>
        <w:t xml:space="preserve"> removed using a Multiple Affinity Removal System (MARS), the Human-14, which removes 95 percent to 99 percent of the 14 most abundant proteins which account for 94 percent of the total protein in human blood serum and pla</w:t>
      </w:r>
      <w:r w:rsidR="00DC74BE">
        <w:rPr>
          <w:rFonts w:eastAsia="Times New Roman"/>
          <w:color w:val="0D0D0D"/>
          <w:lang w:eastAsia="en-US"/>
        </w:rPr>
        <w:t xml:space="preserve">sma </w:t>
      </w:r>
      <w:r w:rsidR="00DC74BE" w:rsidRPr="006B72EF">
        <w:rPr>
          <w:rFonts w:eastAsia="Times New Roman"/>
          <w:color w:val="0D0D0D"/>
          <w:lang w:eastAsia="en-US"/>
        </w:rPr>
        <w:t>(M</w:t>
      </w:r>
      <w:r w:rsidR="00DC74BE">
        <w:rPr>
          <w:rFonts w:eastAsia="Times New Roman"/>
          <w:color w:val="0D0D0D"/>
          <w:lang w:eastAsia="en-US"/>
        </w:rPr>
        <w:t>aterial and Method-Chapter 2 page 141</w:t>
      </w:r>
      <w:r w:rsidRPr="006B72EF">
        <w:rPr>
          <w:rFonts w:eastAsia="Times New Roman"/>
          <w:color w:val="0D0D0D"/>
          <w:lang w:eastAsia="en-US"/>
        </w:rPr>
        <w:t xml:space="preserve">). The depletion protocol was found to be reproducible.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results from the protein assay (Bradford) indicated a very similar level of protein between the immunodepleted samples which indicates a very consistent immunodepletion process. The image below shows a 1D gel stained with Commaisse Blue (lanes 1 and 2) and Western blot analysis of Albumin (lanes 3 and 4). Lanes 1 and 3 contain 25 </w:t>
      </w:r>
      <w:r w:rsidR="00525022">
        <w:rPr>
          <w:rFonts w:eastAsia="Times New Roman"/>
          <w:color w:val="0D0D0D"/>
          <w:lang w:eastAsia="en-US"/>
        </w:rPr>
        <w:t>µ</w:t>
      </w:r>
      <w:r w:rsidRPr="006B72EF">
        <w:rPr>
          <w:rFonts w:eastAsia="Times New Roman"/>
          <w:color w:val="0D0D0D"/>
          <w:lang w:eastAsia="en-US"/>
        </w:rPr>
        <w:t xml:space="preserve">g of raw serum, with Albumin clearly visible in both. Lanes 2 and 4 contain 25 </w:t>
      </w:r>
      <w:r w:rsidR="00525022">
        <w:rPr>
          <w:rFonts w:eastAsia="Times New Roman"/>
          <w:color w:val="0D0D0D"/>
          <w:lang w:eastAsia="en-US"/>
        </w:rPr>
        <w:t>µ</w:t>
      </w:r>
      <w:r w:rsidRPr="006B72EF">
        <w:rPr>
          <w:rFonts w:eastAsia="Times New Roman"/>
          <w:color w:val="0D0D0D"/>
          <w:lang w:eastAsia="en-US"/>
        </w:rPr>
        <w:t>g of immunodepleted serum with Albumin found to be removed. These results indicate the effective removal of high abundant serum proteins, such as Albumin through use of an immunodepletion column.</w:t>
      </w:r>
    </w:p>
    <w:p w:rsidR="006B72EF" w:rsidRPr="006B72EF" w:rsidRDefault="006B72EF" w:rsidP="00057B42">
      <w:pPr>
        <w:spacing w:after="240" w:line="360" w:lineRule="auto"/>
        <w:jc w:val="both"/>
        <w:rPr>
          <w:rFonts w:eastAsia="Times New Roman"/>
          <w:color w:val="0D0D0D"/>
          <w:lang w:eastAsia="en-US"/>
        </w:rPr>
      </w:pPr>
    </w:p>
    <w:p w:rsidR="006B72EF" w:rsidRDefault="00451335" w:rsidP="00645687">
      <w:pPr>
        <w:pStyle w:val="Heading3"/>
      </w:pPr>
      <w:bookmarkStart w:id="1079" w:name="_Toc274586825"/>
      <w:bookmarkStart w:id="1080" w:name="_Toc274736182"/>
      <w:r>
        <w:br w:type="page"/>
      </w:r>
      <w:r w:rsidR="006B72EF" w:rsidRPr="006B72EF">
        <w:lastRenderedPageBreak/>
        <w:tab/>
      </w:r>
      <w:bookmarkStart w:id="1081" w:name="_Toc279658447"/>
      <w:bookmarkStart w:id="1082" w:name="_Toc306570670"/>
      <w:bookmarkStart w:id="1083" w:name="_Toc307067733"/>
      <w:bookmarkStart w:id="1084" w:name="_Toc312169305"/>
      <w:bookmarkStart w:id="1085" w:name="_Toc312172232"/>
      <w:bookmarkStart w:id="1086" w:name="_Toc312257781"/>
      <w:r w:rsidR="006B72EF" w:rsidRPr="006B72EF">
        <w:t>Western blot</w:t>
      </w:r>
      <w:bookmarkEnd w:id="1079"/>
      <w:bookmarkEnd w:id="1080"/>
      <w:bookmarkEnd w:id="1081"/>
      <w:bookmarkEnd w:id="1082"/>
      <w:bookmarkEnd w:id="1083"/>
      <w:bookmarkEnd w:id="1084"/>
      <w:bookmarkEnd w:id="1085"/>
      <w:bookmarkEnd w:id="1086"/>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 </w:t>
      </w:r>
      <w:bookmarkStart w:id="1087" w:name="OLE_LINK15"/>
      <w:bookmarkStart w:id="1088" w:name="OLE_LINK16"/>
      <w:r w:rsidRPr="006B72EF">
        <w:rPr>
          <w:rFonts w:eastAsia="Times New Roman"/>
          <w:color w:val="0D0D0D"/>
          <w:lang w:eastAsia="en-US"/>
        </w:rPr>
        <w:t xml:space="preserve">Western blot using an anti-albumin antibody </w:t>
      </w:r>
      <w:bookmarkEnd w:id="1087"/>
      <w:bookmarkEnd w:id="1088"/>
      <w:r w:rsidRPr="006B72EF">
        <w:rPr>
          <w:rFonts w:eastAsia="Times New Roman"/>
          <w:color w:val="0D0D0D"/>
          <w:lang w:eastAsia="en-US"/>
        </w:rPr>
        <w:t>was performed. This confirmed the absence of albumin in the immunodepleted fraction.</w:t>
      </w:r>
    </w:p>
    <w:p w:rsidR="00525022" w:rsidRDefault="00525022" w:rsidP="00057B42">
      <w:pPr>
        <w:keepNext/>
        <w:spacing w:after="240" w:line="360" w:lineRule="auto"/>
        <w:jc w:val="center"/>
        <w:rPr>
          <w:rFonts w:eastAsia="Times New Roman"/>
          <w:color w:val="0D0D0D"/>
          <w:lang w:eastAsia="en-US"/>
        </w:rPr>
      </w:pPr>
    </w:p>
    <w:p w:rsidR="006B72EF" w:rsidRPr="006B72EF" w:rsidRDefault="00ED7D82" w:rsidP="00057B42">
      <w:pPr>
        <w:keepNext/>
        <w:spacing w:after="240" w:line="360" w:lineRule="auto"/>
        <w:jc w:val="center"/>
        <w:rPr>
          <w:rFonts w:eastAsia="Times New Roman"/>
          <w:color w:val="0D0D0D"/>
          <w:lang w:eastAsia="en-US"/>
        </w:rPr>
      </w:pPr>
      <w:r>
        <w:rPr>
          <w:rFonts w:eastAsia="Times New Roman"/>
          <w:noProof/>
          <w:color w:val="0D0D0D"/>
          <w:lang w:eastAsia="en-IE"/>
        </w:rPr>
        <w:drawing>
          <wp:inline distT="0" distB="0" distL="0" distR="0" wp14:anchorId="7347D1C7" wp14:editId="2547B263">
            <wp:extent cx="3423600" cy="3830400"/>
            <wp:effectExtent l="0" t="0" r="5715" b="0"/>
            <wp:docPr id="2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3600" cy="3830400"/>
                    </a:xfrm>
                    <a:prstGeom prst="rect">
                      <a:avLst/>
                    </a:prstGeom>
                    <a:noFill/>
                    <a:ln>
                      <a:noFill/>
                    </a:ln>
                  </pic:spPr>
                </pic:pic>
              </a:graphicData>
            </a:graphic>
          </wp:inline>
        </w:drawing>
      </w:r>
    </w:p>
    <w:p w:rsidR="000C1CEE" w:rsidRDefault="006B72EF" w:rsidP="00057B42">
      <w:pPr>
        <w:pBdr>
          <w:bottom w:val="single" w:sz="12" w:space="1" w:color="auto"/>
        </w:pBdr>
        <w:spacing w:before="240" w:line="360" w:lineRule="auto"/>
        <w:ind w:right="-1"/>
        <w:jc w:val="both"/>
        <w:rPr>
          <w:rFonts w:eastAsia="Times New Roman"/>
          <w:b/>
          <w:bCs/>
          <w:color w:val="000000"/>
          <w:lang w:eastAsia="en-US"/>
        </w:rPr>
      </w:pPr>
      <w:bookmarkStart w:id="1089" w:name="_Toc279441891"/>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7</w:t>
      </w:r>
      <w:r w:rsidR="008A68DC">
        <w:rPr>
          <w:rFonts w:eastAsia="Times New Roman"/>
          <w:b/>
          <w:bCs/>
          <w:color w:val="000000"/>
          <w:lang w:eastAsia="en-US"/>
        </w:rPr>
        <w:fldChar w:fldCharType="end"/>
      </w:r>
      <w:r w:rsidRPr="006B72EF">
        <w:rPr>
          <w:rFonts w:eastAsia="Times New Roman"/>
          <w:b/>
          <w:bCs/>
          <w:color w:val="000000"/>
          <w:lang w:eastAsia="en-US"/>
        </w:rPr>
        <w:t xml:space="preserve">  shows a 1D gel stained with Commaisse Blue (lanes 1 and 2) and Western blot analysis of Albumin (lanes 3 and 4).  Lanes 1 and 3 are showing analysis of unfractionated serum and presence</w:t>
      </w:r>
      <w:r w:rsidR="00525022">
        <w:rPr>
          <w:rFonts w:eastAsia="Times New Roman"/>
          <w:b/>
          <w:bCs/>
          <w:color w:val="000000"/>
          <w:lang w:eastAsia="en-US"/>
        </w:rPr>
        <w:t xml:space="preserve"> of a</w:t>
      </w:r>
      <w:r w:rsidRPr="006B72EF">
        <w:rPr>
          <w:rFonts w:eastAsia="Times New Roman"/>
          <w:b/>
          <w:bCs/>
          <w:color w:val="000000"/>
          <w:lang w:eastAsia="en-US"/>
        </w:rPr>
        <w:t>lbumin in both lanes. Lanes 2 and 4 are showing immunodepleted serum and absence of albumin. These results indicate the effective removal of high abundant serum proteins, such as Albumin through the use of an immunodepletion column.</w:t>
      </w:r>
      <w:bookmarkEnd w:id="1089"/>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Default="000C1CEE" w:rsidP="00057B42">
      <w:pPr>
        <w:spacing w:before="240" w:line="360" w:lineRule="auto"/>
        <w:ind w:right="-1"/>
        <w:jc w:val="both"/>
        <w:rPr>
          <w:rFonts w:eastAsia="Times New Roman"/>
          <w:b/>
          <w:bCs/>
          <w:color w:val="000000"/>
          <w:lang w:eastAsia="en-US"/>
        </w:rPr>
      </w:pPr>
    </w:p>
    <w:p w:rsidR="00424953" w:rsidRDefault="00424953" w:rsidP="00057B42">
      <w:pPr>
        <w:spacing w:before="240" w:line="360" w:lineRule="auto"/>
        <w:ind w:right="-1"/>
        <w:jc w:val="both"/>
        <w:rPr>
          <w:rFonts w:eastAsia="Times New Roman"/>
          <w:b/>
          <w:bCs/>
          <w:color w:val="000000"/>
          <w:lang w:eastAsia="en-US"/>
        </w:rPr>
      </w:pPr>
    </w:p>
    <w:p w:rsidR="00424953" w:rsidRDefault="00424953" w:rsidP="00057B42">
      <w:pPr>
        <w:spacing w:before="240" w:line="360" w:lineRule="auto"/>
        <w:ind w:right="-1"/>
        <w:jc w:val="both"/>
        <w:rPr>
          <w:rFonts w:eastAsia="Times New Roman"/>
          <w:b/>
          <w:bCs/>
          <w:color w:val="000000"/>
          <w:lang w:eastAsia="en-US"/>
        </w:rPr>
      </w:pPr>
    </w:p>
    <w:p w:rsidR="006B72EF" w:rsidRDefault="006B72EF" w:rsidP="00645687">
      <w:pPr>
        <w:pStyle w:val="Heading3"/>
      </w:pPr>
      <w:bookmarkStart w:id="1090" w:name="_Toc274586826"/>
      <w:bookmarkStart w:id="1091" w:name="_Toc274736183"/>
      <w:r w:rsidRPr="006B72EF">
        <w:lastRenderedPageBreak/>
        <w:tab/>
      </w:r>
      <w:bookmarkStart w:id="1092" w:name="_Toc279658448"/>
      <w:bookmarkStart w:id="1093" w:name="_Toc306570671"/>
      <w:bookmarkStart w:id="1094" w:name="_Toc307067734"/>
      <w:bookmarkStart w:id="1095" w:name="_Toc312169306"/>
      <w:bookmarkStart w:id="1096" w:name="_Toc312172233"/>
      <w:bookmarkStart w:id="1097" w:name="_Toc312257782"/>
      <w:r w:rsidRPr="006B72EF">
        <w:t>Proteomic profiling</w:t>
      </w:r>
      <w:bookmarkEnd w:id="1090"/>
      <w:bookmarkEnd w:id="1091"/>
      <w:bookmarkEnd w:id="1092"/>
      <w:bookmarkEnd w:id="1093"/>
      <w:bookmarkEnd w:id="1094"/>
      <w:bookmarkEnd w:id="1095"/>
      <w:bookmarkEnd w:id="1096"/>
      <w:bookmarkEnd w:id="1097"/>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Proteins were precipitated from the low abundance immunodepleted fraction, resuspended in lysis buffer, fluorescently labelled, and analysed by 2D-DIGE using an internal standard design.</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We used a comparative proteomic approach comparing sensitive and thalidomide- resistance in MM patients to identify differentially expressed proteins associated with drug resistance.</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This analysis was performed on 39 newly diagnosed multiple myeloma patients (22 responders; 17 non-responders to thalidomide based treatment).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Spot maps were generated and maps were aligned with a master spot map; relative abundance values were generated for each of 886 protein spots that were common to more than 90 percent of gels.</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Figure </w:t>
      </w:r>
      <w:r w:rsidR="00EC2E47">
        <w:rPr>
          <w:rFonts w:eastAsia="Times New Roman"/>
          <w:color w:val="0D0D0D"/>
          <w:lang w:eastAsia="en-US"/>
        </w:rPr>
        <w:t>3-</w:t>
      </w:r>
      <w:r w:rsidR="008A68DC">
        <w:rPr>
          <w:rFonts w:eastAsia="Times New Roman"/>
          <w:color w:val="0D0D0D"/>
          <w:lang w:eastAsia="en-US"/>
        </w:rPr>
        <w:t>8</w:t>
      </w:r>
      <w:r w:rsidRPr="006B72EF">
        <w:rPr>
          <w:rFonts w:eastAsia="Times New Roman"/>
          <w:color w:val="0D0D0D"/>
          <w:lang w:eastAsia="en-US"/>
        </w:rPr>
        <w:t xml:space="preserve"> is Showing 2D gel image Based on 2D-DIGE analysis, protein spots with a fold change of ≥ 1.25 differences in   abundance level and a t-test of ≤ 0.01 were selec</w:t>
      </w:r>
      <w:r w:rsidR="002855FA">
        <w:rPr>
          <w:rFonts w:eastAsia="Times New Roman"/>
          <w:color w:val="0D0D0D"/>
          <w:lang w:eastAsia="en-US"/>
        </w:rPr>
        <w:t>ted. Using these criteria, s</w:t>
      </w:r>
      <w:r w:rsidR="007555F2">
        <w:rPr>
          <w:rFonts w:eastAsia="Times New Roman"/>
          <w:color w:val="0D0D0D"/>
          <w:lang w:eastAsia="en-US"/>
        </w:rPr>
        <w:t>even</w:t>
      </w:r>
      <w:r w:rsidRPr="006B72EF">
        <w:rPr>
          <w:rFonts w:eastAsia="Times New Roman"/>
          <w:color w:val="0D0D0D"/>
          <w:lang w:eastAsia="en-US"/>
        </w:rPr>
        <w:t xml:space="preserve"> individual differentially expressed proteins spots were identified.</w:t>
      </w:r>
      <w:r w:rsidR="00EC2E47">
        <w:rPr>
          <w:rFonts w:eastAsia="Times New Roman"/>
          <w:color w:val="0D0D0D"/>
          <w:lang w:eastAsia="en-US"/>
        </w:rPr>
        <w:t xml:space="preserve"> </w:t>
      </w:r>
      <w:r w:rsidR="007555F2">
        <w:rPr>
          <w:rFonts w:eastAsia="Times New Roman"/>
          <w:color w:val="0D0D0D"/>
          <w:lang w:eastAsia="en-US"/>
        </w:rPr>
        <w:t>Six</w:t>
      </w:r>
      <w:r w:rsidRPr="006B72EF">
        <w:rPr>
          <w:rFonts w:eastAsia="Times New Roman"/>
          <w:color w:val="0D0D0D"/>
          <w:lang w:eastAsia="en-US"/>
        </w:rPr>
        <w:t xml:space="preserve"> proteins spots were</w:t>
      </w:r>
      <w:r w:rsidR="00EC2E47">
        <w:rPr>
          <w:rFonts w:eastAsia="Times New Roman"/>
          <w:color w:val="0D0D0D"/>
          <w:lang w:eastAsia="en-US"/>
        </w:rPr>
        <w:t xml:space="preserve"> identified as having</w:t>
      </w:r>
      <w:r w:rsidRPr="006B72EF">
        <w:rPr>
          <w:rFonts w:eastAsia="Times New Roman"/>
          <w:color w:val="0D0D0D"/>
          <w:lang w:eastAsia="en-US"/>
        </w:rPr>
        <w:t xml:space="preserve"> in</w:t>
      </w:r>
      <w:r w:rsidR="00EC2E47">
        <w:rPr>
          <w:rFonts w:eastAsia="Times New Roman"/>
          <w:color w:val="0D0D0D"/>
          <w:lang w:eastAsia="en-US"/>
        </w:rPr>
        <w:t xml:space="preserve">creased in abundance level and </w:t>
      </w:r>
      <w:r w:rsidRPr="006B72EF">
        <w:rPr>
          <w:rFonts w:eastAsia="Times New Roman"/>
          <w:color w:val="0D0D0D"/>
          <w:lang w:eastAsia="en-US"/>
        </w:rPr>
        <w:t xml:space="preserve">one has decreased in abundance level in thalidomide non-responders compared to responders patients.  Figure </w:t>
      </w:r>
      <w:r w:rsidR="00EC2E47">
        <w:rPr>
          <w:rFonts w:eastAsia="Times New Roman"/>
          <w:color w:val="0D0D0D"/>
          <w:lang w:eastAsia="en-US"/>
        </w:rPr>
        <w:t>3-</w:t>
      </w:r>
      <w:r w:rsidRPr="006B72EF">
        <w:rPr>
          <w:rFonts w:eastAsia="Times New Roman"/>
          <w:color w:val="0D0D0D"/>
          <w:lang w:eastAsia="en-US"/>
        </w:rPr>
        <w:t>9 shows gel images; A, B and 3-D protein spot views for two spots demonstrating a clear difference in the abundance levels between non-responders and responde</w:t>
      </w:r>
      <w:r w:rsidR="00EC2E47">
        <w:rPr>
          <w:rFonts w:eastAsia="Times New Roman"/>
          <w:color w:val="0D0D0D"/>
          <w:lang w:eastAsia="en-US"/>
        </w:rPr>
        <w:t>rs to thalidomide based therapy</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5E39FC" w:rsidP="00057B42">
      <w:pPr>
        <w:keepNext/>
        <w:spacing w:after="240" w:line="360" w:lineRule="auto"/>
        <w:jc w:val="both"/>
        <w:rPr>
          <w:rFonts w:eastAsia="Times New Roman"/>
          <w:color w:val="0D0D0D"/>
          <w:lang w:eastAsia="en-US"/>
        </w:rPr>
      </w:pPr>
      <w:r w:rsidRPr="005E39FC">
        <w:rPr>
          <w:rFonts w:eastAsia="Times New Roman"/>
          <w:noProof/>
          <w:color w:val="0D0D0D"/>
          <w:lang w:eastAsia="en-IE"/>
        </w:rPr>
        <w:lastRenderedPageBreak/>
        <mc:AlternateContent>
          <mc:Choice Requires="wps">
            <w:drawing>
              <wp:anchor distT="0" distB="0" distL="114300" distR="114300" simplePos="0" relativeHeight="251671040" behindDoc="0" locked="0" layoutInCell="1" allowOverlap="1" wp14:anchorId="4A933371" wp14:editId="0C2947BA">
                <wp:simplePos x="0" y="0"/>
                <wp:positionH relativeFrom="column">
                  <wp:posOffset>4457700</wp:posOffset>
                </wp:positionH>
                <wp:positionV relativeFrom="paragraph">
                  <wp:posOffset>3738245</wp:posOffset>
                </wp:positionV>
                <wp:extent cx="498475" cy="333375"/>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33375"/>
                        </a:xfrm>
                        <a:prstGeom prst="rect">
                          <a:avLst/>
                        </a:prstGeom>
                        <a:noFill/>
                        <a:ln w="9525">
                          <a:noFill/>
                          <a:miter lim="800000"/>
                          <a:headEnd/>
                          <a:tailEnd/>
                        </a:ln>
                      </wps:spPr>
                      <wps:txbx>
                        <w:txbxContent>
                          <w:p w:rsidR="004B395A" w:rsidRPr="005E39FC" w:rsidRDefault="004B395A" w:rsidP="005E39FC">
                            <w:pPr>
                              <w:rPr>
                                <w:b/>
                                <w:sz w:val="16"/>
                              </w:rPr>
                            </w:pPr>
                            <w:r>
                              <w:rPr>
                                <w:b/>
                                <w:sz w:val="16"/>
                              </w:rPr>
                              <w:t>0</w:t>
                            </w:r>
                            <w:r w:rsidRPr="005E39FC">
                              <w:rPr>
                                <w:b/>
                                <w:sz w:val="16"/>
                              </w:rPr>
                              <w:t xml:space="preserve"> kDa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51pt;margin-top:294.35pt;width:39.25pt;height:26.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" filled="f" stroked="f">
                <v:textbox>
                  <w:txbxContent>
                    <w:p w:rsidR="004B395A" w:rsidRPr="005E39FC" w:rsidRDefault="004B395A" w:rsidP="005E39FC">
                      <w:pPr>
                        <w:rPr>
                          <w:b/>
                          <w:sz w:val="16"/>
                        </w:rPr>
                      </w:pPr>
                      <w:r>
                        <w:rPr>
                          <w:b/>
                          <w:sz w:val="16"/>
                        </w:rPr>
                        <w:t>0</w:t>
                      </w:r>
                      <w:r w:rsidRPr="005E39FC">
                        <w:rPr>
                          <w:b/>
                          <w:sz w:val="16"/>
                        </w:rPr>
                        <w:t xml:space="preserve"> kDa</w:t>
                      </w:r>
                    </w:p>
                  </w:txbxContent>
                </v:textbox>
              </v:shape>
            </w:pict>
          </mc:Fallback>
        </mc:AlternateContent>
      </w:r>
      <w:r w:rsidRPr="005E39FC">
        <w:rPr>
          <w:rFonts w:eastAsia="Times New Roman"/>
          <w:noProof/>
          <w:color w:val="0D0D0D"/>
          <w:lang w:eastAsia="en-IE"/>
        </w:rPr>
        <mc:AlternateContent>
          <mc:Choice Requires="wps">
            <w:drawing>
              <wp:anchor distT="0" distB="0" distL="114300" distR="114300" simplePos="0" relativeHeight="251668992" behindDoc="0" locked="0" layoutInCell="1" allowOverlap="1" wp14:anchorId="26B15D99" wp14:editId="7D6084CE">
                <wp:simplePos x="0" y="0"/>
                <wp:positionH relativeFrom="column">
                  <wp:posOffset>4391025</wp:posOffset>
                </wp:positionH>
                <wp:positionV relativeFrom="paragraph">
                  <wp:posOffset>33020</wp:posOffset>
                </wp:positionV>
                <wp:extent cx="603250" cy="59055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 cy="590550"/>
                        </a:xfrm>
                        <a:prstGeom prst="rect">
                          <a:avLst/>
                        </a:prstGeom>
                        <a:noFill/>
                        <a:ln w="9525">
                          <a:noFill/>
                          <a:miter lim="800000"/>
                          <a:headEnd/>
                          <a:tailEnd/>
                        </a:ln>
                      </wps:spPr>
                      <wps:txbx>
                        <w:txbxContent>
                          <w:p w:rsidR="004B395A" w:rsidRDefault="004B395A" w:rsidP="005E39FC">
                            <w:pPr>
                              <w:rPr>
                                <w:b/>
                                <w:sz w:val="16"/>
                              </w:rPr>
                            </w:pPr>
                            <w:r w:rsidRPr="005E39FC">
                              <w:rPr>
                                <w:b/>
                                <w:sz w:val="16"/>
                              </w:rPr>
                              <w:t xml:space="preserve">4 pl- </w:t>
                            </w:r>
                          </w:p>
                          <w:p w:rsidR="004B395A" w:rsidRPr="005E39FC" w:rsidRDefault="004B395A" w:rsidP="005E39FC">
                            <w:pPr>
                              <w:rPr>
                                <w:b/>
                                <w:sz w:val="16"/>
                              </w:rPr>
                            </w:pPr>
                            <w:r w:rsidRPr="005E39FC">
                              <w:rPr>
                                <w:b/>
                                <w:sz w:val="16"/>
                              </w:rPr>
                              <w:t>100 kDa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45.75pt;margin-top:2.6pt;width:47.5pt;height:4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" filled="f" stroked="f">
                <v:textbox>
                  <w:txbxContent>
                    <w:p w:rsidR="004B395A" w:rsidRDefault="004B395A" w:rsidP="005E39FC">
                      <w:pPr>
                        <w:rPr>
                          <w:b/>
                          <w:sz w:val="16"/>
                        </w:rPr>
                      </w:pPr>
                      <w:r w:rsidRPr="005E39FC">
                        <w:rPr>
                          <w:b/>
                          <w:sz w:val="16"/>
                        </w:rPr>
                        <w:t xml:space="preserve">4 pl- </w:t>
                      </w:r>
                    </w:p>
                    <w:p w:rsidR="004B395A" w:rsidRPr="005E39FC" w:rsidRDefault="004B395A" w:rsidP="005E39FC">
                      <w:pPr>
                        <w:rPr>
                          <w:b/>
                          <w:sz w:val="16"/>
                        </w:rPr>
                      </w:pPr>
                      <w:r w:rsidRPr="005E39FC">
                        <w:rPr>
                          <w:b/>
                          <w:sz w:val="16"/>
                        </w:rPr>
                        <w:t>100 kDa</w:t>
                      </w:r>
                    </w:p>
                  </w:txbxContent>
                </v:textbox>
              </v:shape>
            </w:pict>
          </mc:Fallback>
        </mc:AlternateContent>
      </w:r>
      <w:r w:rsidRPr="005E39FC">
        <w:rPr>
          <w:rFonts w:eastAsia="Times New Roman"/>
          <w:noProof/>
          <w:color w:val="0D0D0D"/>
          <w:lang w:eastAsia="en-IE"/>
        </w:rPr>
        <mc:AlternateContent>
          <mc:Choice Requires="wps">
            <w:drawing>
              <wp:anchor distT="0" distB="0" distL="114300" distR="114300" simplePos="0" relativeHeight="251666944" behindDoc="0" locked="0" layoutInCell="1" allowOverlap="1" wp14:anchorId="7AD3C4F3" wp14:editId="293790B2">
                <wp:simplePos x="0" y="0"/>
                <wp:positionH relativeFrom="column">
                  <wp:posOffset>-19050</wp:posOffset>
                </wp:positionH>
                <wp:positionV relativeFrom="paragraph">
                  <wp:posOffset>13970</wp:posOffset>
                </wp:positionV>
                <wp:extent cx="498475"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04800"/>
                        </a:xfrm>
                        <a:prstGeom prst="rect">
                          <a:avLst/>
                        </a:prstGeom>
                        <a:noFill/>
                        <a:ln w="9525">
                          <a:noFill/>
                          <a:miter lim="800000"/>
                          <a:headEnd/>
                          <a:tailEnd/>
                        </a:ln>
                      </wps:spPr>
                      <wps:txbx>
                        <w:txbxContent>
                          <w:p w:rsidR="004B395A" w:rsidRPr="005E39FC" w:rsidRDefault="004B395A">
                            <w:pPr>
                              <w:rPr>
                                <w:b/>
                                <w:sz w:val="16"/>
                              </w:rPr>
                            </w:pPr>
                            <w:r w:rsidRPr="005E39FC">
                              <w:rPr>
                                <w:b/>
                                <w:sz w:val="16"/>
                              </w:rPr>
                              <w:t>7 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5pt;margin-top:1.1pt;width:39.25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" filled="f" stroked="f">
                <v:textbox>
                  <w:txbxContent>
                    <w:p w:rsidR="004B395A" w:rsidRPr="005E39FC" w:rsidRDefault="004B395A">
                      <w:pPr>
                        <w:rPr>
                          <w:b/>
                          <w:sz w:val="16"/>
                        </w:rPr>
                      </w:pPr>
                      <w:r w:rsidRPr="005E39FC">
                        <w:rPr>
                          <w:b/>
                          <w:sz w:val="16"/>
                        </w:rPr>
                        <w:t>7 pl</w:t>
                      </w:r>
                    </w:p>
                  </w:txbxContent>
                </v:textbox>
              </v:shape>
            </w:pict>
          </mc:Fallback>
        </mc:AlternateContent>
      </w:r>
      <w:r w:rsidR="00ED7D82">
        <w:rPr>
          <w:rFonts w:eastAsia="Times New Roman"/>
          <w:noProof/>
          <w:color w:val="0D0D0D"/>
          <w:lang w:eastAsia="en-IE"/>
        </w:rPr>
        <w:drawing>
          <wp:inline distT="0" distB="0" distL="0" distR="0" wp14:anchorId="53B6BE3A" wp14:editId="24AC8E70">
            <wp:extent cx="5013960" cy="4069080"/>
            <wp:effectExtent l="0" t="0" r="0" b="7620"/>
            <wp:docPr id="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17032" cy="4071573"/>
                    </a:xfrm>
                    <a:prstGeom prst="rect">
                      <a:avLst/>
                    </a:prstGeom>
                    <a:noFill/>
                    <a:ln>
                      <a:noFill/>
                    </a:ln>
                  </pic:spPr>
                </pic:pic>
              </a:graphicData>
            </a:graphic>
          </wp:inline>
        </w:drawing>
      </w:r>
    </w:p>
    <w:p w:rsidR="000C1CEE" w:rsidRDefault="006B72EF" w:rsidP="00057B42">
      <w:pPr>
        <w:pBdr>
          <w:bottom w:val="single" w:sz="12" w:space="1" w:color="auto"/>
        </w:pBdr>
        <w:spacing w:before="240" w:line="360" w:lineRule="auto"/>
        <w:ind w:right="-1"/>
        <w:jc w:val="both"/>
        <w:rPr>
          <w:rFonts w:eastAsia="Times New Roman"/>
          <w:b/>
          <w:bCs/>
          <w:color w:val="000000"/>
          <w:lang w:eastAsia="en-US"/>
        </w:rPr>
      </w:pPr>
      <w:bookmarkStart w:id="1098" w:name="_Toc279441892"/>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8</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099" w:name="_Toc274587576"/>
      <w:r w:rsidR="00C55C6B">
        <w:rPr>
          <w:rFonts w:eastAsia="Times New Roman"/>
          <w:b/>
          <w:bCs/>
          <w:color w:val="000000"/>
          <w:lang w:eastAsia="en-US"/>
        </w:rPr>
        <w:t xml:space="preserve"> Showing</w:t>
      </w:r>
      <w:r w:rsidR="00B0258C">
        <w:rPr>
          <w:rFonts w:eastAsia="Times New Roman"/>
          <w:b/>
          <w:bCs/>
          <w:color w:val="000000"/>
          <w:lang w:eastAsia="en-US"/>
        </w:rPr>
        <w:t xml:space="preserve"> A</w:t>
      </w:r>
      <w:r w:rsidRPr="006B72EF">
        <w:rPr>
          <w:rFonts w:eastAsia="Times New Roman"/>
          <w:b/>
          <w:bCs/>
          <w:color w:val="000000"/>
          <w:lang w:eastAsia="en-US"/>
        </w:rPr>
        <w:t xml:space="preserve"> gel image, based on the 2D-DIGE analysis, protein spots with a fold difference of more than 1.25 in abundance level </w:t>
      </w:r>
      <w:r w:rsidR="00EC2E47" w:rsidRPr="006B72EF">
        <w:rPr>
          <w:rFonts w:eastAsia="Times New Roman"/>
          <w:b/>
          <w:bCs/>
          <w:color w:val="000000"/>
          <w:lang w:eastAsia="en-US"/>
        </w:rPr>
        <w:t xml:space="preserve">between responders and non-responder </w:t>
      </w:r>
      <w:r w:rsidR="00EC2E47">
        <w:rPr>
          <w:rFonts w:eastAsia="Times New Roman"/>
          <w:b/>
          <w:bCs/>
          <w:color w:val="000000"/>
          <w:lang w:eastAsia="en-US"/>
        </w:rPr>
        <w:t xml:space="preserve">to thalidomide </w:t>
      </w:r>
      <w:r w:rsidRPr="006B72EF">
        <w:rPr>
          <w:rFonts w:eastAsia="Times New Roman"/>
          <w:b/>
          <w:bCs/>
          <w:color w:val="000000"/>
          <w:lang w:eastAsia="en-US"/>
        </w:rPr>
        <w:t xml:space="preserve"> with a </w:t>
      </w:r>
      <w:r w:rsidR="00EC2E47">
        <w:rPr>
          <w:rFonts w:eastAsia="Times New Roman"/>
          <w:b/>
          <w:bCs/>
          <w:color w:val="000000"/>
          <w:lang w:eastAsia="en-US"/>
        </w:rPr>
        <w:t>p</w:t>
      </w:r>
      <w:r w:rsidRPr="006B72EF">
        <w:rPr>
          <w:rFonts w:eastAsia="Times New Roman"/>
          <w:b/>
          <w:bCs/>
          <w:color w:val="000000"/>
          <w:lang w:eastAsia="en-US"/>
        </w:rPr>
        <w:t xml:space="preserve"> value of</w:t>
      </w:r>
      <w:r w:rsidR="00BC4C71">
        <w:rPr>
          <w:rFonts w:eastAsia="Times New Roman"/>
          <w:b/>
          <w:bCs/>
          <w:color w:val="000000"/>
          <w:lang w:eastAsia="en-US"/>
        </w:rPr>
        <w:t xml:space="preserve"> </w:t>
      </w:r>
      <w:r w:rsidR="000C1CEE">
        <w:rPr>
          <w:rFonts w:eastAsia="Times New Roman"/>
          <w:b/>
          <w:bCs/>
          <w:color w:val="000000"/>
          <w:lang w:eastAsia="en-US"/>
        </w:rPr>
        <w:t xml:space="preserve"> </w:t>
      </w:r>
      <w:r w:rsidRPr="006B72EF">
        <w:rPr>
          <w:rFonts w:eastAsia="Times New Roman"/>
          <w:b/>
          <w:bCs/>
          <w:color w:val="000000"/>
          <w:lang w:eastAsia="en-US"/>
        </w:rPr>
        <w:t xml:space="preserve"> ≤ 0.01</w:t>
      </w:r>
      <w:r w:rsidR="00EC2E47">
        <w:rPr>
          <w:rFonts w:eastAsia="Times New Roman"/>
          <w:b/>
          <w:bCs/>
          <w:color w:val="000000"/>
          <w:lang w:eastAsia="en-US"/>
        </w:rPr>
        <w:t>.</w:t>
      </w:r>
      <w:r w:rsidRPr="006B72EF">
        <w:rPr>
          <w:rFonts w:eastAsia="Times New Roman"/>
          <w:b/>
          <w:bCs/>
          <w:color w:val="000000"/>
          <w:lang w:eastAsia="en-US"/>
        </w:rPr>
        <w:t xml:space="preserve"> </w:t>
      </w:r>
      <w:bookmarkEnd w:id="1098"/>
      <w:bookmarkEnd w:id="1099"/>
    </w:p>
    <w:p w:rsidR="006B72EF" w:rsidRP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noProof/>
          <w:lang w:eastAsia="en-IE"/>
        </w:rPr>
        <w:lastRenderedPageBreak/>
        <mc:AlternateContent>
          <mc:Choice Requires="wpg">
            <w:drawing>
              <wp:inline distT="0" distB="0" distL="0" distR="0" wp14:anchorId="0AE13096" wp14:editId="7C11B26C">
                <wp:extent cx="5159405" cy="4944479"/>
                <wp:effectExtent l="0" t="0" r="3175" b="8890"/>
                <wp:docPr id="10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9405" cy="4944479"/>
                          <a:chOff x="1177877" y="620684"/>
                          <a:chExt cx="6634483" cy="5112572"/>
                        </a:xfrm>
                      </wpg:grpSpPr>
                      <pic:pic xmlns:pic="http://schemas.openxmlformats.org/drawingml/2006/picture">
                        <pic:nvPicPr>
                          <pic:cNvPr id="103" name="Picture 59"/>
                          <pic:cNvPicPr>
                            <a:picLocks noChangeAspect="1" noChangeArrowheads="1"/>
                          </pic:cNvPicPr>
                        </pic:nvPicPr>
                        <pic:blipFill>
                          <a:blip r:embed="rId44">
                            <a:extLst>
                              <a:ext uri="{28A0092B-C50C-407E-A947-70E740481C1C}">
                                <a14:useLocalDpi xmlns:a14="http://schemas.microsoft.com/office/drawing/2010/main" val="0"/>
                              </a:ext>
                            </a:extLst>
                          </a:blip>
                          <a:srcRect l="2763" t="4639"/>
                          <a:stretch>
                            <a:fillRect/>
                          </a:stretch>
                        </pic:blipFill>
                        <pic:spPr bwMode="auto">
                          <a:xfrm>
                            <a:off x="1177877" y="908652"/>
                            <a:ext cx="2819103" cy="1569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953002" y="908720"/>
                            <a:ext cx="2859358" cy="1617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187623" y="3717738"/>
                            <a:ext cx="2809432" cy="158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62"/>
                          <pic:cNvPicPr>
                            <a:picLocks noChangeAspect="1" noChangeArrowheads="1"/>
                          </pic:cNvPicPr>
                        </pic:nvPicPr>
                        <pic:blipFill>
                          <a:blip r:embed="rId47" cstate="print">
                            <a:extLst>
                              <a:ext uri="{28A0092B-C50C-407E-A947-70E740481C1C}">
                                <a14:useLocalDpi xmlns:a14="http://schemas.microsoft.com/office/drawing/2010/main" val="0"/>
                              </a:ext>
                            </a:extLst>
                          </a:blip>
                          <a:srcRect r="4144"/>
                          <a:stretch>
                            <a:fillRect/>
                          </a:stretch>
                        </pic:blipFill>
                        <pic:spPr bwMode="auto">
                          <a:xfrm>
                            <a:off x="4807424" y="3716040"/>
                            <a:ext cx="2860744" cy="1630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Box 9"/>
                        <wps:cNvSpPr txBox="1">
                          <a:spLocks noChangeArrowheads="1"/>
                        </wps:cNvSpPr>
                        <wps:spPr bwMode="auto">
                          <a:xfrm>
                            <a:off x="1259632" y="620688"/>
                            <a:ext cx="1080120"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08" name="TextBox 11"/>
                        <wps:cNvSpPr txBox="1">
                          <a:spLocks noChangeArrowheads="1"/>
                        </wps:cNvSpPr>
                        <wps:spPr bwMode="auto">
                          <a:xfrm>
                            <a:off x="4931737" y="620684"/>
                            <a:ext cx="1483607"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09" name="TextBox 12"/>
                        <wps:cNvSpPr txBox="1">
                          <a:spLocks noChangeArrowheads="1"/>
                        </wps:cNvSpPr>
                        <wps:spPr bwMode="auto">
                          <a:xfrm>
                            <a:off x="2411727" y="620684"/>
                            <a:ext cx="1520671"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0" name="TextBox 13"/>
                        <wps:cNvSpPr txBox="1">
                          <a:spLocks noChangeArrowheads="1"/>
                        </wps:cNvSpPr>
                        <wps:spPr bwMode="auto">
                          <a:xfrm>
                            <a:off x="1187615" y="3453867"/>
                            <a:ext cx="1530239"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1" name="TextBox 14"/>
                        <wps:cNvSpPr txBox="1">
                          <a:spLocks noChangeArrowheads="1"/>
                        </wps:cNvSpPr>
                        <wps:spPr bwMode="auto">
                          <a:xfrm>
                            <a:off x="4931938" y="3455119"/>
                            <a:ext cx="1656140"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2" name="TextBox 16"/>
                        <wps:cNvSpPr txBox="1">
                          <a:spLocks noChangeArrowheads="1"/>
                        </wps:cNvSpPr>
                        <wps:spPr bwMode="auto">
                          <a:xfrm>
                            <a:off x="2717864" y="3454902"/>
                            <a:ext cx="1106666"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3" name="TextBox 17"/>
                        <wps:cNvSpPr txBox="1">
                          <a:spLocks noChangeArrowheads="1"/>
                        </wps:cNvSpPr>
                        <wps:spPr bwMode="auto">
                          <a:xfrm>
                            <a:off x="6588048" y="620684"/>
                            <a:ext cx="1080120"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4" name="TextBox 18"/>
                        <wps:cNvSpPr txBox="1">
                          <a:spLocks noChangeArrowheads="1"/>
                        </wps:cNvSpPr>
                        <wps:spPr bwMode="auto">
                          <a:xfrm>
                            <a:off x="6660232" y="3455422"/>
                            <a:ext cx="1080120" cy="26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wps:txbx>
                        <wps:bodyPr rot="0" vert="horz" wrap="square" lIns="91440" tIns="45720" rIns="91440" bIns="45720" anchor="t" anchorCtr="0" upright="1">
                          <a:noAutofit/>
                        </wps:bodyPr>
                      </wps:wsp>
                      <wps:wsp>
                        <wps:cNvPr id="115" name="TextBox 21"/>
                        <wps:cNvSpPr txBox="1">
                          <a:spLocks noChangeArrowheads="1"/>
                        </wps:cNvSpPr>
                        <wps:spPr bwMode="auto">
                          <a:xfrm>
                            <a:off x="2267744" y="5363924"/>
                            <a:ext cx="36004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B</w:t>
                              </w:r>
                            </w:p>
                          </w:txbxContent>
                        </wps:txbx>
                        <wps:bodyPr rot="0" vert="horz" wrap="square" lIns="91440" tIns="45720" rIns="91440" bIns="45720" anchor="t" anchorCtr="0" upright="1">
                          <a:noAutofit/>
                        </wps:bodyPr>
                      </wps:wsp>
                      <wps:wsp>
                        <wps:cNvPr id="116" name="TextBox 22"/>
                        <wps:cNvSpPr txBox="1">
                          <a:spLocks noChangeArrowheads="1"/>
                        </wps:cNvSpPr>
                        <wps:spPr bwMode="auto">
                          <a:xfrm>
                            <a:off x="2267744" y="2555612"/>
                            <a:ext cx="36004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A</w:t>
                              </w:r>
                            </w:p>
                          </w:txbxContent>
                        </wps:txbx>
                        <wps:bodyPr rot="0" vert="horz" wrap="square" lIns="91440" tIns="45720" rIns="91440" bIns="45720" anchor="t" anchorCtr="0" upright="1">
                          <a:noAutofit/>
                        </wps:bodyPr>
                      </wps:wsp>
                      <wps:wsp>
                        <wps:cNvPr id="117" name="TextBox 23"/>
                        <wps:cNvSpPr txBox="1">
                          <a:spLocks noChangeArrowheads="1"/>
                        </wps:cNvSpPr>
                        <wps:spPr bwMode="auto">
                          <a:xfrm>
                            <a:off x="6228184" y="2483604"/>
                            <a:ext cx="36004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C</w:t>
                              </w:r>
                            </w:p>
                          </w:txbxContent>
                        </wps:txbx>
                        <wps:bodyPr rot="0" vert="horz" wrap="square" lIns="91440" tIns="45720" rIns="91440" bIns="45720" anchor="t" anchorCtr="0" upright="1">
                          <a:noAutofit/>
                        </wps:bodyPr>
                      </wps:wsp>
                      <wps:wsp>
                        <wps:cNvPr id="118" name="TextBox 24"/>
                        <wps:cNvSpPr txBox="1">
                          <a:spLocks noChangeArrowheads="1"/>
                        </wps:cNvSpPr>
                        <wps:spPr bwMode="auto">
                          <a:xfrm>
                            <a:off x="6228184" y="5291916"/>
                            <a:ext cx="36004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D</w:t>
                              </w:r>
                            </w:p>
                          </w:txbxContent>
                        </wps:txbx>
                        <wps:bodyPr rot="0" vert="horz" wrap="square" lIns="91440" tIns="45720" rIns="91440" bIns="45720" anchor="t" anchorCtr="0" upright="1">
                          <a:noAutofit/>
                        </wps:bodyPr>
                      </wps:wsp>
                    </wpg:wgp>
                  </a:graphicData>
                </a:graphic>
              </wp:inline>
            </w:drawing>
          </mc:Choice>
          <mc:Fallback>
            <w:pict>
              <v:group id="Group 25" o:spid="_x0000_s1030" style="width:406.25pt;height:389.35pt;mso-position-horizontal-relative:char;mso-position-vertical-relative:line" coordorigin="11778,6206" coordsize="66344,511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">
                <v:shape id="Picture 59" o:spid="_x0000_s1031" type="#_x0000_t75" style="position:absolute;left:11778;top:9086;width:28191;height:15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J2BnBAAAA3AAAAA8AAABkcnMvZG93bnJldi54bWxET99rwjAQfh/sfwg32NtM3UBGZxSdKIog&#10;2tn3ozmbYnMpTbT1vzeCsLf7+H7eeNrbWlyp9ZVjBcNBAoK4cLriUsHxb/nxDcIHZI21Y1JwIw/T&#10;yevLGFPtOj7QNQuliCHsU1RgQmhSKX1hyKIfuIY4cifXWgwRtqXULXYx3NbyM0lG0mLFscFgQ7+G&#10;inN2sQr2s/kiz9xutV7Mu2qVb03uNkap97d+9gMiUB/+xU/3Wsf5yRc8nokXyM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VJ2BnBAAAA3AAAAA8AAAAAAAAAAAAAAAAAnwIA&#10;AGRycy9kb3ducmV2LnhtbFBLBQYAAAAABAAEAPcAAACNAwAAAAA=&#10;">
                  <v:imagedata r:id="rId48" o:title="" croptop="3040f" cropleft="1811f"/>
                </v:shape>
                <v:shape id="Picture 60" o:spid="_x0000_s1032" type="#_x0000_t75" style="position:absolute;left:49530;top:9087;width:28593;height:16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t47CAAAA3AAAAA8AAABkcnMvZG93bnJldi54bWxET01rwkAQvRf6H5YReim6sYRSoqtIQbCn&#10;UhuE3obsmI1mZ0N21Nhf3y0I3ubxPme+HHyrztTHJrCB6SQDRVwF23BtoPxej99ARUG22AYmA1eK&#10;sFw8PsyxsOHCX3TeSq1SCMcCDTiRrtA6Vo48xknoiBO3D71HSbCvte3xksJ9q1+y7FV7bDg1OOzo&#10;3VF13J68gZ9P3px0+bs7lHku10Punj/EGfM0GlYzUEKD3MU398am+VkO/8+kC/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LreOwgAAANwAAAAPAAAAAAAAAAAAAAAAAJ8C&#10;AABkcnMvZG93bnJldi54bWxQSwUGAAAAAAQABAD3AAAAjgMAAAAA&#10;">
                  <v:imagedata r:id="rId49" o:title=""/>
                </v:shape>
                <v:shape id="Picture 61" o:spid="_x0000_s1033" type="#_x0000_t75" style="position:absolute;left:11876;top:37177;width:28094;height:1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bd7XEAAAA3AAAAA8AAABkcnMvZG93bnJldi54bWxET01rwkAQvQv9D8sUehHdmKJIdBURtD1U&#10;UKueh+w0Sc3OhuxG0/z6bkHobR7vc+bL1pTiRrUrLCsYDSMQxKnVBWcKTp+bwRSE88gaS8uk4Icc&#10;LBdPvTkm2t75QLejz0QIYZeggtz7KpHSpTkZdENbEQfuy9YGfYB1JnWN9xBuShlH0UQaLDg05FjR&#10;Oqf0emyMgu6bDmziy3nXbSev+/ij3zVvjVIvz+1qBsJT6//FD/e7DvOjMfw9Ey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bd7XEAAAA3AAAAA8AAAAAAAAAAAAAAAAA&#10;nwIAAGRycy9kb3ducmV2LnhtbFBLBQYAAAAABAAEAPcAAACQAwAAAAA=&#10;">
                  <v:imagedata r:id="rId50" o:title=""/>
                </v:shape>
                <v:shape id="Picture 62" o:spid="_x0000_s1034" type="#_x0000_t75" style="position:absolute;left:48074;top:37160;width:28607;height:16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aBEzBAAAA3AAAAA8AAABkcnMvZG93bnJldi54bWxET0trAjEQvhf8D2EEbzXRg5TVKFUQPBRk&#10;fYDH6Wa6WbqZLEm6rv++KRS8zcf3nNVmcK3oKcTGs4bZVIEgrrxpuNZwOe9f30DEhGyw9UwaHhRh&#10;sx69rLAw/s4l9adUixzCsUANNqWukDJWlhzGqe+IM/flg8OUYailCXjP4a6Vc6UW0mHDucFiRztL&#10;1ffpx2m4Esbtzbt+Nv/8UMeHLe0llFpPxsP7EkSiIT3F/+6DyfPVAv6eyRfI9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aBEzBAAAA3AAAAA8AAAAAAAAAAAAAAAAAnwIA&#10;AGRycy9kb3ducmV2LnhtbFBLBQYAAAAABAAEAPcAAACNAwAAAAA=&#10;">
                  <v:imagedata r:id="rId51" o:title="" cropright="2716f"/>
                </v:shape>
                <v:shape id="TextBox 9" o:spid="_x0000_s1035" type="#_x0000_t202" style="position:absolute;left:12596;top:6206;width:1080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v:textbox>
                </v:shape>
                <v:shape id="TextBox 11" o:spid="_x0000_s1036" type="#_x0000_t202" style="position:absolute;left:49317;top:6206;width:14836;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v:textbox>
                </v:shape>
                <v:shape id="TextBox 12" o:spid="_x0000_s1037" type="#_x0000_t202" style="position:absolute;left:24117;top:6206;width:15206;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v:textbox>
                </v:shape>
                <v:shape id="TextBox 13" o:spid="_x0000_s1038" type="#_x0000_t202" style="position:absolute;left:11876;top:34538;width:15302;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v:textbox>
                </v:shape>
                <v:shape id="TextBox 14" o:spid="_x0000_s1039" type="#_x0000_t202" style="position:absolute;left:49319;top:34551;width:1656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spsEA&#10;AADcAAAADwAAAGRycy9kb3ducmV2LnhtbERPTYvCMBC9C/6HMII3TbrootUo4iJ4cllXBW9DM7bF&#10;ZlKaaOu/3yws7G0e73OW685W4kmNLx1rSMYKBHHmTMm5htP3bjQD4QOywcoxaXiRh/Wq31tialzL&#10;X/Q8hlzEEPYpaihCqFMpfVaQRT92NXHkbq6xGCJscmkabGO4reSbUu/SYsmxocCatgVl9+PDajgf&#10;btfLRH3mH3Zat65Tku1caj0cdJsFiEBd+Bf/ufcmzk8S+H0mXi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FLKbBAAAA3AAAAA8AAAAAAAAAAAAAAAAAmAIAAGRycy9kb3du&#10;cmV2LnhtbFBLBQYAAAAABAAEAPUAAACGAwAAAAA=&#10;" filled="f" stroked="f">
                  <v:textbox>
                    <w:txbxContent>
                      <w:p w:rsidR="004B395A" w:rsidRDefault="004B395A" w:rsidP="006B72EF">
                        <w:pPr>
                          <w:pStyle w:val="NormalWeb"/>
                          <w:spacing w:before="0" w:beforeAutospacing="0" w:after="0" w:afterAutospacing="0"/>
                        </w:pPr>
                        <w:r>
                          <w:rPr>
                            <w:rFonts w:ascii="Calibri" w:hAnsi="Calibri"/>
                            <w:color w:val="000000"/>
                            <w:kern w:val="24"/>
                            <w:sz w:val="22"/>
                            <w:szCs w:val="22"/>
                          </w:rPr>
                          <w:t>Non-</w:t>
                        </w:r>
                        <w:r w:rsidRPr="006B72EF">
                          <w:rPr>
                            <w:rFonts w:ascii="Calibri" w:hAnsi="Calibri"/>
                            <w:color w:val="000000"/>
                            <w:kern w:val="24"/>
                            <w:sz w:val="22"/>
                            <w:szCs w:val="22"/>
                          </w:rPr>
                          <w:t>Responders</w:t>
                        </w:r>
                      </w:p>
                    </w:txbxContent>
                  </v:textbox>
                </v:shape>
                <v:shape id="TextBox 16" o:spid="_x0000_s1040" type="#_x0000_t202" style="position:absolute;left:27178;top:34549;width:11067;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y0cIA&#10;AADcAAAADwAAAGRycy9kb3ducmV2LnhtbERPTWvCQBC9C/0Pywi9md1IFU2zhqIUerKordDbkB2T&#10;YHY2ZLcm/ffdQsHbPN7n5MVoW3Gj3jeONaSJAkFcOtNwpeHj9DpbgfAB2WDrmDT8kIdi8zDJMTNu&#10;4APdjqESMYR9hhrqELpMSl/WZNEnriOO3MX1FkOEfSVNj0MMt62cK7WUFhuODTV2tK2pvB6/rYbP&#10;/eXr/KTeq51ddIMblWS7llo/TseXZxCBxnAX/7vfTJyfzu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7LRwgAAANwAAAAPAAAAAAAAAAAAAAAAAJgCAABkcnMvZG93&#10;bnJldi54bWxQSwUGAAAAAAQABAD1AAAAhwM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v:textbox>
                </v:shape>
                <v:shape id="TextBox 17" o:spid="_x0000_s1041" type="#_x0000_t202" style="position:absolute;left:65880;top:6206;width:1080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XSsEA&#10;AADcAAAADwAAAGRycy9kb3ducmV2LnhtbERPTYvCMBC9C/6HMIK3NXHVZbcaZVEET4ruKuxtaMa2&#10;2ExKE23990ZY8DaP9zmzRWtLcaPaF441DAcKBHHqTMGZht+f9dsnCB+QDZaOScOdPCzm3c4ME+Ma&#10;3tPtEDIRQ9gnqCEPoUqk9GlOFv3AVcSRO7vaYoiwzqSpsYnhtpTvSn1IiwXHhhwrWuaUXg5Xq+G4&#10;Pf+dxmqXreykalyrJNsvqXW/135PQQRqw0v8796YOH84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bF0rBAAAA3AAAAA8AAAAAAAAAAAAAAAAAmAIAAGRycy9kb3du&#10;cmV2LnhtbFBLBQYAAAAABAAEAPUAAACGAw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v:textbox>
                </v:shape>
                <v:shape id="TextBox 18" o:spid="_x0000_s1042" type="#_x0000_t202" style="position:absolute;left:66602;top:34554;width:1080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22"/>
                            <w:szCs w:val="22"/>
                          </w:rPr>
                          <w:t>Responders</w:t>
                        </w:r>
                      </w:p>
                    </w:txbxContent>
                  </v:textbox>
                </v:shape>
                <v:shape id="TextBox 21" o:spid="_x0000_s1043" type="#_x0000_t202" style="position:absolute;left:22677;top:53639;width:3600;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4qpcIA&#10;AADcAAAADwAAAGRycy9kb3ducmV2LnhtbERPyWrDMBC9F/IPYgK91ZJLUhLHigktgZ5amg1yG6yJ&#10;bWKNjKXG7t9XhUJu83jr5MVoW3Gj3jeONaSJAkFcOtNwpeGw3z4tQPiAbLB1TBp+yEOxnjzkmBk3&#10;8BfddqESMYR9hhrqELpMSl/WZNEnriOO3MX1FkOEfSVNj0MMt618VupFWmw4NtTY0WtN5XX3bTUc&#10;Py7n00x9Vm923g1uVJLtUmr9OB03KxCBxnAX/7vfTZyfzu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lwgAAANwAAAAPAAAAAAAAAAAAAAAAAJgCAABkcnMvZG93&#10;bnJldi54bWxQSwUGAAAAAAQABAD1AAAAhwM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B</w:t>
                        </w:r>
                      </w:p>
                    </w:txbxContent>
                  </v:textbox>
                </v:shape>
                <v:shape id="TextBox 22" o:spid="_x0000_s1044" type="#_x0000_t202" style="position:absolute;left:22677;top:25556;width:3600;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00sIA&#10;AADcAAAADwAAAGRycy9kb3ducmV2LnhtbERPTWvCQBC9C/0Pywi9md1IK5pmDcVS6KmitkJvQ3ZM&#10;gtnZkN2a9N93BcHbPN7n5MVoW3Gh3jeONaSJAkFcOtNwpeHr8D5bgvAB2WDrmDT8kYdi/TDJMTNu&#10;4B1d9qESMYR9hhrqELpMSl/WZNEnriOO3Mn1FkOEfSVNj0MMt62cK7WQFhuODTV2tKmpPO9/rYbv&#10;z9PP8Ultqzf73A1uVJLtSmr9OB1fX0AEGsNdfHN/mDg/XcD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TSwgAAANwAAAAPAAAAAAAAAAAAAAAAAJgCAABkcnMvZG93&#10;bnJldi54bWxQSwUGAAAAAAQABAD1AAAAhwM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A</w:t>
                        </w:r>
                      </w:p>
                    </w:txbxContent>
                  </v:textbox>
                </v:shape>
                <v:shape id="TextBox 23" o:spid="_x0000_s1045" type="#_x0000_t202" style="position:absolute;left:62281;top:24836;width:360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C</w:t>
                        </w:r>
                      </w:p>
                    </w:txbxContent>
                  </v:textbox>
                </v:shape>
                <v:shape id="TextBox 24" o:spid="_x0000_s1046" type="#_x0000_t202" style="position:absolute;left:62281;top:52919;width:360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8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Qiv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hTvEAAAA3AAAAA8AAAAAAAAAAAAAAAAAmAIAAGRycy9k&#10;b3ducmV2LnhtbFBLBQYAAAAABAAEAPUAAACJAwAAAAA=&#10;" filled="f" stroked="f">
                  <v:textbox>
                    <w:txbxContent>
                      <w:p w:rsidR="004B395A" w:rsidRDefault="004B395A" w:rsidP="006B72EF">
                        <w:pPr>
                          <w:pStyle w:val="NormalWeb"/>
                          <w:spacing w:before="0" w:beforeAutospacing="0" w:after="0" w:afterAutospacing="0"/>
                        </w:pPr>
                        <w:r w:rsidRPr="006B72EF">
                          <w:rPr>
                            <w:rFonts w:ascii="Calibri" w:hAnsi="Calibri"/>
                            <w:color w:val="000000"/>
                            <w:kern w:val="24"/>
                            <w:sz w:val="36"/>
                            <w:szCs w:val="36"/>
                          </w:rPr>
                          <w:t>D</w:t>
                        </w:r>
                      </w:p>
                    </w:txbxContent>
                  </v:textbox>
                </v:shape>
                <w10:anchorlock/>
              </v:group>
            </w:pict>
          </mc:Fallback>
        </mc:AlternateContent>
      </w:r>
    </w:p>
    <w:p w:rsidR="000C1CEE" w:rsidRDefault="006B72EF" w:rsidP="00057B42">
      <w:pPr>
        <w:pBdr>
          <w:bottom w:val="single" w:sz="12" w:space="1" w:color="auto"/>
        </w:pBdr>
        <w:spacing w:before="240" w:line="360" w:lineRule="auto"/>
        <w:ind w:right="-1"/>
        <w:jc w:val="both"/>
        <w:rPr>
          <w:rFonts w:eastAsia="Times New Roman"/>
          <w:b/>
          <w:bCs/>
          <w:color w:val="000000"/>
          <w:lang w:eastAsia="en-US"/>
        </w:rPr>
      </w:pPr>
      <w:bookmarkStart w:id="1100" w:name="_Toc279441893"/>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9</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101" w:name="_Toc274587577"/>
      <w:r w:rsidRPr="006B72EF">
        <w:rPr>
          <w:rFonts w:eastAsia="Times New Roman"/>
          <w:b/>
          <w:bCs/>
          <w:color w:val="000000"/>
          <w:lang w:eastAsia="en-US"/>
        </w:rPr>
        <w:t xml:space="preserve">Showing gel images and 3-D views for Hp (A and C) </w:t>
      </w:r>
      <w:r w:rsidR="0010315E">
        <w:rPr>
          <w:rFonts w:eastAsia="Times New Roman"/>
          <w:b/>
          <w:bCs/>
          <w:color w:val="000000"/>
          <w:lang w:eastAsia="en-US"/>
        </w:rPr>
        <w:t>and</w:t>
      </w:r>
      <w:r w:rsidRPr="006B72EF">
        <w:rPr>
          <w:rFonts w:eastAsia="Times New Roman"/>
          <w:b/>
          <w:bCs/>
          <w:color w:val="000000"/>
          <w:lang w:eastAsia="en-US"/>
        </w:rPr>
        <w:t xml:space="preserve"> B2M (B </w:t>
      </w:r>
      <w:r w:rsidR="0010315E">
        <w:rPr>
          <w:rFonts w:eastAsia="Times New Roman"/>
          <w:b/>
          <w:bCs/>
          <w:color w:val="000000"/>
          <w:lang w:eastAsia="en-US"/>
        </w:rPr>
        <w:t>and</w:t>
      </w:r>
      <w:r w:rsidRPr="006B72EF">
        <w:rPr>
          <w:rFonts w:eastAsia="Times New Roman"/>
          <w:b/>
          <w:bCs/>
          <w:color w:val="000000"/>
          <w:lang w:eastAsia="en-US"/>
        </w:rPr>
        <w:t xml:space="preserve"> D) respectively, showing change in expression level levels between non-responders and responders to thalidomide based therapy.</w:t>
      </w:r>
      <w:bookmarkEnd w:id="1100"/>
      <w:bookmarkEnd w:id="1101"/>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E66F2" w:rsidP="00645687">
      <w:pPr>
        <w:pStyle w:val="Heading3"/>
      </w:pPr>
      <w:bookmarkStart w:id="1102" w:name="_Toc274586827"/>
      <w:bookmarkStart w:id="1103" w:name="_Toc274736184"/>
      <w:r>
        <w:br w:type="page"/>
      </w:r>
      <w:r w:rsidR="006B72EF" w:rsidRPr="006B72EF">
        <w:lastRenderedPageBreak/>
        <w:tab/>
      </w:r>
      <w:bookmarkStart w:id="1104" w:name="_Toc279658449"/>
      <w:bookmarkStart w:id="1105" w:name="_Toc306570672"/>
      <w:bookmarkStart w:id="1106" w:name="_Toc307067735"/>
      <w:bookmarkStart w:id="1107" w:name="_Toc312169307"/>
      <w:bookmarkStart w:id="1108" w:name="_Toc312172234"/>
      <w:bookmarkStart w:id="1109" w:name="_Toc312257783"/>
      <w:r w:rsidR="006B72EF" w:rsidRPr="006B72EF">
        <w:t>Protein Identification</w:t>
      </w:r>
      <w:bookmarkEnd w:id="1102"/>
      <w:bookmarkEnd w:id="1103"/>
      <w:bookmarkEnd w:id="1104"/>
      <w:bookmarkEnd w:id="1105"/>
      <w:bookmarkEnd w:id="1106"/>
      <w:bookmarkEnd w:id="1107"/>
      <w:bookmarkEnd w:id="1108"/>
      <w:bookmarkEnd w:id="1109"/>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Subsequently, these proteins spots of interest were identified by LC-MS/MS using an ion trap LTQ mass spectrometer and searched against the SWISS PROT database using SEQUEST </w:t>
      </w:r>
      <w:r w:rsidRPr="006B72EF">
        <w:rPr>
          <w:rFonts w:eastAsia="Times New Roman"/>
          <w:color w:val="0D0D0D"/>
          <w:lang w:eastAsia="en-US"/>
        </w:rPr>
        <w:fldChar w:fldCharType="begin">
          <w:fldData xml:space="preserve">PEVuZE5vdGU+PENpdGU+PEF1dGhvcj5Ccml6YXJkPC9BdXRob3I+PFllYXI+MjAwOTwvWWVhcj48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</w:fldData>
        </w:fldChar>
      </w:r>
      <w:r w:rsidR="006F41FE">
        <w:rPr>
          <w:rFonts w:eastAsia="Times New Roman"/>
          <w:color w:val="0D0D0D"/>
          <w:lang w:eastAsia="en-US"/>
        </w:rPr>
        <w:instrText xml:space="preserve"> ADDIN EN.CITE </w:instrText>
      </w:r>
      <w:r w:rsidR="006F41FE">
        <w:rPr>
          <w:rFonts w:eastAsia="Times New Roman"/>
          <w:color w:val="0D0D0D"/>
          <w:lang w:eastAsia="en-US"/>
        </w:rPr>
        <w:fldChar w:fldCharType="begin">
          <w:fldData xml:space="preserve">PEVuZE5vdGU+PENpdGU+PEF1dGhvcj5Ccml6YXJkPC9BdXRob3I+PFllYXI+MjAwOTwvWWVhcj48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</w:fldData>
        </w:fldChar>
      </w:r>
      <w:r w:rsidR="006F41FE">
        <w:rPr>
          <w:rFonts w:eastAsia="Times New Roman"/>
          <w:color w:val="0D0D0D"/>
          <w:lang w:eastAsia="en-US"/>
        </w:rPr>
        <w:instrText xml:space="preserve"> ADDIN EN.CITE.DATA </w:instrText>
      </w:r>
      <w:r w:rsidR="006F41FE">
        <w:rPr>
          <w:rFonts w:eastAsia="Times New Roman"/>
          <w:color w:val="0D0D0D"/>
          <w:lang w:eastAsia="en-US"/>
        </w:rPr>
      </w:r>
      <w:r w:rsidR="006F41FE">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57" w:tooltip="Brizard, 2009 #4" w:history="1">
        <w:r w:rsidR="004A784D">
          <w:rPr>
            <w:rFonts w:eastAsia="Times New Roman"/>
            <w:noProof/>
            <w:color w:val="0D0D0D"/>
            <w:lang w:eastAsia="en-US"/>
          </w:rPr>
          <w:t>Brizard et al., 2009</w:t>
        </w:r>
      </w:hyperlink>
      <w:r w:rsidR="006F41FE">
        <w:rPr>
          <w:rFonts w:eastAsia="Times New Roman"/>
          <w:noProof/>
          <w:color w:val="0D0D0D"/>
          <w:lang w:eastAsia="en-US"/>
        </w:rPr>
        <w:t xml:space="preserve">, </w:t>
      </w:r>
      <w:hyperlink w:anchor="_ENREF_266" w:tooltip="Martinez-Gomariz, 2009 #10" w:history="1">
        <w:r w:rsidR="004A784D">
          <w:rPr>
            <w:rFonts w:eastAsia="Times New Roman"/>
            <w:noProof/>
            <w:color w:val="0D0D0D"/>
            <w:lang w:eastAsia="en-US"/>
          </w:rPr>
          <w:t>Martinez-Gomariz et al., 2009</w:t>
        </w:r>
      </w:hyperlink>
      <w:r w:rsidR="006F41FE">
        <w:rPr>
          <w:rFonts w:eastAsia="Times New Roman"/>
          <w:noProof/>
          <w:color w:val="0D0D0D"/>
          <w:lang w:eastAsia="en-US"/>
        </w:rPr>
        <w:t xml:space="preserve">, </w:t>
      </w:r>
      <w:hyperlink w:anchor="_ENREF_449" w:tooltip="Wu, 2009 #10" w:history="1">
        <w:r w:rsidR="004A784D">
          <w:rPr>
            <w:rFonts w:eastAsia="Times New Roman"/>
            <w:noProof/>
            <w:color w:val="0D0D0D"/>
            <w:lang w:eastAsia="en-US"/>
          </w:rPr>
          <w:t>Wu et al., 2009</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 Six proteins were identified.</w:t>
      </w:r>
    </w:p>
    <w:p w:rsidR="006B72EF" w:rsidRPr="006B72EF" w:rsidRDefault="006B72EF" w:rsidP="00645687">
      <w:pPr>
        <w:pStyle w:val="Heading3"/>
      </w:pPr>
      <w:bookmarkStart w:id="1110" w:name="_Toc274586828"/>
      <w:bookmarkStart w:id="1111" w:name="_Toc274736185"/>
      <w:r w:rsidRPr="006B72EF">
        <w:tab/>
      </w:r>
      <w:bookmarkStart w:id="1112" w:name="_Toc279658450"/>
      <w:bookmarkStart w:id="1113" w:name="_Toc306570673"/>
      <w:bookmarkStart w:id="1114" w:name="_Toc307067736"/>
      <w:bookmarkStart w:id="1115" w:name="_Toc312169308"/>
      <w:bookmarkStart w:id="1116" w:name="_Toc312172235"/>
      <w:bookmarkStart w:id="1117" w:name="_Toc312257784"/>
      <w:r w:rsidRPr="006B72EF">
        <w:t>Proteins abundance level</w:t>
      </w:r>
      <w:bookmarkEnd w:id="1110"/>
      <w:bookmarkEnd w:id="1111"/>
      <w:bookmarkEnd w:id="1112"/>
      <w:bookmarkEnd w:id="1113"/>
      <w:bookmarkEnd w:id="1114"/>
      <w:bookmarkEnd w:id="1115"/>
      <w:bookmarkEnd w:id="1116"/>
      <w:bookmarkEnd w:id="1117"/>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2-D-DIGE and Decyder software da</w:t>
      </w:r>
      <w:r w:rsidR="00EE66F2">
        <w:rPr>
          <w:rFonts w:eastAsia="Times New Roman"/>
          <w:color w:val="0D0D0D"/>
          <w:lang w:eastAsia="en-US"/>
        </w:rPr>
        <w:t xml:space="preserve">ta for the B2M, (t-test), and </w:t>
      </w:r>
      <w:r w:rsidRPr="006B72EF">
        <w:rPr>
          <w:rFonts w:eastAsia="Times New Roman"/>
          <w:color w:val="0D0D0D"/>
          <w:lang w:eastAsia="en-US"/>
        </w:rPr>
        <w:t xml:space="preserve">fold </w:t>
      </w:r>
      <w:r w:rsidR="00FD0B6C">
        <w:rPr>
          <w:rFonts w:eastAsia="Times New Roman"/>
          <w:color w:val="0D0D0D"/>
          <w:lang w:eastAsia="en-US"/>
        </w:rPr>
        <w:t>changes</w:t>
      </w:r>
      <w:r w:rsidR="00FD0B6C" w:rsidRPr="006B72EF">
        <w:rPr>
          <w:rFonts w:eastAsia="Times New Roman"/>
          <w:color w:val="0D0D0D"/>
          <w:lang w:eastAsia="en-US"/>
        </w:rPr>
        <w:t xml:space="preserve"> in</w:t>
      </w:r>
      <w:r w:rsidRPr="006B72EF">
        <w:rPr>
          <w:rFonts w:eastAsia="Times New Roman"/>
          <w:color w:val="0D0D0D"/>
          <w:lang w:eastAsia="en-US"/>
        </w:rPr>
        <w:t xml:space="preserve"> non-responders. The 2-DIGE and Decyder software data for Hp showed 3.01 (t-test 0.0015) fold decreases in abundance level in the non-responders. Table </w:t>
      </w:r>
      <w:r w:rsidR="006F4903">
        <w:rPr>
          <w:rFonts w:eastAsia="Times New Roman"/>
          <w:color w:val="0D0D0D"/>
          <w:lang w:eastAsia="en-US"/>
        </w:rPr>
        <w:t>3-6</w:t>
      </w:r>
      <w:r w:rsidRPr="006B72EF">
        <w:rPr>
          <w:rFonts w:eastAsia="Times New Roman"/>
          <w:color w:val="0D0D0D"/>
          <w:lang w:eastAsia="en-US"/>
        </w:rPr>
        <w:t xml:space="preserve"> summarizes these identified proteins with the average ratio and the statistical data from each comparison.</w:t>
      </w:r>
    </w:p>
    <w:p w:rsidR="006B72EF" w:rsidRDefault="000C1CEE" w:rsidP="00645687">
      <w:pPr>
        <w:pStyle w:val="Heading4"/>
      </w:pPr>
      <w:bookmarkStart w:id="1118" w:name="_Toc279658451"/>
      <w:r>
        <w:tab/>
      </w:r>
      <w:bookmarkStart w:id="1119" w:name="_Toc306570674"/>
      <w:bookmarkStart w:id="1120" w:name="_Toc307067737"/>
      <w:bookmarkStart w:id="1121" w:name="_Toc312169309"/>
      <w:bookmarkStart w:id="1122" w:name="_Toc312172236"/>
      <w:bookmarkStart w:id="1123" w:name="_Toc312257785"/>
      <w:r w:rsidR="006B72EF" w:rsidRPr="006B72EF">
        <w:t>Proteins with higher abundance level in non-responders</w:t>
      </w:r>
      <w:bookmarkEnd w:id="1118"/>
      <w:bookmarkEnd w:id="1119"/>
      <w:bookmarkEnd w:id="1120"/>
      <w:bookmarkEnd w:id="1121"/>
      <w:bookmarkEnd w:id="1122"/>
      <w:bookmarkEnd w:id="1123"/>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Proteins spots identified found to have higher level abundance level in the serum from non-responders compared to responders to thalidomide include:</w:t>
      </w:r>
    </w:p>
    <w:p w:rsidR="006B72EF" w:rsidRDefault="00EE66F2" w:rsidP="00057B42">
      <w:pPr>
        <w:pStyle w:val="Heading5"/>
        <w:spacing w:line="360" w:lineRule="auto"/>
      </w:pPr>
      <w:r>
        <w:tab/>
      </w:r>
      <w:r w:rsidR="006B72EF" w:rsidRPr="006B72EF">
        <w:t>Zinc alpha 2-glycoprotein (ZAG)</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2-D-DIGE and D</w:t>
      </w:r>
      <w:r w:rsidR="00BC4C71">
        <w:rPr>
          <w:rFonts w:eastAsia="Times New Roman"/>
          <w:color w:val="0D0D0D"/>
          <w:lang w:eastAsia="en-US"/>
        </w:rPr>
        <w:t>ecyder software data for the ZAG</w:t>
      </w:r>
      <w:r w:rsidRPr="006B72EF">
        <w:rPr>
          <w:rFonts w:eastAsia="Times New Roman"/>
          <w:color w:val="0D0D0D"/>
          <w:lang w:eastAsia="en-US"/>
        </w:rPr>
        <w:t xml:space="preserve"> showed </w:t>
      </w:r>
      <w:r w:rsidR="004B7657">
        <w:rPr>
          <w:rFonts w:eastAsia="Times New Roman"/>
          <w:color w:val="0D0D0D"/>
          <w:lang w:eastAsia="en-US"/>
        </w:rPr>
        <w:t xml:space="preserve">a </w:t>
      </w:r>
      <w:r w:rsidRPr="006B72EF">
        <w:rPr>
          <w:rFonts w:eastAsia="Times New Roman"/>
          <w:color w:val="0D0D0D"/>
          <w:lang w:eastAsia="en-US"/>
        </w:rPr>
        <w:t>1.48 increases in non-responders with a t-test score of 0.0000022.  ZAG was identif</w:t>
      </w:r>
      <w:r w:rsidR="004B7657">
        <w:rPr>
          <w:rFonts w:eastAsia="Times New Roman"/>
          <w:color w:val="0D0D0D"/>
          <w:lang w:eastAsia="en-US"/>
        </w:rPr>
        <w:t xml:space="preserve">ied by LC-MS/MS resulting in 10 </w:t>
      </w:r>
      <w:r w:rsidRPr="006B72EF">
        <w:rPr>
          <w:rFonts w:eastAsia="Times New Roman"/>
          <w:color w:val="0D0D0D"/>
          <w:lang w:eastAsia="en-US"/>
        </w:rPr>
        <w:t>matched peptide</w:t>
      </w:r>
      <w:r w:rsidR="004B7657">
        <w:rPr>
          <w:rFonts w:eastAsia="Times New Roman"/>
          <w:color w:val="0D0D0D"/>
          <w:lang w:eastAsia="en-US"/>
        </w:rPr>
        <w:t>s</w:t>
      </w:r>
      <w:r w:rsidRPr="006B72EF">
        <w:rPr>
          <w:rFonts w:eastAsia="Times New Roman"/>
          <w:color w:val="0D0D0D"/>
          <w:lang w:eastAsia="en-US"/>
        </w:rPr>
        <w:t>, corresponding to sequence coverage of 37.63 percentages (</w:t>
      </w:r>
      <w:r w:rsidR="00F64240">
        <w:rPr>
          <w:rFonts w:eastAsia="Times New Roman"/>
          <w:color w:val="0D0D0D"/>
          <w:lang w:eastAsia="en-US"/>
        </w:rPr>
        <w:t>Figure 3-10</w:t>
      </w:r>
      <w:r w:rsidRPr="006B72EF">
        <w:rPr>
          <w:rFonts w:eastAsia="Times New Roman"/>
          <w:color w:val="0D0D0D"/>
          <w:lang w:eastAsia="en-US"/>
        </w:rPr>
        <w:t>).</w:t>
      </w:r>
    </w:p>
    <w:p w:rsidR="006B72EF" w:rsidRDefault="002855FA" w:rsidP="00057B42">
      <w:pPr>
        <w:pStyle w:val="Heading5"/>
        <w:spacing w:line="360" w:lineRule="auto"/>
      </w:pPr>
      <w:r>
        <w:tab/>
      </w:r>
      <w:r w:rsidR="006B72EF" w:rsidRPr="006B72EF">
        <w:t>Vitamin D binding protein Precursor (VDB)</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2-D-DIGE and Decyder software data for the VDB showed </w:t>
      </w:r>
      <w:r w:rsidR="004B7657">
        <w:rPr>
          <w:rFonts w:eastAsia="Times New Roman"/>
          <w:color w:val="0D0D0D"/>
          <w:lang w:eastAsia="en-US"/>
        </w:rPr>
        <w:t xml:space="preserve">a </w:t>
      </w:r>
      <w:r w:rsidRPr="006B72EF">
        <w:rPr>
          <w:rFonts w:eastAsia="Times New Roman"/>
          <w:color w:val="0D0D0D"/>
          <w:lang w:eastAsia="en-US"/>
        </w:rPr>
        <w:t>1.31 increase in non-responders with a t-test score of 0.00044. VDB was identified by LC-MS/MS resulting in 20 matched peptide</w:t>
      </w:r>
      <w:r w:rsidR="004B7657">
        <w:rPr>
          <w:rFonts w:eastAsia="Times New Roman"/>
          <w:color w:val="0D0D0D"/>
          <w:lang w:eastAsia="en-US"/>
        </w:rPr>
        <w:t>s</w:t>
      </w:r>
      <w:r w:rsidRPr="006B72EF">
        <w:rPr>
          <w:rFonts w:eastAsia="Times New Roman"/>
          <w:color w:val="0D0D0D"/>
          <w:lang w:eastAsia="en-US"/>
        </w:rPr>
        <w:t>, corresponding to a sequence coverage of 53.59 percentage (</w:t>
      </w:r>
      <w:r w:rsidR="00F64240">
        <w:rPr>
          <w:rFonts w:eastAsia="Times New Roman"/>
          <w:color w:val="0D0D0D"/>
          <w:lang w:eastAsia="en-US"/>
        </w:rPr>
        <w:t>Figure 3-11</w:t>
      </w:r>
      <w:r w:rsidRPr="006B72EF">
        <w:rPr>
          <w:rFonts w:eastAsia="Times New Roman"/>
          <w:color w:val="0D0D0D"/>
          <w:lang w:eastAsia="en-US"/>
        </w:rPr>
        <w:t>).</w:t>
      </w:r>
    </w:p>
    <w:p w:rsidR="006B72EF" w:rsidRDefault="002855FA" w:rsidP="00057B42">
      <w:pPr>
        <w:pStyle w:val="Heading5"/>
        <w:spacing w:line="360" w:lineRule="auto"/>
      </w:pPr>
      <w:r>
        <w:tab/>
      </w:r>
      <w:r w:rsidR="006B72EF" w:rsidRPr="006B72EF">
        <w:t>Transthyretin (TYR)</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2-D-DIGE and Decyder software data for the TYR showed</w:t>
      </w:r>
      <w:r w:rsidR="004B7657">
        <w:rPr>
          <w:rFonts w:eastAsia="Times New Roman"/>
          <w:color w:val="0D0D0D"/>
          <w:lang w:eastAsia="en-US"/>
        </w:rPr>
        <w:t xml:space="preserve"> a</w:t>
      </w:r>
      <w:r w:rsidRPr="006B72EF">
        <w:rPr>
          <w:rFonts w:eastAsia="Times New Roman"/>
          <w:color w:val="0D0D0D"/>
          <w:lang w:eastAsia="en-US"/>
        </w:rPr>
        <w:t xml:space="preserve"> 1.32 increase in non-responders with a t-test score of 0.0077. TYR was identified by LC-MS/MS resulting in 9 matched peptide</w:t>
      </w:r>
      <w:r w:rsidR="004B7657">
        <w:rPr>
          <w:rFonts w:eastAsia="Times New Roman"/>
          <w:color w:val="0D0D0D"/>
          <w:lang w:eastAsia="en-US"/>
        </w:rPr>
        <w:t>s</w:t>
      </w:r>
      <w:r w:rsidRPr="006B72EF">
        <w:rPr>
          <w:rFonts w:eastAsia="Times New Roman"/>
          <w:color w:val="0D0D0D"/>
          <w:lang w:eastAsia="en-US"/>
        </w:rPr>
        <w:t>, corresponding to a sequence coverage of 65.31 percentage (</w:t>
      </w:r>
      <w:r w:rsidR="00F64240">
        <w:rPr>
          <w:rFonts w:eastAsia="Times New Roman"/>
          <w:color w:val="0D0D0D"/>
          <w:lang w:eastAsia="en-US"/>
        </w:rPr>
        <w:t>Figure 3-12</w:t>
      </w:r>
      <w:r w:rsidRPr="006B72EF">
        <w:rPr>
          <w:rFonts w:eastAsia="Times New Roman"/>
          <w:color w:val="0D0D0D"/>
          <w:lang w:eastAsia="en-US"/>
        </w:rPr>
        <w:t>).</w:t>
      </w:r>
    </w:p>
    <w:p w:rsidR="006B72EF" w:rsidRDefault="002855FA" w:rsidP="00057B42">
      <w:pPr>
        <w:pStyle w:val="Heading5"/>
        <w:spacing w:line="360" w:lineRule="auto"/>
      </w:pPr>
      <w:r>
        <w:lastRenderedPageBreak/>
        <w:tab/>
      </w:r>
      <w:r w:rsidR="006B72EF" w:rsidRPr="006B72EF">
        <w:t>Serum Amyloid A protein (SAA)</w:t>
      </w:r>
    </w:p>
    <w:p w:rsidR="006B72EF" w:rsidRDefault="00BF6B2E" w:rsidP="00057B42">
      <w:pPr>
        <w:spacing w:after="240" w:line="360" w:lineRule="auto"/>
        <w:jc w:val="both"/>
        <w:rPr>
          <w:rFonts w:eastAsia="Times New Roman"/>
          <w:color w:val="0D0D0D"/>
          <w:lang w:eastAsia="en-US"/>
        </w:rPr>
      </w:pPr>
      <w:r>
        <w:rPr>
          <w:rFonts w:eastAsia="Times New Roman"/>
          <w:color w:val="0D0D0D"/>
          <w:lang w:eastAsia="en-US"/>
        </w:rPr>
        <w:t>The 2</w:t>
      </w:r>
      <w:r w:rsidR="006B72EF" w:rsidRPr="006B72EF">
        <w:rPr>
          <w:rFonts w:eastAsia="Times New Roman"/>
          <w:color w:val="0D0D0D"/>
          <w:lang w:eastAsia="en-US"/>
        </w:rPr>
        <w:t xml:space="preserve">D-DIGE and Decyder software data for the TYR showed </w:t>
      </w:r>
      <w:r w:rsidR="004B7657">
        <w:rPr>
          <w:rFonts w:eastAsia="Times New Roman"/>
          <w:color w:val="0D0D0D"/>
          <w:lang w:eastAsia="en-US"/>
        </w:rPr>
        <w:t xml:space="preserve">a </w:t>
      </w:r>
      <w:r w:rsidR="006B72EF" w:rsidRPr="006B72EF">
        <w:rPr>
          <w:rFonts w:eastAsia="Times New Roman"/>
          <w:color w:val="0D0D0D"/>
          <w:lang w:eastAsia="en-US"/>
        </w:rPr>
        <w:t>1.31 increase in non-responders with a t-test score of 0.006. SAA was identified by LC-MS/MS resulting in 4 matched peptide corresponding to a sequence coverage of 48.36 percentage (</w:t>
      </w:r>
      <w:r w:rsidR="00F64240">
        <w:rPr>
          <w:rFonts w:eastAsia="Times New Roman"/>
          <w:color w:val="0D0D0D"/>
          <w:lang w:eastAsia="en-US"/>
        </w:rPr>
        <w:t>Figure 3-13</w:t>
      </w:r>
      <w:r w:rsidR="006B72EF" w:rsidRPr="006B72EF">
        <w:rPr>
          <w:rFonts w:eastAsia="Times New Roman"/>
          <w:color w:val="0D0D0D"/>
          <w:lang w:eastAsia="en-US"/>
        </w:rPr>
        <w:t>).</w:t>
      </w:r>
    </w:p>
    <w:p w:rsidR="006B72EF" w:rsidRDefault="002855FA" w:rsidP="00057B42">
      <w:pPr>
        <w:pStyle w:val="Heading5"/>
        <w:spacing w:line="360" w:lineRule="auto"/>
      </w:pPr>
      <w:r>
        <w:tab/>
      </w:r>
      <w:r w:rsidR="006B72EF" w:rsidRPr="006B72EF">
        <w:t>Beta 2 Microglobulin (B2M)</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2-D-DIGE and Decyder software data for the </w:t>
      </w:r>
      <w:r w:rsidR="00BC4C71">
        <w:rPr>
          <w:rFonts w:eastAsia="Times New Roman"/>
          <w:color w:val="0D0D0D"/>
          <w:lang w:eastAsia="en-US"/>
        </w:rPr>
        <w:t>B2M</w:t>
      </w:r>
      <w:r w:rsidRPr="006B72EF">
        <w:rPr>
          <w:rFonts w:eastAsia="Times New Roman"/>
          <w:color w:val="0D0D0D"/>
          <w:lang w:eastAsia="en-US"/>
        </w:rPr>
        <w:t xml:space="preserve"> showed </w:t>
      </w:r>
      <w:r w:rsidR="004B7657">
        <w:rPr>
          <w:rFonts w:eastAsia="Times New Roman"/>
          <w:color w:val="0D0D0D"/>
          <w:lang w:eastAsia="en-US"/>
        </w:rPr>
        <w:t xml:space="preserve">a </w:t>
      </w:r>
      <w:r w:rsidRPr="006B72EF">
        <w:rPr>
          <w:rFonts w:eastAsia="Times New Roman"/>
          <w:color w:val="0D0D0D"/>
          <w:lang w:eastAsia="en-US"/>
        </w:rPr>
        <w:t>1.96 increase in non-responders with a t-test score of 0.0015. B2M was identified by LC-MS/MS resulting in 3 matched peptide</w:t>
      </w:r>
      <w:r w:rsidR="004B7657">
        <w:rPr>
          <w:rFonts w:eastAsia="Times New Roman"/>
          <w:color w:val="0D0D0D"/>
          <w:lang w:eastAsia="en-US"/>
        </w:rPr>
        <w:t>s</w:t>
      </w:r>
      <w:r w:rsidRPr="006B72EF">
        <w:rPr>
          <w:rFonts w:eastAsia="Times New Roman"/>
          <w:color w:val="0D0D0D"/>
          <w:lang w:eastAsia="en-US"/>
        </w:rPr>
        <w:t xml:space="preserve"> (in red colour) corresponding to a sequence coverage of 35.29 percentage (</w:t>
      </w:r>
      <w:r w:rsidR="00F64240">
        <w:rPr>
          <w:rFonts w:eastAsia="Times New Roman"/>
          <w:color w:val="0D0D0D"/>
          <w:lang w:eastAsia="en-US"/>
        </w:rPr>
        <w:t>Figure 3-14</w:t>
      </w:r>
      <w:r w:rsidRPr="006B72EF">
        <w:rPr>
          <w:rFonts w:eastAsia="Times New Roman"/>
          <w:color w:val="0D0D0D"/>
          <w:lang w:eastAsia="en-US"/>
        </w:rPr>
        <w:t>).</w:t>
      </w:r>
    </w:p>
    <w:p w:rsidR="006B72EF" w:rsidRDefault="000C1CEE" w:rsidP="00645687">
      <w:pPr>
        <w:pStyle w:val="Heading4"/>
      </w:pPr>
      <w:bookmarkStart w:id="1124" w:name="_Toc279658452"/>
      <w:r>
        <w:tab/>
      </w:r>
      <w:bookmarkStart w:id="1125" w:name="_Toc306570675"/>
      <w:bookmarkStart w:id="1126" w:name="_Toc307067738"/>
      <w:bookmarkStart w:id="1127" w:name="_Toc312169310"/>
      <w:bookmarkStart w:id="1128" w:name="_Toc312172237"/>
      <w:bookmarkStart w:id="1129" w:name="_Toc312257786"/>
      <w:r w:rsidR="006B72EF" w:rsidRPr="006B72EF">
        <w:t>Protein with lower abundance level in non-responders</w:t>
      </w:r>
      <w:bookmarkEnd w:id="1124"/>
      <w:bookmarkEnd w:id="1125"/>
      <w:bookmarkEnd w:id="1126"/>
      <w:bookmarkEnd w:id="1127"/>
      <w:bookmarkEnd w:id="1128"/>
      <w:bookmarkEnd w:id="1129"/>
    </w:p>
    <w:p w:rsidR="006B72EF" w:rsidRDefault="007555F2" w:rsidP="00057B42">
      <w:pPr>
        <w:pStyle w:val="Heading5"/>
        <w:spacing w:line="360" w:lineRule="auto"/>
      </w:pPr>
      <w:r>
        <w:tab/>
      </w:r>
      <w:r w:rsidR="006B72EF" w:rsidRPr="006B72EF">
        <w:t>Serum Haptoglobin (Hp)</w:t>
      </w:r>
    </w:p>
    <w:p w:rsidR="006B72EF" w:rsidRPr="006B72EF" w:rsidRDefault="00651163" w:rsidP="00057B42">
      <w:pPr>
        <w:spacing w:after="240" w:line="360" w:lineRule="auto"/>
        <w:jc w:val="both"/>
        <w:rPr>
          <w:rFonts w:eastAsia="Times New Roman"/>
          <w:color w:val="0D0D0D"/>
          <w:lang w:eastAsia="en-US"/>
        </w:rPr>
      </w:pPr>
      <w:r>
        <w:rPr>
          <w:rFonts w:eastAsia="Times New Roman"/>
          <w:color w:val="0D0D0D"/>
          <w:lang w:eastAsia="en-US"/>
        </w:rPr>
        <w:t>The only proteins spot</w:t>
      </w:r>
      <w:r w:rsidR="006B72EF" w:rsidRPr="006B72EF">
        <w:rPr>
          <w:rFonts w:eastAsia="Times New Roman"/>
          <w:color w:val="0D0D0D"/>
          <w:lang w:eastAsia="en-US"/>
        </w:rPr>
        <w:t xml:space="preserve"> identified to have a lower abundance level in non-responders as compared to responders to thalidomide was serum Hp. Serum Hp was identified by LC-MS/MS yielding 9 matched peptide with the coverage of 11.58%  (</w:t>
      </w:r>
      <w:r w:rsidR="00F64240">
        <w:rPr>
          <w:rFonts w:eastAsia="Times New Roman"/>
          <w:color w:val="0D0D0D"/>
          <w:lang w:eastAsia="en-US"/>
        </w:rPr>
        <w:t>Figure 3-15</w:t>
      </w:r>
      <w:r w:rsidR="006B72EF"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Table </w:t>
      </w:r>
      <w:r w:rsidR="006F4903">
        <w:rPr>
          <w:rFonts w:eastAsia="Times New Roman"/>
          <w:color w:val="0D0D0D"/>
          <w:lang w:eastAsia="en-US"/>
        </w:rPr>
        <w:t>3-6</w:t>
      </w:r>
      <w:r w:rsidRPr="006B72EF">
        <w:rPr>
          <w:rFonts w:eastAsia="Times New Roman"/>
          <w:color w:val="0D0D0D"/>
          <w:lang w:eastAsia="en-US"/>
        </w:rPr>
        <w:t xml:space="preserve"> summarizes these identified proteins with their average Decyder ratio and the statistical data. Listed are the protein identities obtained by Liquid Chromatography Mass Spectrometry analysis, molecular weight number of matched peptides related to the Protein, % coverage of the protein sequence identified. The last 2 columns </w:t>
      </w:r>
      <w:r w:rsidR="004D56C5" w:rsidRPr="006B72EF">
        <w:rPr>
          <w:rFonts w:eastAsia="Times New Roman"/>
          <w:color w:val="0D0D0D"/>
          <w:lang w:eastAsia="en-US"/>
        </w:rPr>
        <w:t>show</w:t>
      </w:r>
      <w:r w:rsidRPr="006B72EF">
        <w:rPr>
          <w:rFonts w:eastAsia="Times New Roman"/>
          <w:color w:val="0D0D0D"/>
          <w:lang w:eastAsia="en-US"/>
        </w:rPr>
        <w:t xml:space="preserve"> the Decyder average ratio and the associated </w:t>
      </w:r>
      <w:r w:rsidRPr="006B72EF">
        <w:rPr>
          <w:rFonts w:eastAsia="Times New Roman"/>
          <w:i/>
          <w:color w:val="0D0D0D"/>
          <w:lang w:eastAsia="en-US"/>
        </w:rPr>
        <w:t>p</w:t>
      </w:r>
      <w:r w:rsidRPr="006B72EF">
        <w:rPr>
          <w:rFonts w:eastAsia="Times New Roman"/>
          <w:color w:val="0D0D0D"/>
          <w:lang w:eastAsia="en-US"/>
        </w:rPr>
        <w:t>-value</w:t>
      </w:r>
      <w:r w:rsidR="005C405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064BE5D4" wp14:editId="28BC9E41">
            <wp:extent cx="5227320" cy="3959225"/>
            <wp:effectExtent l="0" t="0" r="0" b="3175"/>
            <wp:docPr id="28"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rrowheads="1"/>
                    </pic:cNvPicPr>
                  </pic:nvPicPr>
                  <pic:blipFill>
                    <a:blip r:embed="rId52">
                      <a:extLst>
                        <a:ext uri="{28A0092B-C50C-407E-A947-70E740481C1C}">
                          <a14:useLocalDpi xmlns:a14="http://schemas.microsoft.com/office/drawing/2010/main" val="0"/>
                        </a:ext>
                      </a:extLst>
                    </a:blip>
                    <a:srcRect l="639" t="861"/>
                    <a:stretch>
                      <a:fillRect/>
                    </a:stretch>
                  </pic:blipFill>
                  <pic:spPr bwMode="auto">
                    <a:xfrm>
                      <a:off x="0" y="0"/>
                      <a:ext cx="5227320" cy="3959225"/>
                    </a:xfrm>
                    <a:prstGeom prst="rect">
                      <a:avLst/>
                    </a:prstGeom>
                    <a:noFill/>
                    <a:ln>
                      <a:noFill/>
                    </a:ln>
                  </pic:spPr>
                </pic:pic>
              </a:graphicData>
            </a:graphic>
          </wp:inline>
        </w:drawing>
      </w:r>
    </w:p>
    <w:p w:rsidR="000C1CEE" w:rsidRPr="00F64240" w:rsidRDefault="00F64240" w:rsidP="00057B42">
      <w:pPr>
        <w:pStyle w:val="Caption"/>
        <w:jc w:val="both"/>
        <w:rPr>
          <w:rFonts w:eastAsia="Times New Roman"/>
          <w:bCs w:val="0"/>
          <w:color w:val="000000"/>
          <w:lang w:eastAsia="en-US"/>
        </w:rPr>
      </w:pPr>
      <w:r w:rsidRPr="00F64240">
        <w:t xml:space="preserve">Figure </w:t>
      </w:r>
      <w:fldSimple w:instr=" STYLEREF 1 \s ">
        <w:r w:rsidR="0081644B">
          <w:rPr>
            <w:noProof/>
          </w:rPr>
          <w:t>3</w:t>
        </w:r>
      </w:fldSimple>
      <w:r w:rsidR="008A68DC">
        <w:noBreakHyphen/>
      </w:r>
      <w:fldSimple w:instr=" SEQ Figure \* ARABIC \s 1 ">
        <w:r w:rsidR="0081644B">
          <w:rPr>
            <w:noProof/>
          </w:rPr>
          <w:t>10</w:t>
        </w:r>
      </w:fldSimple>
      <w:r w:rsidRPr="00F64240">
        <w:t xml:space="preserve"> </w:t>
      </w:r>
      <w:bookmarkStart w:id="1130" w:name="_Toc274587620"/>
      <w:r>
        <w:t>S</w:t>
      </w:r>
      <w:r w:rsidRPr="00F64240">
        <w:t>hows</w:t>
      </w:r>
      <w:r w:rsidR="006B72EF" w:rsidRPr="00F64240">
        <w:rPr>
          <w:rFonts w:eastAsia="Times New Roman"/>
          <w:bCs w:val="0"/>
          <w:color w:val="000000"/>
          <w:lang w:eastAsia="en-US"/>
        </w:rPr>
        <w:t xml:space="preserve"> </w:t>
      </w:r>
      <w:bookmarkStart w:id="1131" w:name="OLE_LINK10"/>
      <w:bookmarkStart w:id="1132" w:name="OLE_LINK12"/>
      <w:r w:rsidR="006B72EF" w:rsidRPr="00F64240">
        <w:rPr>
          <w:rFonts w:eastAsia="Times New Roman"/>
          <w:bCs w:val="0"/>
          <w:color w:val="000000"/>
          <w:lang w:eastAsia="en-US"/>
        </w:rPr>
        <w:t>Zinc alpha 2-glycoprotein: The highlighted peptides indicated in red were identified by liquid chromatography</w:t>
      </w:r>
      <w:r w:rsidR="000C1CEE" w:rsidRPr="00F64240">
        <w:rPr>
          <w:rFonts w:eastAsia="Times New Roman"/>
          <w:bCs w:val="0"/>
          <w:color w:val="000000"/>
          <w:lang w:eastAsia="en-US"/>
        </w:rPr>
        <w:t xml:space="preserve"> mass spectrometry resulting in </w:t>
      </w:r>
      <w:r w:rsidR="006B72EF" w:rsidRPr="00F64240">
        <w:rPr>
          <w:rFonts w:eastAsia="Times New Roman"/>
          <w:bCs w:val="0"/>
          <w:color w:val="000000"/>
          <w:lang w:eastAsia="en-US"/>
        </w:rPr>
        <w:t>10 matched peptide</w:t>
      </w:r>
      <w:r w:rsidR="005C405F" w:rsidRPr="00F64240">
        <w:rPr>
          <w:rFonts w:eastAsia="Times New Roman"/>
          <w:bCs w:val="0"/>
          <w:color w:val="000000"/>
          <w:lang w:eastAsia="en-US"/>
        </w:rPr>
        <w:t>s</w:t>
      </w:r>
      <w:r w:rsidR="006B72EF" w:rsidRPr="00F64240">
        <w:rPr>
          <w:rFonts w:eastAsia="Times New Roman"/>
          <w:bCs w:val="0"/>
          <w:color w:val="000000"/>
          <w:lang w:eastAsia="en-US"/>
        </w:rPr>
        <w:t xml:space="preserve"> corresponding to sequence coverage of 37.63 </w:t>
      </w:r>
      <w:bookmarkEnd w:id="1130"/>
      <w:r w:rsidR="00BC4C71" w:rsidRPr="00F64240">
        <w:rPr>
          <w:rFonts w:eastAsia="Times New Roman"/>
          <w:bCs w:val="0"/>
          <w:color w:val="000000"/>
          <w:lang w:eastAsia="en-US"/>
        </w:rPr>
        <w:t>percentages</w:t>
      </w:r>
      <w:r w:rsidR="006B72EF" w:rsidRPr="00F64240">
        <w:rPr>
          <w:rFonts w:eastAsia="Times New Roman"/>
          <w:bCs w:val="0"/>
          <w:color w:val="000000"/>
          <w:lang w:eastAsia="en-US"/>
        </w:rPr>
        <w:t xml:space="preserve">. The matching protein is identified using database. </w:t>
      </w:r>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bookmarkEnd w:id="1131"/>
    <w:bookmarkEnd w:id="1132"/>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670FEBD8" wp14:editId="68D79B34">
            <wp:extent cx="5262245" cy="3959225"/>
            <wp:effectExtent l="0" t="0" r="0" b="3175"/>
            <wp:docPr id="2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rrowheads="1"/>
                    </pic:cNvPicPr>
                  </pic:nvPicPr>
                  <pic:blipFill>
                    <a:blip r:embed="rId53">
                      <a:extLst>
                        <a:ext uri="{28A0092B-C50C-407E-A947-70E740481C1C}">
                          <a14:useLocalDpi xmlns:a14="http://schemas.microsoft.com/office/drawing/2010/main" val="0"/>
                        </a:ext>
                      </a:extLst>
                    </a:blip>
                    <a:srcRect b="943"/>
                    <a:stretch>
                      <a:fillRect/>
                    </a:stretch>
                  </pic:blipFill>
                  <pic:spPr bwMode="auto">
                    <a:xfrm>
                      <a:off x="0" y="0"/>
                      <a:ext cx="5262245" cy="3959225"/>
                    </a:xfrm>
                    <a:prstGeom prst="rect">
                      <a:avLst/>
                    </a:prstGeom>
                    <a:noFill/>
                    <a:ln>
                      <a:noFill/>
                    </a:ln>
                  </pic:spPr>
                </pic:pic>
              </a:graphicData>
            </a:graphic>
          </wp:inline>
        </w:drawing>
      </w:r>
    </w:p>
    <w:p w:rsidR="00F64240" w:rsidRDefault="00F64240" w:rsidP="00057B42">
      <w:pPr>
        <w:pBdr>
          <w:bottom w:val="single" w:sz="12" w:space="1" w:color="auto"/>
        </w:pBdr>
        <w:spacing w:before="240" w:line="360" w:lineRule="auto"/>
        <w:ind w:right="-1"/>
        <w:jc w:val="both"/>
        <w:rPr>
          <w:rFonts w:eastAsia="Times New Roman"/>
          <w:b/>
          <w:bCs/>
          <w:color w:val="000000"/>
          <w:lang w:eastAsia="en-US"/>
        </w:rPr>
      </w:pPr>
      <w:r w:rsidRPr="00F64240">
        <w:rPr>
          <w:b/>
        </w:rPr>
        <w:t xml:space="preserve">Figure </w:t>
      </w:r>
      <w:r w:rsidR="008A68DC">
        <w:rPr>
          <w:b/>
        </w:rPr>
        <w:fldChar w:fldCharType="begin"/>
      </w:r>
      <w:r w:rsidR="008A68DC">
        <w:rPr>
          <w:b/>
        </w:rPr>
        <w:instrText xml:space="preserve"> STYLEREF 1 \s </w:instrText>
      </w:r>
      <w:r w:rsidR="008A68DC">
        <w:rPr>
          <w:b/>
        </w:rPr>
        <w:fldChar w:fldCharType="separate"/>
      </w:r>
      <w:r w:rsidR="0081644B">
        <w:rPr>
          <w:b/>
          <w:noProof/>
        </w:rPr>
        <w:t>3</w:t>
      </w:r>
      <w:r w:rsidR="008A68DC">
        <w:rPr>
          <w:b/>
        </w:rPr>
        <w:fldChar w:fldCharType="end"/>
      </w:r>
      <w:r w:rsidR="008A68DC">
        <w:rPr>
          <w:b/>
        </w:rPr>
        <w:noBreakHyphen/>
      </w:r>
      <w:r w:rsidR="008A68DC">
        <w:rPr>
          <w:b/>
        </w:rPr>
        <w:fldChar w:fldCharType="begin"/>
      </w:r>
      <w:r w:rsidR="008A68DC">
        <w:rPr>
          <w:b/>
        </w:rPr>
        <w:instrText xml:space="preserve"> SEQ Figure \* ARABIC \s 1 </w:instrText>
      </w:r>
      <w:r w:rsidR="008A68DC">
        <w:rPr>
          <w:b/>
        </w:rPr>
        <w:fldChar w:fldCharType="separate"/>
      </w:r>
      <w:r w:rsidR="0081644B">
        <w:rPr>
          <w:b/>
          <w:noProof/>
        </w:rPr>
        <w:t>11</w:t>
      </w:r>
      <w:r w:rsidR="008A68DC">
        <w:rPr>
          <w:b/>
        </w:rPr>
        <w:fldChar w:fldCharType="end"/>
      </w:r>
      <w:r>
        <w:t xml:space="preserve"> </w:t>
      </w:r>
      <w:bookmarkStart w:id="1133" w:name="_Toc274587621"/>
      <w:r w:rsidRPr="00F64240">
        <w:rPr>
          <w:b/>
        </w:rPr>
        <w:t xml:space="preserve">Shows </w:t>
      </w:r>
      <w:r w:rsidRPr="00F64240">
        <w:rPr>
          <w:rFonts w:eastAsia="Times New Roman"/>
          <w:b/>
          <w:bCs/>
          <w:color w:val="000000"/>
          <w:lang w:eastAsia="en-US"/>
        </w:rPr>
        <w:t>Vitamin</w:t>
      </w:r>
      <w:r>
        <w:rPr>
          <w:rFonts w:eastAsia="Times New Roman"/>
          <w:b/>
          <w:bCs/>
          <w:color w:val="000000"/>
          <w:lang w:eastAsia="en-US"/>
        </w:rPr>
        <w:t xml:space="preserve"> D-binding protein precursor: </w:t>
      </w:r>
      <w:r w:rsidRPr="006B72EF">
        <w:rPr>
          <w:rFonts w:eastAsia="Times New Roman"/>
          <w:b/>
          <w:bCs/>
          <w:color w:val="000000"/>
          <w:lang w:eastAsia="en-US"/>
        </w:rPr>
        <w:t>The highlighted peptides indicated in red were identified by liquid chromatography mass spectrometry resulting in 20 matched peptide</w:t>
      </w:r>
      <w:r>
        <w:rPr>
          <w:rFonts w:eastAsia="Times New Roman"/>
          <w:b/>
          <w:bCs/>
          <w:color w:val="000000"/>
          <w:lang w:eastAsia="en-US"/>
        </w:rPr>
        <w:t>s</w:t>
      </w:r>
      <w:r w:rsidRPr="006B72EF">
        <w:rPr>
          <w:rFonts w:eastAsia="Times New Roman"/>
          <w:b/>
          <w:bCs/>
          <w:color w:val="000000"/>
          <w:lang w:eastAsia="en-US"/>
        </w:rPr>
        <w:t xml:space="preserve"> corresponding to sequence coverage of 53.59 </w:t>
      </w:r>
      <w:bookmarkEnd w:id="1133"/>
      <w:r w:rsidR="00BC4C71" w:rsidRPr="006B72EF">
        <w:rPr>
          <w:rFonts w:eastAsia="Times New Roman"/>
          <w:b/>
          <w:bCs/>
          <w:color w:val="000000"/>
          <w:lang w:eastAsia="en-US"/>
        </w:rPr>
        <w:t>percentages</w:t>
      </w:r>
      <w:r w:rsidRPr="006B72EF">
        <w:rPr>
          <w:rFonts w:eastAsia="Times New Roman"/>
          <w:b/>
          <w:bCs/>
          <w:color w:val="000000"/>
          <w:lang w:eastAsia="en-US"/>
        </w:rPr>
        <w:t>. The matching protein is identified using database.</w:t>
      </w:r>
      <w:r>
        <w:rPr>
          <w:rFonts w:eastAsia="Times New Roman"/>
          <w:b/>
          <w:bCs/>
          <w:color w:val="000000"/>
          <w:lang w:eastAsia="en-US"/>
        </w:rPr>
        <w:t xml:space="preserve"> </w:t>
      </w:r>
    </w:p>
    <w:p w:rsidR="000C1CEE" w:rsidRDefault="000C1CEE"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6B72EF"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3269FCA6" wp14:editId="270E2F38">
            <wp:extent cx="5322570" cy="3959225"/>
            <wp:effectExtent l="0" t="0" r="0" b="3175"/>
            <wp:docPr id="30"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rrowheads="1"/>
                    </pic:cNvPicPr>
                  </pic:nvPicPr>
                  <pic:blipFill>
                    <a:blip r:embed="rId54">
                      <a:extLst>
                        <a:ext uri="{28A0092B-C50C-407E-A947-70E740481C1C}">
                          <a14:useLocalDpi xmlns:a14="http://schemas.microsoft.com/office/drawing/2010/main" val="0"/>
                        </a:ext>
                      </a:extLst>
                    </a:blip>
                    <a:srcRect l="758" t="928"/>
                    <a:stretch>
                      <a:fillRect/>
                    </a:stretch>
                  </pic:blipFill>
                  <pic:spPr bwMode="auto">
                    <a:xfrm>
                      <a:off x="0" y="0"/>
                      <a:ext cx="5322570" cy="3959225"/>
                    </a:xfrm>
                    <a:prstGeom prst="rect">
                      <a:avLst/>
                    </a:prstGeom>
                    <a:noFill/>
                    <a:ln>
                      <a:noFill/>
                    </a:ln>
                  </pic:spPr>
                </pic:pic>
              </a:graphicData>
            </a:graphic>
          </wp:inline>
        </w:drawing>
      </w:r>
    </w:p>
    <w:p w:rsidR="006B72EF" w:rsidRPr="006B72EF" w:rsidRDefault="00F64240" w:rsidP="00057B42">
      <w:pPr>
        <w:pStyle w:val="Caption"/>
        <w:jc w:val="both"/>
        <w:rPr>
          <w:rFonts w:eastAsia="Times New Roman"/>
          <w:color w:val="0D0D0D"/>
          <w:lang w:eastAsia="en-US"/>
        </w:rPr>
      </w:pPr>
      <w:r>
        <w:t xml:space="preserve">Figure </w:t>
      </w:r>
      <w:fldSimple w:instr=" STYLEREF 1 \s ">
        <w:r w:rsidR="0081644B">
          <w:rPr>
            <w:noProof/>
          </w:rPr>
          <w:t>3</w:t>
        </w:r>
      </w:fldSimple>
      <w:r w:rsidR="008A68DC">
        <w:noBreakHyphen/>
      </w:r>
      <w:fldSimple w:instr=" SEQ Figure \* ARABIC \s 1 ">
        <w:r w:rsidR="0081644B">
          <w:rPr>
            <w:noProof/>
          </w:rPr>
          <w:t>12</w:t>
        </w:r>
      </w:fldSimple>
      <w:r>
        <w:t xml:space="preserve"> </w:t>
      </w:r>
      <w:bookmarkStart w:id="1134" w:name="_Toc274587622"/>
      <w:r>
        <w:t xml:space="preserve">Shows </w:t>
      </w:r>
      <w:r w:rsidRPr="00F64240">
        <w:t>Transthyretin: The highlighted peptides indicated in red were identified by liquid chromatography mass spectrometry resulting in 9 matched peptides corresponding to sequence coverage of 65.31 percentage.</w:t>
      </w:r>
      <w:bookmarkEnd w:id="1134"/>
      <w:r w:rsidRPr="00F64240">
        <w:t xml:space="preserve"> The matching protein is identified using database.</w:t>
      </w:r>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663632AF" wp14:editId="48435E62">
            <wp:extent cx="5175885" cy="3959225"/>
            <wp:effectExtent l="0" t="0" r="5715" b="3175"/>
            <wp:docPr id="31"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rrowheads="1"/>
                    </pic:cNvPicPr>
                  </pic:nvPicPr>
                  <pic:blipFill>
                    <a:blip r:embed="rId55">
                      <a:extLst>
                        <a:ext uri="{28A0092B-C50C-407E-A947-70E740481C1C}">
                          <a14:useLocalDpi xmlns:a14="http://schemas.microsoft.com/office/drawing/2010/main" val="0"/>
                        </a:ext>
                      </a:extLst>
                    </a:blip>
                    <a:srcRect l="769" t="861" b="987"/>
                    <a:stretch>
                      <a:fillRect/>
                    </a:stretch>
                  </pic:blipFill>
                  <pic:spPr bwMode="auto">
                    <a:xfrm>
                      <a:off x="0" y="0"/>
                      <a:ext cx="5175885" cy="3959225"/>
                    </a:xfrm>
                    <a:prstGeom prst="rect">
                      <a:avLst/>
                    </a:prstGeom>
                    <a:noFill/>
                    <a:ln>
                      <a:noFill/>
                    </a:ln>
                  </pic:spPr>
                </pic:pic>
              </a:graphicData>
            </a:graphic>
          </wp:inline>
        </w:drawing>
      </w:r>
    </w:p>
    <w:p w:rsidR="006B72EF" w:rsidRPr="006B72EF" w:rsidRDefault="00F64240" w:rsidP="00057B42">
      <w:pPr>
        <w:pBdr>
          <w:bottom w:val="single" w:sz="12" w:space="1" w:color="auto"/>
        </w:pBdr>
        <w:spacing w:before="240" w:line="360" w:lineRule="auto"/>
        <w:ind w:right="-1"/>
        <w:jc w:val="both"/>
        <w:rPr>
          <w:rFonts w:eastAsia="Times New Roman"/>
          <w:color w:val="0D0D0D"/>
          <w:lang w:eastAsia="en-US"/>
        </w:rPr>
      </w:pPr>
      <w:r w:rsidRPr="00F64240">
        <w:rPr>
          <w:b/>
        </w:rPr>
        <w:t xml:space="preserve">Figure </w:t>
      </w:r>
      <w:r w:rsidR="008A68DC">
        <w:rPr>
          <w:b/>
        </w:rPr>
        <w:fldChar w:fldCharType="begin"/>
      </w:r>
      <w:r w:rsidR="008A68DC">
        <w:rPr>
          <w:b/>
        </w:rPr>
        <w:instrText xml:space="preserve"> STYLEREF 1 \s </w:instrText>
      </w:r>
      <w:r w:rsidR="008A68DC">
        <w:rPr>
          <w:b/>
        </w:rPr>
        <w:fldChar w:fldCharType="separate"/>
      </w:r>
      <w:r w:rsidR="0081644B">
        <w:rPr>
          <w:b/>
          <w:noProof/>
        </w:rPr>
        <w:t>3</w:t>
      </w:r>
      <w:r w:rsidR="008A68DC">
        <w:rPr>
          <w:b/>
        </w:rPr>
        <w:fldChar w:fldCharType="end"/>
      </w:r>
      <w:r w:rsidR="008A68DC">
        <w:rPr>
          <w:b/>
        </w:rPr>
        <w:noBreakHyphen/>
      </w:r>
      <w:r w:rsidR="008A68DC">
        <w:rPr>
          <w:b/>
        </w:rPr>
        <w:fldChar w:fldCharType="begin"/>
      </w:r>
      <w:r w:rsidR="008A68DC">
        <w:rPr>
          <w:b/>
        </w:rPr>
        <w:instrText xml:space="preserve"> SEQ Figure \* ARABIC \s 1 </w:instrText>
      </w:r>
      <w:r w:rsidR="008A68DC">
        <w:rPr>
          <w:b/>
        </w:rPr>
        <w:fldChar w:fldCharType="separate"/>
      </w:r>
      <w:r w:rsidR="0081644B">
        <w:rPr>
          <w:b/>
          <w:noProof/>
        </w:rPr>
        <w:t>13</w:t>
      </w:r>
      <w:r w:rsidR="008A68DC">
        <w:rPr>
          <w:b/>
        </w:rPr>
        <w:fldChar w:fldCharType="end"/>
      </w:r>
      <w:r w:rsidRPr="00F64240">
        <w:rPr>
          <w:b/>
        </w:rPr>
        <w:t xml:space="preserve"> Shows </w:t>
      </w:r>
      <w:bookmarkStart w:id="1135" w:name="_Toc274587623"/>
      <w:r w:rsidRPr="00F64240">
        <w:rPr>
          <w:rFonts w:eastAsia="Times New Roman"/>
          <w:b/>
          <w:bCs/>
          <w:color w:val="000000"/>
          <w:lang w:eastAsia="en-US"/>
        </w:rPr>
        <w:t>Serum Amyloid A protein: The highlighted peptides indicated in red were identified by liquid chromatography mass spectrometry resulting in 4 matched peptides corresponding to sequence coverage of 48.36 percentage</w:t>
      </w:r>
      <w:r w:rsidR="00BC4C71">
        <w:rPr>
          <w:rFonts w:eastAsia="Times New Roman"/>
          <w:b/>
          <w:bCs/>
          <w:color w:val="000000"/>
          <w:lang w:eastAsia="en-US"/>
        </w:rPr>
        <w:t>s</w:t>
      </w:r>
      <w:r w:rsidRPr="00F64240">
        <w:rPr>
          <w:rFonts w:eastAsia="Times New Roman"/>
          <w:b/>
          <w:bCs/>
          <w:color w:val="000000"/>
          <w:lang w:eastAsia="en-US"/>
        </w:rPr>
        <w:t>.</w:t>
      </w:r>
      <w:bookmarkEnd w:id="1135"/>
      <w:r w:rsidRPr="00F64240">
        <w:rPr>
          <w:rFonts w:eastAsia="Times New Roman"/>
          <w:b/>
          <w:bCs/>
          <w:color w:val="000000"/>
          <w:lang w:eastAsia="en-US"/>
        </w:rPr>
        <w:t xml:space="preserve"> The matching protein is identified using database.</w:t>
      </w:r>
      <w:r>
        <w:rPr>
          <w:rFonts w:eastAsia="Times New Roman"/>
          <w:b/>
          <w:bCs/>
          <w:color w:val="000000"/>
          <w:lang w:eastAsia="en-US"/>
        </w:rPr>
        <w:t xml:space="preserve"> </w:t>
      </w:r>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5B88A446" wp14:editId="241306FF">
            <wp:extent cx="5452110" cy="3959225"/>
            <wp:effectExtent l="0" t="0" r="0" b="3175"/>
            <wp:docPr id="32"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56">
                      <a:extLst>
                        <a:ext uri="{28A0092B-C50C-407E-A947-70E740481C1C}">
                          <a14:useLocalDpi xmlns:a14="http://schemas.microsoft.com/office/drawing/2010/main" val="0"/>
                        </a:ext>
                      </a:extLst>
                    </a:blip>
                    <a:srcRect l="1024" t="845" r="2" b="1633"/>
                    <a:stretch>
                      <a:fillRect/>
                    </a:stretch>
                  </pic:blipFill>
                  <pic:spPr bwMode="auto">
                    <a:xfrm>
                      <a:off x="0" y="0"/>
                      <a:ext cx="5452110" cy="3959225"/>
                    </a:xfrm>
                    <a:prstGeom prst="rect">
                      <a:avLst/>
                    </a:prstGeom>
                    <a:noFill/>
                    <a:ln>
                      <a:noFill/>
                    </a:ln>
                  </pic:spPr>
                </pic:pic>
              </a:graphicData>
            </a:graphic>
          </wp:inline>
        </w:drawing>
      </w:r>
    </w:p>
    <w:p w:rsidR="000C1CEE" w:rsidRPr="00F64240" w:rsidRDefault="00F64240" w:rsidP="00057B42">
      <w:pPr>
        <w:pStyle w:val="Caption"/>
        <w:jc w:val="both"/>
        <w:rPr>
          <w:rFonts w:eastAsia="Times New Roman"/>
          <w:bCs w:val="0"/>
          <w:color w:val="000000"/>
          <w:lang w:eastAsia="en-US"/>
        </w:rPr>
      </w:pPr>
      <w:r w:rsidRPr="00F64240">
        <w:t xml:space="preserve">Figure </w:t>
      </w:r>
      <w:fldSimple w:instr=" STYLEREF 1 \s ">
        <w:r w:rsidR="0081644B">
          <w:rPr>
            <w:noProof/>
          </w:rPr>
          <w:t>3</w:t>
        </w:r>
      </w:fldSimple>
      <w:r w:rsidR="008A68DC">
        <w:noBreakHyphen/>
      </w:r>
      <w:fldSimple w:instr=" SEQ Figure \* ARABIC \s 1 ">
        <w:r w:rsidR="0081644B">
          <w:rPr>
            <w:noProof/>
          </w:rPr>
          <w:t>14</w:t>
        </w:r>
      </w:fldSimple>
      <w:r w:rsidRPr="00F64240">
        <w:t xml:space="preserve"> Shows </w:t>
      </w:r>
      <w:bookmarkStart w:id="1136" w:name="_Toc274587624"/>
      <w:r w:rsidR="006B72EF" w:rsidRPr="00F64240">
        <w:rPr>
          <w:rFonts w:eastAsia="Times New Roman"/>
          <w:bCs w:val="0"/>
          <w:color w:val="000000"/>
          <w:lang w:eastAsia="en-US"/>
        </w:rPr>
        <w:t>Beta-2-microglobulin: The highlighted peptides indicated in red were identified by liquid chromatography mass spectrometry resulting in 3 matched peptide</w:t>
      </w:r>
      <w:r w:rsidR="005C405F" w:rsidRPr="00F64240">
        <w:rPr>
          <w:rFonts w:eastAsia="Times New Roman"/>
          <w:bCs w:val="0"/>
          <w:color w:val="000000"/>
          <w:lang w:eastAsia="en-US"/>
        </w:rPr>
        <w:t>s</w:t>
      </w:r>
      <w:r w:rsidR="006B72EF" w:rsidRPr="00F64240">
        <w:rPr>
          <w:rFonts w:eastAsia="Times New Roman"/>
          <w:bCs w:val="0"/>
          <w:color w:val="000000"/>
          <w:lang w:eastAsia="en-US"/>
        </w:rPr>
        <w:t xml:space="preserve"> corresponding to sequence coverage of 35.29 percentage</w:t>
      </w:r>
      <w:r w:rsidR="00BC4C71">
        <w:rPr>
          <w:rFonts w:eastAsia="Times New Roman"/>
          <w:bCs w:val="0"/>
          <w:color w:val="000000"/>
          <w:lang w:eastAsia="en-US"/>
        </w:rPr>
        <w:t>s</w:t>
      </w:r>
      <w:r w:rsidR="006B72EF" w:rsidRPr="00F64240">
        <w:rPr>
          <w:rFonts w:eastAsia="Times New Roman"/>
          <w:bCs w:val="0"/>
          <w:color w:val="000000"/>
          <w:lang w:eastAsia="en-US"/>
        </w:rPr>
        <w:t>.</w:t>
      </w:r>
      <w:bookmarkEnd w:id="1136"/>
      <w:r w:rsidR="006B72EF" w:rsidRPr="00F64240">
        <w:rPr>
          <w:rFonts w:eastAsia="Times New Roman"/>
          <w:bCs w:val="0"/>
          <w:color w:val="000000"/>
          <w:lang w:eastAsia="en-US"/>
        </w:rPr>
        <w:t xml:space="preserve"> The matching protein is identified using database.</w:t>
      </w:r>
    </w:p>
    <w:p w:rsidR="006B72EF" w:rsidRPr="00F64240"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F64240" w:rsidRDefault="00ED7D82" w:rsidP="00057B42">
      <w:pPr>
        <w:keepNext/>
        <w:spacing w:after="240" w:line="360" w:lineRule="auto"/>
        <w:jc w:val="both"/>
      </w:pPr>
      <w:r>
        <w:rPr>
          <w:rFonts w:eastAsia="Times New Roman"/>
          <w:noProof/>
          <w:color w:val="0D0D0D"/>
          <w:lang w:eastAsia="en-IE"/>
        </w:rPr>
        <w:lastRenderedPageBreak/>
        <w:drawing>
          <wp:inline distT="0" distB="0" distL="0" distR="0" wp14:anchorId="090017E4" wp14:editId="63A14298">
            <wp:extent cx="5365750" cy="4252595"/>
            <wp:effectExtent l="0" t="0" r="6350" b="0"/>
            <wp:docPr id="33" name="Pictur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65750" cy="4252595"/>
                    </a:xfrm>
                    <a:prstGeom prst="rect">
                      <a:avLst/>
                    </a:prstGeom>
                    <a:noFill/>
                    <a:ln>
                      <a:noFill/>
                    </a:ln>
                  </pic:spPr>
                </pic:pic>
              </a:graphicData>
            </a:graphic>
          </wp:inline>
        </w:drawing>
      </w:r>
    </w:p>
    <w:p w:rsidR="000C1CEE" w:rsidRPr="00F64240" w:rsidRDefault="00F64240" w:rsidP="00057B42">
      <w:pPr>
        <w:pStyle w:val="Caption"/>
        <w:jc w:val="both"/>
        <w:rPr>
          <w:rFonts w:eastAsia="Times New Roman"/>
          <w:bCs w:val="0"/>
          <w:color w:val="000000"/>
          <w:lang w:eastAsia="en-US"/>
        </w:rPr>
      </w:pPr>
      <w:r>
        <w:t xml:space="preserve">Figure </w:t>
      </w:r>
      <w:fldSimple w:instr=" STYLEREF 1 \s ">
        <w:r w:rsidR="0081644B">
          <w:rPr>
            <w:noProof/>
          </w:rPr>
          <w:t>3</w:t>
        </w:r>
      </w:fldSimple>
      <w:r w:rsidR="008A68DC">
        <w:noBreakHyphen/>
      </w:r>
      <w:fldSimple w:instr=" SEQ Figure \* ARABIC \s 1 ">
        <w:r w:rsidR="0081644B">
          <w:rPr>
            <w:noProof/>
          </w:rPr>
          <w:t>15</w:t>
        </w:r>
      </w:fldSimple>
      <w:r>
        <w:t xml:space="preserve"> </w:t>
      </w:r>
      <w:r w:rsidRPr="00F64240">
        <w:t xml:space="preserve">Shows </w:t>
      </w:r>
      <w:bookmarkStart w:id="1137" w:name="_Toc274587625"/>
      <w:r w:rsidR="006B72EF" w:rsidRPr="00F64240">
        <w:rPr>
          <w:rFonts w:eastAsia="Times New Roman"/>
          <w:bCs w:val="0"/>
          <w:color w:val="000000"/>
          <w:lang w:eastAsia="en-US"/>
        </w:rPr>
        <w:t>Haptoglobin fragment: The highlighted peptides indicated in red were identified by liquid chromatography mass spectrometry resulting in 9   matched peptide</w:t>
      </w:r>
      <w:r w:rsidR="005C405F" w:rsidRPr="00F64240">
        <w:rPr>
          <w:rFonts w:eastAsia="Times New Roman"/>
          <w:bCs w:val="0"/>
          <w:color w:val="000000"/>
          <w:lang w:eastAsia="en-US"/>
        </w:rPr>
        <w:t>s</w:t>
      </w:r>
      <w:r w:rsidR="006B72EF" w:rsidRPr="00F64240">
        <w:rPr>
          <w:rFonts w:eastAsia="Times New Roman"/>
          <w:bCs w:val="0"/>
          <w:color w:val="000000"/>
          <w:lang w:eastAsia="en-US"/>
        </w:rPr>
        <w:t xml:space="preserve"> corresponding to sequence coverage of 11.58 percentage</w:t>
      </w:r>
      <w:r w:rsidR="00BC4C71">
        <w:rPr>
          <w:rFonts w:eastAsia="Times New Roman"/>
          <w:bCs w:val="0"/>
          <w:color w:val="000000"/>
          <w:lang w:eastAsia="en-US"/>
        </w:rPr>
        <w:t>s</w:t>
      </w:r>
      <w:r w:rsidR="006B72EF" w:rsidRPr="00F64240">
        <w:rPr>
          <w:rFonts w:eastAsia="Times New Roman"/>
          <w:bCs w:val="0"/>
          <w:color w:val="000000"/>
          <w:lang w:eastAsia="en-US"/>
        </w:rPr>
        <w:t>.</w:t>
      </w:r>
      <w:bookmarkEnd w:id="1137"/>
      <w:r w:rsidR="006B72EF" w:rsidRPr="00F64240">
        <w:rPr>
          <w:rFonts w:eastAsia="Times New Roman"/>
          <w:bCs w:val="0"/>
          <w:color w:val="000000"/>
          <w:lang w:eastAsia="en-US"/>
        </w:rPr>
        <w:t xml:space="preserve"> The matching protein is identified using database. </w:t>
      </w:r>
    </w:p>
    <w:p w:rsidR="006B72EF" w:rsidRPr="00F64240" w:rsidRDefault="006B72EF" w:rsidP="00057B42">
      <w:pPr>
        <w:pBdr>
          <w:bottom w:val="single" w:sz="12" w:space="1" w:color="auto"/>
        </w:pBdr>
        <w:spacing w:before="240" w:line="360" w:lineRule="auto"/>
        <w:ind w:right="-1"/>
        <w:jc w:val="both"/>
        <w:rPr>
          <w:rFonts w:eastAsia="Times New Roman"/>
          <w:b/>
          <w:bCs/>
          <w:color w:val="000000"/>
          <w:lang w:eastAsia="en-US"/>
        </w:rPr>
      </w:pPr>
    </w:p>
    <w:p w:rsidR="000C1CEE" w:rsidRPr="006B72EF" w:rsidRDefault="000C1CEE"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60AC5" w:rsidP="00057B42">
      <w:pPr>
        <w:spacing w:after="240" w:line="360" w:lineRule="auto"/>
        <w:jc w:val="both"/>
        <w:rPr>
          <w:rFonts w:eastAsia="Times New Roman"/>
          <w:color w:val="0D0D0D"/>
          <w:lang w:eastAsia="en-US"/>
        </w:rPr>
      </w:pPr>
      <w:r w:rsidRPr="00C66BD8">
        <w:rPr>
          <w:noProof/>
          <w:lang w:eastAsia="en-IE"/>
        </w:rPr>
        <w:lastRenderedPageBreak/>
        <w:drawing>
          <wp:inline distT="0" distB="0" distL="0" distR="0" wp14:anchorId="3C84A6F9" wp14:editId="48066B8F">
            <wp:extent cx="8885871" cy="1368000"/>
            <wp:effectExtent l="6033" t="0" r="0" b="0"/>
            <wp:docPr id="290818" name="Picture 29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rot="16200000">
                      <a:off x="0" y="0"/>
                      <a:ext cx="8885871" cy="1368000"/>
                    </a:xfrm>
                    <a:prstGeom prst="rect">
                      <a:avLst/>
                    </a:prstGeom>
                  </pic:spPr>
                </pic:pic>
              </a:graphicData>
            </a:graphic>
          </wp:inline>
        </w:drawing>
      </w:r>
      <w:r w:rsidRPr="00660AC5">
        <w:rPr>
          <w:rFonts w:eastAsia="Times New Roman"/>
          <w:noProof/>
          <w:color w:val="0D0D0D"/>
          <w:lang w:eastAsia="en-IE"/>
        </w:rPr>
        <mc:AlternateContent>
          <mc:Choice Requires="wps">
            <w:drawing>
              <wp:inline distT="0" distB="0" distL="0" distR="0" wp14:anchorId="39592344" wp14:editId="2BAACB22">
                <wp:extent cx="2096219" cy="8854928"/>
                <wp:effectExtent l="0" t="0" r="0" b="381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219" cy="8854928"/>
                        </a:xfrm>
                        <a:prstGeom prst="rect">
                          <a:avLst/>
                        </a:prstGeom>
                        <a:solidFill>
                          <a:srgbClr val="FFFFFF"/>
                        </a:solidFill>
                        <a:ln w="9525">
                          <a:noFill/>
                          <a:miter lim="800000"/>
                          <a:headEnd/>
                          <a:tailEnd/>
                        </a:ln>
                      </wps:spPr>
                      <wps:txbx>
                        <w:txbxContent>
                          <w:p w:rsidR="004B395A" w:rsidRDefault="004B395A" w:rsidP="001F5CA5">
                            <w:pPr>
                              <w:pBdr>
                                <w:bottom w:val="single" w:sz="12" w:space="1" w:color="auto"/>
                              </w:pBdr>
                              <w:spacing w:before="240" w:line="276"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Pr>
                                <w:rFonts w:eastAsia="Times New Roman"/>
                                <w:b/>
                                <w:bCs/>
                                <w:color w:val="000000"/>
                                <w:lang w:eastAsia="en-US"/>
                              </w:rPr>
                              <w:fldChar w:fldCharType="begin"/>
                            </w:r>
                            <w:r>
                              <w:rPr>
                                <w:rFonts w:eastAsia="Times New Roman"/>
                                <w:b/>
                                <w:bCs/>
                                <w:color w:val="000000"/>
                                <w:lang w:eastAsia="en-US"/>
                              </w:rPr>
                              <w:instrText xml:space="preserve"> STYLEREF 1 \s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Pr>
                                <w:rFonts w:eastAsia="Times New Roman"/>
                                <w:b/>
                                <w:bCs/>
                                <w:color w:val="000000"/>
                                <w:lang w:eastAsia="en-US"/>
                              </w:rPr>
                              <w:noBreakHyphen/>
                            </w:r>
                            <w:r>
                              <w:rPr>
                                <w:rFonts w:eastAsia="Times New Roman"/>
                                <w:b/>
                                <w:bCs/>
                                <w:color w:val="000000"/>
                                <w:lang w:eastAsia="en-US"/>
                              </w:rPr>
                              <w:fldChar w:fldCharType="begin"/>
                            </w:r>
                            <w:r>
                              <w:rPr>
                                <w:rFonts w:eastAsia="Times New Roman"/>
                                <w:b/>
                                <w:bCs/>
                                <w:color w:val="000000"/>
                                <w:lang w:eastAsia="en-US"/>
                              </w:rPr>
                              <w:instrText xml:space="preserve"> SEQ Table \* ARABIC \s 1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sidRPr="006B72EF">
                              <w:rPr>
                                <w:rFonts w:eastAsia="Times New Roman"/>
                                <w:b/>
                                <w:bCs/>
                                <w:color w:val="000000"/>
                                <w:lang w:eastAsia="en-US"/>
                              </w:rPr>
                              <w:t xml:space="preserve"> Listed are the protein identities obtained by Liquid Chromatography Mass Spectrometry analysis, molecular weight number of matched peptides related to the Protein, % coverage of the protein sequence identified. TYR, VDB, Hp, ZAG, B2M, SAA were identified by MS yielding 9, 20, 9, 10, 3, 4 matched peptide respectively, resulting in 65.31, 53.59, 11.58, 37.63, 35.29, 48.36 and percentage coverage respectively</w:t>
                            </w:r>
                            <w:r>
                              <w:rPr>
                                <w:rFonts w:eastAsia="Times New Roman"/>
                                <w:b/>
                                <w:bCs/>
                                <w:color w:val="000000"/>
                                <w:lang w:eastAsia="en-US"/>
                              </w:rPr>
                              <w:t>. The last 2 columns show</w:t>
                            </w:r>
                            <w:r w:rsidRPr="006B72EF">
                              <w:rPr>
                                <w:rFonts w:eastAsia="Times New Roman"/>
                                <w:b/>
                                <w:bCs/>
                                <w:color w:val="000000"/>
                                <w:lang w:eastAsia="en-US"/>
                              </w:rPr>
                              <w:t xml:space="preserve"> the Decyder average ratio </w:t>
                            </w:r>
                            <w:r>
                              <w:rPr>
                                <w:rFonts w:eastAsia="Times New Roman"/>
                                <w:b/>
                                <w:bCs/>
                                <w:color w:val="000000"/>
                                <w:lang w:eastAsia="en-US"/>
                              </w:rPr>
                              <w:t xml:space="preserve">of abundance level with the corresponding </w:t>
                            </w:r>
                            <w:r w:rsidRPr="00C84729">
                              <w:rPr>
                                <w:rFonts w:eastAsia="Times New Roman"/>
                                <w:b/>
                                <w:bCs/>
                                <w:i/>
                                <w:color w:val="000000"/>
                                <w:lang w:eastAsia="en-US"/>
                              </w:rPr>
                              <w:t>p</w:t>
                            </w:r>
                            <w:r>
                              <w:rPr>
                                <w:rFonts w:eastAsia="Times New Roman"/>
                                <w:b/>
                                <w:bCs/>
                                <w:color w:val="000000"/>
                                <w:lang w:eastAsia="en-US"/>
                              </w:rPr>
                              <w:t xml:space="preserve"> value</w:t>
                            </w:r>
                            <w:r w:rsidRPr="006B72EF">
                              <w:rPr>
                                <w:rFonts w:eastAsia="Times New Roman"/>
                                <w:b/>
                                <w:bCs/>
                                <w:color w:val="000000"/>
                                <w:lang w:eastAsia="en-US"/>
                              </w:rPr>
                              <w:t>.</w:t>
                            </w:r>
                          </w:p>
                          <w:p w:rsidR="004B395A" w:rsidRDefault="004B395A" w:rsidP="00660AC5">
                            <w:pPr>
                              <w:pBdr>
                                <w:bottom w:val="single" w:sz="12" w:space="1" w:color="auto"/>
                              </w:pBdr>
                              <w:spacing w:before="240" w:line="480" w:lineRule="auto"/>
                              <w:ind w:right="-1"/>
                              <w:jc w:val="both"/>
                              <w:rPr>
                                <w:rFonts w:eastAsia="Times New Roman"/>
                                <w:b/>
                                <w:bCs/>
                                <w:color w:val="000000"/>
                                <w:lang w:eastAsia="en-US"/>
                              </w:rPr>
                            </w:pPr>
                          </w:p>
                          <w:p w:rsidR="004B395A" w:rsidRDefault="004B395A"/>
                        </w:txbxContent>
                      </wps:txbx>
                      <wps:bodyPr rot="0" vert="vert270" wrap="square" lIns="91440" tIns="45720" rIns="91440" bIns="45720" anchor="t" anchorCtr="0">
                        <a:noAutofit/>
                      </wps:bodyPr>
                    </wps:wsp>
                  </a:graphicData>
                </a:graphic>
              </wp:inline>
            </w:drawing>
          </mc:Choice>
          <mc:Fallback>
            <w:pict>
              <v:shape id="Text Box 2" o:spid="_x0000_s1047" type="#_x0000_t202" style="width:165.05pt;height:69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" stroked="f">
                <v:textbox style="layout-flow:vertical;mso-layout-flow-alt:bottom-to-top">
                  <w:txbxContent>
                    <w:p w:rsidR="004B395A" w:rsidRDefault="004B395A" w:rsidP="001F5CA5">
                      <w:pPr>
                        <w:pBdr>
                          <w:bottom w:val="single" w:sz="12" w:space="1" w:color="auto"/>
                        </w:pBdr>
                        <w:spacing w:before="240" w:line="276"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Pr>
                          <w:rFonts w:eastAsia="Times New Roman"/>
                          <w:b/>
                          <w:bCs/>
                          <w:color w:val="000000"/>
                          <w:lang w:eastAsia="en-US"/>
                        </w:rPr>
                        <w:fldChar w:fldCharType="begin"/>
                      </w:r>
                      <w:r>
                        <w:rPr>
                          <w:rFonts w:eastAsia="Times New Roman"/>
                          <w:b/>
                          <w:bCs/>
                          <w:color w:val="000000"/>
                          <w:lang w:eastAsia="en-US"/>
                        </w:rPr>
                        <w:instrText xml:space="preserve"> STYLEREF 1 \s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Pr>
                          <w:rFonts w:eastAsia="Times New Roman"/>
                          <w:b/>
                          <w:bCs/>
                          <w:color w:val="000000"/>
                          <w:lang w:eastAsia="en-US"/>
                        </w:rPr>
                        <w:noBreakHyphen/>
                      </w:r>
                      <w:r>
                        <w:rPr>
                          <w:rFonts w:eastAsia="Times New Roman"/>
                          <w:b/>
                          <w:bCs/>
                          <w:color w:val="000000"/>
                          <w:lang w:eastAsia="en-US"/>
                        </w:rPr>
                        <w:fldChar w:fldCharType="begin"/>
                      </w:r>
                      <w:r>
                        <w:rPr>
                          <w:rFonts w:eastAsia="Times New Roman"/>
                          <w:b/>
                          <w:bCs/>
                          <w:color w:val="000000"/>
                          <w:lang w:eastAsia="en-US"/>
                        </w:rPr>
                        <w:instrText xml:space="preserve"> SEQ Table \* ARABIC \s 1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sidRPr="006B72EF">
                        <w:rPr>
                          <w:rFonts w:eastAsia="Times New Roman"/>
                          <w:b/>
                          <w:bCs/>
                          <w:color w:val="000000"/>
                          <w:lang w:eastAsia="en-US"/>
                        </w:rPr>
                        <w:t xml:space="preserve"> Listed are the protein identities obtained by Liquid Chromatography Mass Spectrometry analysis, molecular weight number of matched peptides related to the Protein, % coverage of the protein sequence identified. TYR, VDB, Hp, ZAG, B2M, SAA were identified by MS yielding 9, 20, 9, 10, 3, 4 matched peptide respectively, resulting in 65.31, 53.59, 11.58, 37.63, 35.29, 48.36 and percentage coverage respectively</w:t>
                      </w:r>
                      <w:r>
                        <w:rPr>
                          <w:rFonts w:eastAsia="Times New Roman"/>
                          <w:b/>
                          <w:bCs/>
                          <w:color w:val="000000"/>
                          <w:lang w:eastAsia="en-US"/>
                        </w:rPr>
                        <w:t>. The last 2 columns show</w:t>
                      </w:r>
                      <w:r w:rsidRPr="006B72EF">
                        <w:rPr>
                          <w:rFonts w:eastAsia="Times New Roman"/>
                          <w:b/>
                          <w:bCs/>
                          <w:color w:val="000000"/>
                          <w:lang w:eastAsia="en-US"/>
                        </w:rPr>
                        <w:t xml:space="preserve"> the Decyder average ratio </w:t>
                      </w:r>
                      <w:r>
                        <w:rPr>
                          <w:rFonts w:eastAsia="Times New Roman"/>
                          <w:b/>
                          <w:bCs/>
                          <w:color w:val="000000"/>
                          <w:lang w:eastAsia="en-US"/>
                        </w:rPr>
                        <w:t xml:space="preserve">of abundance level with the corresponding </w:t>
                      </w:r>
                      <w:r w:rsidRPr="00C84729">
                        <w:rPr>
                          <w:rFonts w:eastAsia="Times New Roman"/>
                          <w:b/>
                          <w:bCs/>
                          <w:i/>
                          <w:color w:val="000000"/>
                          <w:lang w:eastAsia="en-US"/>
                        </w:rPr>
                        <w:t>p</w:t>
                      </w:r>
                      <w:r>
                        <w:rPr>
                          <w:rFonts w:eastAsia="Times New Roman"/>
                          <w:b/>
                          <w:bCs/>
                          <w:color w:val="000000"/>
                          <w:lang w:eastAsia="en-US"/>
                        </w:rPr>
                        <w:t xml:space="preserve"> value</w:t>
                      </w:r>
                      <w:r w:rsidRPr="006B72EF">
                        <w:rPr>
                          <w:rFonts w:eastAsia="Times New Roman"/>
                          <w:b/>
                          <w:bCs/>
                          <w:color w:val="000000"/>
                          <w:lang w:eastAsia="en-US"/>
                        </w:rPr>
                        <w:t>.</w:t>
                      </w:r>
                    </w:p>
                    <w:p w:rsidR="004B395A" w:rsidRDefault="004B395A" w:rsidP="00660AC5">
                      <w:pPr>
                        <w:pBdr>
                          <w:bottom w:val="single" w:sz="12" w:space="1" w:color="auto"/>
                        </w:pBdr>
                        <w:spacing w:before="240" w:line="480" w:lineRule="auto"/>
                        <w:ind w:right="-1"/>
                        <w:jc w:val="both"/>
                        <w:rPr>
                          <w:rFonts w:eastAsia="Times New Roman"/>
                          <w:b/>
                          <w:bCs/>
                          <w:color w:val="000000"/>
                          <w:lang w:eastAsia="en-US"/>
                        </w:rPr>
                      </w:pPr>
                    </w:p>
                    <w:p w:rsidR="004B395A" w:rsidRDefault="004B395A"/>
                  </w:txbxContent>
                </v:textbox>
                <w10:anchorlock/>
              </v:shape>
            </w:pict>
          </mc:Fallback>
        </mc:AlternateContent>
      </w:r>
      <w:r>
        <w:rPr>
          <w:rFonts w:eastAsia="Times New Roman"/>
          <w:color w:val="0D0D0D"/>
          <w:lang w:eastAsia="en-US"/>
        </w:rPr>
        <w:t xml:space="preserve">  </w:t>
      </w:r>
    </w:p>
    <w:p w:rsidR="006B72EF" w:rsidRDefault="002855FA" w:rsidP="00645687">
      <w:pPr>
        <w:pStyle w:val="Heading2"/>
      </w:pPr>
      <w:bookmarkStart w:id="1138" w:name="_Toc274586829"/>
      <w:bookmarkStart w:id="1139" w:name="_Toc274736186"/>
      <w:bookmarkStart w:id="1140" w:name="_Toc279658453"/>
      <w:bookmarkStart w:id="1141" w:name="_Toc306570676"/>
      <w:bookmarkStart w:id="1142" w:name="_Toc307067739"/>
      <w:r>
        <w:rPr>
          <w:sz w:val="22"/>
        </w:rPr>
        <w:lastRenderedPageBreak/>
        <w:tab/>
      </w:r>
      <w:bookmarkStart w:id="1143" w:name="_Toc312169311"/>
      <w:bookmarkStart w:id="1144" w:name="_Toc312172238"/>
      <w:bookmarkStart w:id="1145" w:name="_Toc312257787"/>
      <w:r w:rsidR="006B72EF" w:rsidRPr="006B72EF">
        <w:t>ELISA values and 2D-DIGE data corresponding ROC curve analysis</w:t>
      </w:r>
      <w:bookmarkEnd w:id="1138"/>
      <w:bookmarkEnd w:id="1139"/>
      <w:bookmarkEnd w:id="1140"/>
      <w:bookmarkEnd w:id="1141"/>
      <w:bookmarkEnd w:id="1142"/>
      <w:bookmarkEnd w:id="1143"/>
      <w:bookmarkEnd w:id="1144"/>
      <w:bookmarkEnd w:id="1145"/>
    </w:p>
    <w:p w:rsidR="00251ABA" w:rsidRPr="00251ABA" w:rsidRDefault="00251ABA" w:rsidP="00CC237F">
      <w:pPr>
        <w:spacing w:line="360" w:lineRule="auto"/>
        <w:jc w:val="both"/>
        <w:rPr>
          <w:lang w:eastAsia="en-US"/>
        </w:rPr>
      </w:pPr>
    </w:p>
    <w:p w:rsidR="006B72EF" w:rsidRPr="006B72EF" w:rsidRDefault="006B72EF" w:rsidP="00645687">
      <w:pPr>
        <w:pStyle w:val="Heading3"/>
      </w:pPr>
      <w:bookmarkStart w:id="1146" w:name="_Toc279436686"/>
      <w:bookmarkStart w:id="1147" w:name="_Toc279436861"/>
      <w:bookmarkStart w:id="1148" w:name="_Toc279658362"/>
      <w:bookmarkStart w:id="1149" w:name="_Toc279658454"/>
      <w:bookmarkStart w:id="1150" w:name="_Toc306570677"/>
      <w:bookmarkEnd w:id="1146"/>
      <w:bookmarkEnd w:id="1147"/>
      <w:bookmarkEnd w:id="1148"/>
      <w:bookmarkEnd w:id="1149"/>
      <w:bookmarkEnd w:id="1150"/>
      <w:r w:rsidRPr="006B72EF">
        <w:tab/>
      </w:r>
      <w:bookmarkStart w:id="1151" w:name="_Toc279658455"/>
      <w:bookmarkStart w:id="1152" w:name="_Toc306570678"/>
      <w:bookmarkStart w:id="1153" w:name="_Toc307067740"/>
      <w:bookmarkStart w:id="1154" w:name="_Toc312169312"/>
      <w:bookmarkStart w:id="1155" w:name="_Toc312172239"/>
      <w:bookmarkStart w:id="1156" w:name="_Toc312257788"/>
      <w:r w:rsidRPr="006B72EF">
        <w:t>ELISA values</w:t>
      </w:r>
      <w:bookmarkEnd w:id="1151"/>
      <w:bookmarkEnd w:id="1152"/>
      <w:bookmarkEnd w:id="1153"/>
      <w:bookmarkEnd w:id="1154"/>
      <w:bookmarkEnd w:id="1155"/>
      <w:bookmarkEnd w:id="1156"/>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this study we use</w:t>
      </w:r>
      <w:r w:rsidR="00354EB8">
        <w:rPr>
          <w:rFonts w:eastAsia="Times New Roman"/>
          <w:color w:val="0D0D0D"/>
          <w:lang w:eastAsia="en-US"/>
        </w:rPr>
        <w:t>d</w:t>
      </w:r>
      <w:r w:rsidRPr="006B72EF">
        <w:rPr>
          <w:rFonts w:eastAsia="Times New Roman"/>
          <w:color w:val="0D0D0D"/>
          <w:lang w:eastAsia="en-US"/>
        </w:rPr>
        <w:t xml:space="preserve"> ELISA to measure</w:t>
      </w:r>
      <w:r w:rsidR="00354EB8">
        <w:rPr>
          <w:rFonts w:eastAsia="Times New Roman"/>
          <w:color w:val="0D0D0D"/>
          <w:lang w:eastAsia="en-US"/>
        </w:rPr>
        <w:t xml:space="preserve"> the</w:t>
      </w:r>
      <w:r w:rsidRPr="006B72EF">
        <w:rPr>
          <w:rFonts w:eastAsia="Times New Roman"/>
          <w:color w:val="0D0D0D"/>
          <w:lang w:eastAsia="en-US"/>
        </w:rPr>
        <w:t xml:space="preserve"> level of the 6 candidate </w:t>
      </w:r>
      <w:r w:rsidR="00720963">
        <w:rPr>
          <w:rFonts w:eastAsia="Times New Roman"/>
          <w:color w:val="0D0D0D"/>
          <w:lang w:eastAsia="en-US"/>
        </w:rPr>
        <w:t>biomarkers</w:t>
      </w:r>
      <w:r w:rsidRPr="006B72EF">
        <w:rPr>
          <w:rFonts w:eastAsia="Times New Roman"/>
          <w:color w:val="0D0D0D"/>
          <w:lang w:eastAsia="en-US"/>
        </w:rPr>
        <w:t xml:space="preserve"> proteins in serum. The ELISA tests are inexpensive, robust, sensitive, specific and widely used in haematopathology laboratories attached to clinical units.</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w:t>
      </w:r>
      <w:r w:rsidR="00326DB5">
        <w:rPr>
          <w:rFonts w:eastAsia="Times New Roman"/>
          <w:color w:val="0D0D0D"/>
          <w:lang w:eastAsia="en-US"/>
        </w:rPr>
        <w:t xml:space="preserve"> ELIS</w:t>
      </w:r>
      <w:r w:rsidR="00C76C1D">
        <w:rPr>
          <w:rFonts w:eastAsia="Times New Roman"/>
          <w:color w:val="0D0D0D"/>
          <w:lang w:eastAsia="en-US"/>
        </w:rPr>
        <w:t>A</w:t>
      </w:r>
      <w:r w:rsidR="00326DB5">
        <w:rPr>
          <w:rFonts w:eastAsia="Times New Roman"/>
          <w:color w:val="0D0D0D"/>
          <w:lang w:eastAsia="en-US"/>
        </w:rPr>
        <w:t xml:space="preserve"> is also the </w:t>
      </w:r>
      <w:r w:rsidR="00C76C1D">
        <w:rPr>
          <w:rFonts w:eastAsia="Times New Roman"/>
          <w:color w:val="0D0D0D"/>
          <w:lang w:eastAsia="en-US"/>
        </w:rPr>
        <w:t>preferential</w:t>
      </w:r>
      <w:r w:rsidR="00326DB5">
        <w:rPr>
          <w:rFonts w:eastAsia="Times New Roman"/>
          <w:color w:val="0D0D0D"/>
          <w:lang w:eastAsia="en-US"/>
        </w:rPr>
        <w:t xml:space="preserve"> method</w:t>
      </w:r>
      <w:r w:rsidRPr="006B72EF">
        <w:rPr>
          <w:rFonts w:eastAsia="Times New Roman"/>
          <w:color w:val="0D0D0D"/>
          <w:lang w:eastAsia="en-US"/>
        </w:rPr>
        <w:t xml:space="preserve"> used to detect proteins for the day by day practice in the hospitals and clinical centres. </w:t>
      </w:r>
      <w:r w:rsidR="00FD40D5">
        <w:rPr>
          <w:rFonts w:eastAsia="Times New Roman"/>
          <w:color w:val="0D0D0D"/>
          <w:lang w:eastAsia="en-US"/>
        </w:rPr>
        <w:t xml:space="preserve">When compared to ELISA, the 2D-DIGE method is expensive, </w:t>
      </w:r>
      <w:r w:rsidRPr="006B72EF">
        <w:rPr>
          <w:rFonts w:eastAsia="Times New Roman"/>
          <w:color w:val="0D0D0D"/>
          <w:lang w:eastAsia="en-US"/>
        </w:rPr>
        <w:t>labour intensive and requires complex equipment and advanced analytical skills limiting applicability to a minority of clinical centres.</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Therefore, we v</w:t>
      </w:r>
      <w:r w:rsidR="00BF6B2E">
        <w:rPr>
          <w:rFonts w:eastAsia="Times New Roman"/>
          <w:color w:val="0D0D0D"/>
          <w:lang w:eastAsia="en-US"/>
        </w:rPr>
        <w:t>alidate the results from the 2D-</w:t>
      </w:r>
      <w:r w:rsidRPr="006B72EF">
        <w:rPr>
          <w:rFonts w:eastAsia="Times New Roman"/>
          <w:color w:val="0D0D0D"/>
          <w:lang w:eastAsia="en-US"/>
        </w:rPr>
        <w:t xml:space="preserve">DIGE study by the commercially available ELISA kits to measure levels of the 6 candidate </w:t>
      </w:r>
      <w:r w:rsidR="00720963">
        <w:rPr>
          <w:rFonts w:eastAsia="Times New Roman"/>
          <w:color w:val="0D0D0D"/>
          <w:lang w:eastAsia="en-US"/>
        </w:rPr>
        <w:t>biomarker</w:t>
      </w:r>
      <w:r w:rsidRPr="006B72EF">
        <w:rPr>
          <w:rFonts w:eastAsia="Times New Roman"/>
          <w:color w:val="0D0D0D"/>
          <w:lang w:eastAsia="en-US"/>
        </w:rPr>
        <w:t xml:space="preserve"> proteins in serum from thalidomide sensitive and resistant multiple myeloma patients (Table </w:t>
      </w:r>
      <w:r w:rsidR="00D7041F">
        <w:rPr>
          <w:rFonts w:eastAsia="Times New Roman"/>
          <w:color w:val="0D0D0D"/>
          <w:lang w:eastAsia="en-US"/>
        </w:rPr>
        <w:t>3-</w:t>
      </w:r>
      <w:r w:rsidR="001F5CA5">
        <w:rPr>
          <w:rFonts w:eastAsia="Times New Roman"/>
          <w:color w:val="0D0D0D"/>
          <w:lang w:eastAsia="en-US"/>
        </w:rPr>
        <w:t xml:space="preserve">3 page 172 </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six differentially expressed protein concentrations were measured in duplicate for each patient. </w:t>
      </w:r>
      <w:bookmarkStart w:id="1157" w:name="OLE_LINK8"/>
      <w:bookmarkStart w:id="1158" w:name="OLE_LINK11"/>
      <w:r w:rsidRPr="006B72EF">
        <w:rPr>
          <w:rFonts w:eastAsia="Times New Roman"/>
          <w:color w:val="0D0D0D"/>
          <w:lang w:eastAsia="en-US"/>
        </w:rPr>
        <w:t>Apart from TYR, the results from ELISAs assay were consistent with 2D-DIGE results</w:t>
      </w:r>
      <w:bookmarkEnd w:id="1157"/>
      <w:bookmarkEnd w:id="1158"/>
      <w:r w:rsidRPr="006B72EF">
        <w:rPr>
          <w:rFonts w:eastAsia="Times New Roman"/>
          <w:color w:val="0D0D0D"/>
          <w:lang w:eastAsia="en-US"/>
        </w:rPr>
        <w:t>.</w:t>
      </w:r>
      <w:r w:rsidR="00251ABA">
        <w:rPr>
          <w:rFonts w:eastAsia="Times New Roman"/>
          <w:color w:val="0D0D0D"/>
          <w:lang w:eastAsia="en-US"/>
        </w:rPr>
        <w:t xml:space="preserve"> </w:t>
      </w:r>
      <w:r w:rsidRPr="006B72EF">
        <w:rPr>
          <w:rFonts w:eastAsia="Times New Roman"/>
          <w:color w:val="0D0D0D"/>
          <w:lang w:eastAsia="en-US"/>
        </w:rPr>
        <w:t>The ELISA data did not sho</w:t>
      </w:r>
      <w:r w:rsidR="00FD40D5">
        <w:rPr>
          <w:rFonts w:eastAsia="Times New Roman"/>
          <w:color w:val="0D0D0D"/>
          <w:lang w:eastAsia="en-US"/>
        </w:rPr>
        <w:t>w any statistically significant</w:t>
      </w:r>
      <w:r w:rsidRPr="006B72EF">
        <w:rPr>
          <w:rFonts w:eastAsia="Times New Roman"/>
          <w:color w:val="0D0D0D"/>
          <w:lang w:eastAsia="en-US"/>
        </w:rPr>
        <w:t xml:space="preserve"> difference in value of TYR in responders versus non-responders to thalidomide.</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086B10" w:rsidP="00057B42">
      <w:pPr>
        <w:spacing w:after="240" w:line="360" w:lineRule="auto"/>
        <w:jc w:val="center"/>
        <w:rPr>
          <w:rFonts w:eastAsia="Times New Roman"/>
          <w:noProof/>
          <w:color w:val="0D0D0D"/>
          <w:lang w:eastAsia="en-IE"/>
        </w:rPr>
      </w:pPr>
      <w:r w:rsidRPr="00086B10">
        <w:rPr>
          <w:noProof/>
          <w:lang w:eastAsia="en-IE"/>
        </w:rPr>
        <w:lastRenderedPageBreak/>
        <w:drawing>
          <wp:inline distT="0" distB="0" distL="0" distR="0" wp14:anchorId="523FB29D" wp14:editId="70B41403">
            <wp:extent cx="3838096" cy="7019048"/>
            <wp:effectExtent l="0" t="0" r="0" b="0"/>
            <wp:docPr id="290819" name="Picture 29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838096" cy="7019048"/>
                    </a:xfrm>
                    <a:prstGeom prst="rect">
                      <a:avLst/>
                    </a:prstGeom>
                  </pic:spPr>
                </pic:pic>
              </a:graphicData>
            </a:graphic>
          </wp:inline>
        </w:drawing>
      </w:r>
    </w:p>
    <w:p w:rsidR="00251ABA" w:rsidRDefault="006B72EF" w:rsidP="00057B42">
      <w:pPr>
        <w:pBdr>
          <w:bottom w:val="single" w:sz="12" w:space="1" w:color="auto"/>
        </w:pBd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4</w:t>
      </w:r>
      <w:r w:rsidR="00B55EFC">
        <w:rPr>
          <w:rFonts w:eastAsia="Times New Roman"/>
          <w:b/>
          <w:color w:val="0D0D0D"/>
          <w:lang w:eastAsia="en-US"/>
        </w:rPr>
        <w:fldChar w:fldCharType="end"/>
      </w:r>
      <w:r w:rsidRPr="006B72EF">
        <w:rPr>
          <w:rFonts w:eastAsia="Times New Roman"/>
          <w:b/>
          <w:color w:val="0D0D0D"/>
          <w:lang w:eastAsia="en-US"/>
        </w:rPr>
        <w:t xml:space="preserve"> </w:t>
      </w:r>
      <w:bookmarkStart w:id="1159" w:name="_Toc274587628"/>
      <w:r w:rsidRPr="006B72EF">
        <w:rPr>
          <w:rFonts w:eastAsia="Times New Roman"/>
          <w:b/>
          <w:color w:val="0D0D0D"/>
          <w:lang w:eastAsia="en-US"/>
        </w:rPr>
        <w:t xml:space="preserve">shows the serum concentration of discovered biomarkers for individual </w:t>
      </w:r>
      <w:r w:rsidR="000501E6">
        <w:rPr>
          <w:rFonts w:eastAsia="Times New Roman"/>
          <w:b/>
          <w:color w:val="0D0D0D"/>
          <w:lang w:eastAsia="en-US"/>
        </w:rPr>
        <w:t>responders</w:t>
      </w:r>
      <w:r w:rsidRPr="006B72EF">
        <w:rPr>
          <w:rFonts w:eastAsia="Times New Roman"/>
          <w:b/>
          <w:color w:val="0D0D0D"/>
          <w:lang w:eastAsia="en-US"/>
        </w:rPr>
        <w:t xml:space="preserve"> patients. Using a commercially available ELISA kit, all five differentially expressed protein concentrations were measured in duplicate. The mean, standard error of the mean (SEM), </w:t>
      </w:r>
      <w:r w:rsidR="000501E6">
        <w:rPr>
          <w:rFonts w:eastAsia="Times New Roman"/>
          <w:b/>
          <w:color w:val="0D0D0D"/>
          <w:lang w:eastAsia="en-US"/>
        </w:rPr>
        <w:t xml:space="preserve">and </w:t>
      </w:r>
      <w:r w:rsidRPr="006B72EF">
        <w:rPr>
          <w:rFonts w:eastAsia="Times New Roman"/>
          <w:b/>
          <w:color w:val="0D0D0D"/>
          <w:lang w:eastAsia="en-US"/>
        </w:rPr>
        <w:t xml:space="preserve">standard deviation (SD) for the </w:t>
      </w:r>
      <w:r w:rsidR="000501E6">
        <w:rPr>
          <w:rFonts w:eastAsia="Times New Roman"/>
          <w:b/>
          <w:color w:val="0D0D0D"/>
          <w:lang w:eastAsia="en-US"/>
        </w:rPr>
        <w:t xml:space="preserve">individual ELISA values are also </w:t>
      </w:r>
      <w:r w:rsidRPr="006B72EF">
        <w:rPr>
          <w:rFonts w:eastAsia="Times New Roman"/>
          <w:b/>
          <w:color w:val="0D0D0D"/>
          <w:lang w:eastAsia="en-US"/>
        </w:rPr>
        <w:t>shown</w:t>
      </w:r>
      <w:r w:rsidR="000501E6">
        <w:rPr>
          <w:rFonts w:eastAsia="Times New Roman"/>
          <w:b/>
          <w:color w:val="0D0D0D"/>
          <w:lang w:eastAsia="en-US"/>
        </w:rPr>
        <w:t>.</w:t>
      </w:r>
      <w:r w:rsidRPr="006B72EF">
        <w:rPr>
          <w:rFonts w:eastAsia="Times New Roman"/>
          <w:b/>
          <w:color w:val="0D0D0D"/>
          <w:lang w:eastAsia="en-US"/>
        </w:rPr>
        <w:t xml:space="preserve"> </w:t>
      </w:r>
      <w:bookmarkEnd w:id="1159"/>
      <w:r w:rsidRPr="006B72EF">
        <w:rPr>
          <w:rFonts w:eastAsia="Times New Roman"/>
          <w:b/>
          <w:color w:val="0D0D0D"/>
          <w:lang w:eastAsia="en-US"/>
        </w:rPr>
        <w:t xml:space="preserve">Abbreviation; Zinc alpha 2-glycoprotein, VDB: Vitamin D binding protein Precursor, SAA: Serum </w:t>
      </w:r>
      <w:r w:rsidRPr="006B72EF">
        <w:rPr>
          <w:rFonts w:eastAsia="Times New Roman"/>
          <w:b/>
          <w:color w:val="0D0D0D"/>
          <w:lang w:eastAsia="en-US"/>
        </w:rPr>
        <w:lastRenderedPageBreak/>
        <w:t xml:space="preserve">Amyloid A protein, B2M: beta-2-microglobulin, Hp: Haptoglobin, SD: standard deviation, SEM: standard error of the mean. </w:t>
      </w:r>
    </w:p>
    <w:p w:rsidR="006B72EF" w:rsidRDefault="006B72EF" w:rsidP="00057B42">
      <w:pPr>
        <w:pBdr>
          <w:bottom w:val="single" w:sz="12" w:space="1" w:color="auto"/>
        </w:pBdr>
        <w:spacing w:after="240" w:line="360" w:lineRule="auto"/>
        <w:jc w:val="both"/>
        <w:rPr>
          <w:rFonts w:eastAsia="Times New Roman"/>
          <w:b/>
          <w:color w:val="0D0D0D"/>
          <w:lang w:eastAsia="en-US"/>
        </w:rPr>
      </w:pPr>
    </w:p>
    <w:p w:rsidR="00251ABA" w:rsidRPr="006B72EF" w:rsidRDefault="00251ABA"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0501E6" w:rsidRDefault="000501E6" w:rsidP="00057B42">
      <w:pPr>
        <w:spacing w:line="360" w:lineRule="auto"/>
        <w:rPr>
          <w:rFonts w:eastAsia="Times New Roman"/>
          <w:color w:val="0D0D0D"/>
          <w:lang w:eastAsia="en-US"/>
        </w:rPr>
      </w:pPr>
      <w:r>
        <w:rPr>
          <w:rFonts w:eastAsia="Times New Roman"/>
          <w:color w:val="0D0D0D"/>
          <w:lang w:eastAsia="en-US"/>
        </w:rPr>
        <w:br w:type="page"/>
      </w:r>
    </w:p>
    <w:p w:rsidR="000501E6" w:rsidRDefault="000501E6" w:rsidP="00057B42">
      <w:pPr>
        <w:keepNext/>
        <w:spacing w:after="240" w:line="360" w:lineRule="auto"/>
        <w:jc w:val="center"/>
      </w:pPr>
      <w:r w:rsidRPr="000501E6">
        <w:rPr>
          <w:noProof/>
          <w:lang w:eastAsia="en-IE"/>
        </w:rPr>
        <w:lastRenderedPageBreak/>
        <w:drawing>
          <wp:inline distT="0" distB="0" distL="0" distR="0" wp14:anchorId="4770B545" wp14:editId="49E6ED69">
            <wp:extent cx="4266667" cy="5619048"/>
            <wp:effectExtent l="0" t="0" r="635" b="1270"/>
            <wp:docPr id="290820" name="Picture 29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266667" cy="5619048"/>
                    </a:xfrm>
                    <a:prstGeom prst="rect">
                      <a:avLst/>
                    </a:prstGeom>
                  </pic:spPr>
                </pic:pic>
              </a:graphicData>
            </a:graphic>
          </wp:inline>
        </w:drawing>
      </w:r>
    </w:p>
    <w:p w:rsidR="001F5CA5" w:rsidRDefault="000501E6" w:rsidP="00057B42">
      <w:pPr>
        <w:pBdr>
          <w:bottom w:val="single" w:sz="12" w:space="1" w:color="auto"/>
        </w:pBdr>
        <w:spacing w:after="240" w:line="360" w:lineRule="auto"/>
        <w:jc w:val="both"/>
        <w:rPr>
          <w:rFonts w:eastAsia="Times New Roman"/>
          <w:b/>
          <w:color w:val="0D0D0D"/>
          <w:lang w:eastAsia="en-US"/>
        </w:rPr>
      </w:pPr>
      <w:r w:rsidRPr="000501E6">
        <w:rPr>
          <w:b/>
        </w:rPr>
        <w:t xml:space="preserve">Table </w:t>
      </w:r>
      <w:r w:rsidR="00B55EFC">
        <w:rPr>
          <w:b/>
        </w:rPr>
        <w:fldChar w:fldCharType="begin"/>
      </w:r>
      <w:r w:rsidR="00B55EFC">
        <w:rPr>
          <w:b/>
        </w:rPr>
        <w:instrText xml:space="preserve"> STYLEREF 1 \s </w:instrText>
      </w:r>
      <w:r w:rsidR="00B55EFC">
        <w:rPr>
          <w:b/>
        </w:rPr>
        <w:fldChar w:fldCharType="separate"/>
      </w:r>
      <w:r w:rsidR="0081644B">
        <w:rPr>
          <w:b/>
          <w:noProof/>
        </w:rPr>
        <w:t>3</w:t>
      </w:r>
      <w:r w:rsidR="00B55EFC">
        <w:rPr>
          <w:b/>
        </w:rPr>
        <w:fldChar w:fldCharType="end"/>
      </w:r>
      <w:r w:rsidR="00B55EFC">
        <w:rPr>
          <w:b/>
        </w:rPr>
        <w:noBreakHyphen/>
      </w:r>
      <w:r w:rsidR="00B55EFC">
        <w:rPr>
          <w:b/>
        </w:rPr>
        <w:fldChar w:fldCharType="begin"/>
      </w:r>
      <w:r w:rsidR="00B55EFC">
        <w:rPr>
          <w:b/>
        </w:rPr>
        <w:instrText xml:space="preserve"> SEQ Table \* ARABIC \s 1 </w:instrText>
      </w:r>
      <w:r w:rsidR="00B55EFC">
        <w:rPr>
          <w:b/>
        </w:rPr>
        <w:fldChar w:fldCharType="separate"/>
      </w:r>
      <w:r w:rsidR="0081644B">
        <w:rPr>
          <w:b/>
          <w:noProof/>
        </w:rPr>
        <w:t>5</w:t>
      </w:r>
      <w:r w:rsidR="00B55EFC">
        <w:rPr>
          <w:b/>
        </w:rPr>
        <w:fldChar w:fldCharType="end"/>
      </w:r>
      <w:r w:rsidRPr="000501E6">
        <w:rPr>
          <w:b/>
        </w:rPr>
        <w:t xml:space="preserve"> </w:t>
      </w:r>
      <w:r w:rsidRPr="000501E6">
        <w:rPr>
          <w:rFonts w:eastAsia="Times New Roman"/>
          <w:b/>
          <w:color w:val="0D0D0D"/>
          <w:lang w:eastAsia="en-US"/>
        </w:rPr>
        <w:t xml:space="preserve">shows the serum concentration of discovered biomarkers for individual </w:t>
      </w:r>
      <w:r>
        <w:rPr>
          <w:rFonts w:eastAsia="Times New Roman"/>
          <w:b/>
          <w:color w:val="0D0D0D"/>
          <w:lang w:eastAsia="en-US"/>
        </w:rPr>
        <w:t>non-</w:t>
      </w:r>
      <w:r w:rsidRPr="000501E6">
        <w:rPr>
          <w:rFonts w:eastAsia="Times New Roman"/>
          <w:b/>
          <w:color w:val="0D0D0D"/>
          <w:lang w:eastAsia="en-US"/>
        </w:rPr>
        <w:t xml:space="preserve">responders patients. Using a commercially available ELISA kit, all five differentially expressed protein concentrations were measured in duplicate. The mean, standard error of the mean (SEM), standard deviation (SD) and the </w:t>
      </w:r>
      <w:r w:rsidRPr="000501E6">
        <w:rPr>
          <w:rFonts w:eastAsia="Times New Roman"/>
          <w:b/>
          <w:i/>
          <w:color w:val="0D0D0D"/>
          <w:lang w:eastAsia="en-US"/>
        </w:rPr>
        <w:t>p</w:t>
      </w:r>
      <w:r w:rsidRPr="000501E6">
        <w:rPr>
          <w:rFonts w:eastAsia="Times New Roman"/>
          <w:b/>
          <w:color w:val="0D0D0D"/>
          <w:lang w:eastAsia="en-US"/>
        </w:rPr>
        <w:t>-value for the ELISA values are also shown for responders and non-responders patients. Abbreviation; Zinc alpha 2-glycoprotein, VDB: Vitamin D binding protein Precursor, SAA: Serum Amyloid A protein, B2M: beta-2-</w:t>
      </w:r>
      <w:r w:rsidRPr="006B72EF">
        <w:rPr>
          <w:rFonts w:eastAsia="Times New Roman"/>
          <w:b/>
          <w:color w:val="0D0D0D"/>
          <w:lang w:eastAsia="en-US"/>
        </w:rPr>
        <w:t xml:space="preserve">microglobulin, Hp: Haptoglobin, SD: standard deviation, SEM: standard error of the mean. </w:t>
      </w:r>
    </w:p>
    <w:p w:rsidR="000501E6" w:rsidRDefault="000501E6" w:rsidP="00057B42">
      <w:pPr>
        <w:pBdr>
          <w:bottom w:val="single" w:sz="12" w:space="1" w:color="auto"/>
        </w:pBdr>
        <w:spacing w:after="240" w:line="360" w:lineRule="auto"/>
        <w:jc w:val="both"/>
        <w:rPr>
          <w:rFonts w:eastAsia="Times New Roman"/>
          <w:b/>
          <w:color w:val="0D0D0D"/>
          <w:lang w:eastAsia="en-US"/>
        </w:rPr>
      </w:pPr>
    </w:p>
    <w:p w:rsidR="006B72EF" w:rsidRDefault="006B72EF" w:rsidP="00645687">
      <w:pPr>
        <w:pStyle w:val="Heading2"/>
      </w:pPr>
      <w:bookmarkStart w:id="1160" w:name="_Toc274586830"/>
      <w:bookmarkStart w:id="1161" w:name="_Toc274736187"/>
      <w:r w:rsidRPr="006B72EF">
        <w:lastRenderedPageBreak/>
        <w:tab/>
      </w:r>
      <w:bookmarkStart w:id="1162" w:name="_Toc279658456"/>
      <w:bookmarkStart w:id="1163" w:name="_Toc306570679"/>
      <w:bookmarkStart w:id="1164" w:name="_Toc307067741"/>
      <w:bookmarkStart w:id="1165" w:name="_Toc312169313"/>
      <w:bookmarkStart w:id="1166" w:name="_Toc312172240"/>
      <w:bookmarkStart w:id="1167" w:name="_Toc312257789"/>
      <w:r w:rsidRPr="006B72EF">
        <w:t>Scatter diagrams</w:t>
      </w:r>
      <w:bookmarkEnd w:id="1160"/>
      <w:bookmarkEnd w:id="1161"/>
      <w:bookmarkEnd w:id="1162"/>
      <w:bookmarkEnd w:id="1163"/>
      <w:bookmarkEnd w:id="1164"/>
      <w:bookmarkEnd w:id="1165"/>
      <w:bookmarkEnd w:id="1166"/>
      <w:bookmarkEnd w:id="1167"/>
    </w:p>
    <w:p w:rsidR="006B72EF" w:rsidRPr="006B72EF" w:rsidRDefault="006B72EF" w:rsidP="00CC237F">
      <w:pPr>
        <w:spacing w:before="240" w:after="240" w:line="360" w:lineRule="auto"/>
        <w:jc w:val="both"/>
        <w:rPr>
          <w:rFonts w:eastAsia="Times New Roman"/>
          <w:color w:val="0D0D0D"/>
          <w:lang w:eastAsia="en-US"/>
        </w:rPr>
      </w:pPr>
      <w:r w:rsidRPr="006B72EF">
        <w:rPr>
          <w:rFonts w:eastAsia="Times New Roman"/>
          <w:color w:val="0D0D0D"/>
          <w:lang w:eastAsia="en-US"/>
        </w:rPr>
        <w:t xml:space="preserve">To investigate the possible relationship between the two variables in this study i.e. response to thalidomide and serum concentration of discovered biomarkers, Line graphs using dots were plotted. Line graphs provide a conventional and visual way to map an independent (ELISA based serum biomarker level) against dependent variables (in this case, response to thalidomide). The aim was to determine whether we could establish a trend that would show visually the correlation between the serum level of the six biomarkers (y axis) and the response to thalidomide. Each dot in these plots represents a multiple myeloma patient with a corresponding serum biomarker level.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resulting pattern indicates that patients with higher serum level of ZAG, VDB, TYR, SAA, B2M are more likely to show a negative correlation with </w:t>
      </w:r>
      <w:r w:rsidR="00CF5CB2">
        <w:rPr>
          <w:rFonts w:eastAsia="Times New Roman"/>
          <w:color w:val="0D0D0D"/>
          <w:lang w:eastAsia="en-US"/>
        </w:rPr>
        <w:t>response to thalidomide whereas</w:t>
      </w:r>
      <w:r w:rsidRPr="006B72EF">
        <w:rPr>
          <w:rFonts w:eastAsia="Times New Roman"/>
          <w:color w:val="0D0D0D"/>
          <w:lang w:eastAsia="en-US"/>
        </w:rPr>
        <w:t xml:space="preserve"> serum Hp level shows a positive correlation.  Using statistical software SPSS 17.0 a linear line was also plotted to separate responders from non-responders to thalidomide.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R2 value was calculated; the R2 values give a guide to the "goodness-of-fit" and do not specify whether an association between the variables is statistically significant. An R2 value of 0.0 means that knowing serum value of discovered biomarkers does not help to predict response while R2=1 perfectly predicts response. Therefore using ELISA values, if R2 is clo</w:t>
      </w:r>
      <w:r w:rsidR="00CF5CB2">
        <w:rPr>
          <w:rFonts w:eastAsia="Times New Roman"/>
          <w:color w:val="0D0D0D"/>
          <w:lang w:eastAsia="en-US"/>
        </w:rPr>
        <w:t>ser to 1, the regression line</w:t>
      </w:r>
      <w:r w:rsidRPr="006B72EF">
        <w:rPr>
          <w:rFonts w:eastAsia="Times New Roman"/>
          <w:color w:val="0D0D0D"/>
          <w:lang w:eastAsia="en-US"/>
        </w:rPr>
        <w:t xml:space="preserve"> better predicts response to thalidomide. R2 values for ZAG, VDB, TYR, SAA, B2M and Hp are 0.056, 0.205, 0.071, 0.199, 0.028, and 0</w:t>
      </w:r>
      <w:r w:rsidR="00CF5CB2">
        <w:rPr>
          <w:rFonts w:eastAsia="Times New Roman"/>
          <w:color w:val="0D0D0D"/>
          <w:lang w:eastAsia="en-US"/>
        </w:rPr>
        <w:t xml:space="preserve">.055 respectively </w:t>
      </w:r>
      <w:r w:rsidR="009122FB">
        <w:rPr>
          <w:rFonts w:eastAsia="Times New Roman"/>
          <w:color w:val="0D0D0D"/>
          <w:lang w:eastAsia="en-US"/>
        </w:rPr>
        <w:t>(Figures 3-19 to 3-21</w:t>
      </w:r>
      <w:r w:rsidRPr="006B72EF">
        <w:rPr>
          <w:rFonts w:eastAsia="Times New Roman"/>
          <w:color w:val="0D0D0D"/>
          <w:lang w:eastAsia="en-US"/>
        </w:rPr>
        <w:t>)</w:t>
      </w:r>
      <w:r w:rsidR="009122FB">
        <w:rPr>
          <w:rFonts w:eastAsia="Times New Roman"/>
          <w:color w:val="0D0D0D"/>
          <w:lang w:eastAsia="en-US"/>
        </w:rPr>
        <w:t>.</w:t>
      </w: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3B2EAAB7" wp14:editId="0857F298">
            <wp:extent cx="5041265" cy="3960000"/>
            <wp:effectExtent l="0" t="0" r="26035" b="21590"/>
            <wp:docPr id="36" name="Chart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810EB" w:rsidRDefault="005810EB" w:rsidP="00057B42">
      <w:pPr>
        <w:pBdr>
          <w:bottom w:val="single" w:sz="12" w:space="1" w:color="auto"/>
        </w:pBdr>
        <w:spacing w:before="240" w:line="360" w:lineRule="auto"/>
        <w:ind w:right="-1"/>
        <w:jc w:val="both"/>
        <w:rPr>
          <w:rFonts w:eastAsia="Times New Roman"/>
          <w:b/>
          <w:bCs/>
          <w:color w:val="000000"/>
          <w:lang w:eastAsia="en-US"/>
        </w:rPr>
      </w:pPr>
      <w:bookmarkStart w:id="1168" w:name="_Toc279441894"/>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16</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ZAG level. Each dot represents a multiple myeloma patient with corresponding serum ZAG level. The resulting pattern illustrates that having a higher serum level of ZAG has a negative correlation with the response to thalidomide base therapy. Abbreviation; ZAG: Zinc-alpha-2-glycoprotein R: Responders to thalidomide-based therapy, NR: Non-responders to thalidomide-based therapy.</w:t>
      </w:r>
      <w:bookmarkEnd w:id="1168"/>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310268F7" wp14:editId="4481AAF7">
            <wp:extent cx="5040000" cy="3960000"/>
            <wp:effectExtent l="0" t="0" r="27305" b="21590"/>
            <wp:docPr id="37" name="Chart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810EB" w:rsidRDefault="005810EB" w:rsidP="00057B42">
      <w:pPr>
        <w:spacing w:before="240" w:line="360" w:lineRule="auto"/>
        <w:ind w:right="-1"/>
        <w:jc w:val="both"/>
        <w:rPr>
          <w:rFonts w:eastAsia="Times New Roman"/>
          <w:b/>
          <w:bCs/>
          <w:color w:val="000000"/>
          <w:lang w:eastAsia="en-US"/>
        </w:rPr>
      </w:pPr>
      <w:bookmarkStart w:id="1169" w:name="_Toc279441895"/>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17</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VDB level. Each dot represents a multiple myeloma patient with corresponding serum VDB level. The resulting pattern illustrates that having a higher serum level of VDB has a negative correlation with the response to thalidomide base therapy. Abbreviation; VDB: Vitamin-D-binding-Precursor, R: Responders to thalidomide-based therapy, NR: Non-responders to thalidomide-based therapy.</w:t>
      </w:r>
      <w:bookmarkEnd w:id="1169"/>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3D889A66" wp14:editId="3C981EA3">
            <wp:extent cx="5040000" cy="3960000"/>
            <wp:effectExtent l="0" t="0" r="27305" b="21590"/>
            <wp:docPr id="38" name="Chart 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810EB" w:rsidRDefault="005810EB" w:rsidP="00057B42">
      <w:pPr>
        <w:spacing w:before="240" w:line="360" w:lineRule="auto"/>
        <w:ind w:right="-1"/>
        <w:jc w:val="both"/>
        <w:rPr>
          <w:rFonts w:eastAsia="Times New Roman"/>
          <w:b/>
          <w:bCs/>
          <w:color w:val="000000"/>
          <w:lang w:eastAsia="en-US"/>
        </w:rPr>
      </w:pPr>
      <w:bookmarkStart w:id="1170" w:name="_Toc279441896"/>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18</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B2M level. Each dot represents a multiple myeloma patient with corresponding serum B2M level. The resulting pattern illustrates that having a higher serum level of B2M has a negative correlation with the response to thalidomide base therapy. Abbreviation; B2M: beta-2-microglobulin, R: Responders to thalidomide-based therapy, NR: Non-responders to thalidomide-based therapy.</w:t>
      </w:r>
      <w:bookmarkEnd w:id="1170"/>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Default="00251ABA" w:rsidP="00057B42">
      <w:pP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lastRenderedPageBreak/>
        <w:t xml:space="preserve"> </w:t>
      </w:r>
      <w:r w:rsidR="00ED7D82">
        <w:rPr>
          <w:rFonts w:eastAsia="Times New Roman"/>
          <w:noProof/>
          <w:color w:val="0D0D0D"/>
          <w:lang w:eastAsia="en-IE"/>
        </w:rPr>
        <w:drawing>
          <wp:inline distT="0" distB="0" distL="0" distR="0" wp14:anchorId="32DC160D" wp14:editId="4046CB76">
            <wp:extent cx="5040000" cy="3960000"/>
            <wp:effectExtent l="0" t="0" r="27305" b="21590"/>
            <wp:docPr id="39" name="Chart 9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810EB" w:rsidRDefault="005810EB" w:rsidP="00057B42">
      <w:pPr>
        <w:spacing w:before="240" w:line="360" w:lineRule="auto"/>
        <w:ind w:right="-1"/>
        <w:jc w:val="both"/>
        <w:rPr>
          <w:rFonts w:eastAsia="Times New Roman"/>
          <w:b/>
          <w:bCs/>
          <w:color w:val="000000"/>
          <w:lang w:eastAsia="en-US"/>
        </w:rPr>
      </w:pPr>
      <w:bookmarkStart w:id="1171" w:name="_Toc279441897"/>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19</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TYR level. Each dot represents a multiple myeloma patient with corresponding serum TYR level. The resulting pattern illustrates that serum TYR level has a poor correlation with the response to thalidomide base therapy. Abbreviation; TYR: Transthyretin, R: Responders to thalidomide-based therapy, NR: Non-responders to thalidomide-based therapy.</w:t>
      </w:r>
      <w:bookmarkEnd w:id="1171"/>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76F8466E" wp14:editId="2DB2DEA0">
            <wp:extent cx="5040000" cy="3960000"/>
            <wp:effectExtent l="0" t="0" r="27305" b="21590"/>
            <wp:docPr id="40" name="Chart 9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810EB" w:rsidRDefault="005810EB" w:rsidP="00057B42">
      <w:pPr>
        <w:spacing w:before="240" w:line="360" w:lineRule="auto"/>
        <w:ind w:right="-1"/>
        <w:jc w:val="both"/>
        <w:rPr>
          <w:rFonts w:eastAsia="Times New Roman"/>
          <w:b/>
          <w:bCs/>
          <w:color w:val="000000"/>
          <w:lang w:eastAsia="en-US"/>
        </w:rPr>
      </w:pPr>
      <w:bookmarkStart w:id="1172" w:name="_Toc279441898"/>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20</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Hp level. Each dot represents a multiple myeloma patient with corresponding serum Hp level. The resulting pattern illustrates that having a lower serum level of Hp has a negative correlation with the response to thalidomide base therapy. Abbreviation; Hp: Haptoglobin, R: Responders to thalidomide-based therapy, NR: Non-responders to thalidomide-based therapy.</w:t>
      </w:r>
      <w:bookmarkEnd w:id="1172"/>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421372EC" wp14:editId="7F2C968E">
            <wp:extent cx="5044440" cy="3870960"/>
            <wp:effectExtent l="0" t="0" r="22860" b="15240"/>
            <wp:docPr id="41" name="Chart 9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810EB" w:rsidRDefault="005810EB" w:rsidP="00057B42">
      <w:pPr>
        <w:spacing w:before="240" w:line="360" w:lineRule="auto"/>
        <w:ind w:right="-1"/>
        <w:jc w:val="both"/>
        <w:rPr>
          <w:rFonts w:eastAsia="Times New Roman"/>
          <w:b/>
          <w:bCs/>
          <w:color w:val="000000"/>
          <w:lang w:eastAsia="en-US"/>
        </w:rPr>
      </w:pPr>
      <w:bookmarkStart w:id="1173" w:name="_Toc279441899"/>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21</w:t>
      </w:r>
      <w:r w:rsidR="008A68DC">
        <w:rPr>
          <w:rFonts w:eastAsia="Times New Roman"/>
          <w:b/>
          <w:bCs/>
          <w:color w:val="000000"/>
          <w:lang w:eastAsia="en-US"/>
        </w:rPr>
        <w:fldChar w:fldCharType="end"/>
      </w:r>
      <w:r w:rsidRPr="006B72EF">
        <w:rPr>
          <w:rFonts w:eastAsia="Times New Roman"/>
          <w:b/>
          <w:bCs/>
          <w:color w:val="000000"/>
          <w:lang w:eastAsia="en-US"/>
        </w:rPr>
        <w:t xml:space="preserve"> shows a line diagram, to demonstrate a visual interpretation of a possible association between the response to thalidomide and serum VDB level. Each dot represents a multiple myeloma patient with corresponding serum VDB level. The resulting pattern illustrates that having a higher serum level of VDB has a negative correlation with the response to thalidomide base therapy. Abbreviation; VDB: Vitamin-D-binding-Precursor, R: Responders to thalidomide-based therapy, NR: Non-responders to thalidomide-based therapy.</w:t>
      </w:r>
      <w:bookmarkEnd w:id="1173"/>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Therefore the </w:t>
      </w:r>
      <w:r w:rsidR="00354EB8">
        <w:rPr>
          <w:rFonts w:eastAsia="Times New Roman"/>
          <w:color w:val="0D0D0D"/>
          <w:lang w:eastAsia="en-US"/>
        </w:rPr>
        <w:t>above</w:t>
      </w:r>
      <w:r w:rsidRPr="006B72EF">
        <w:rPr>
          <w:rFonts w:eastAsia="Times New Roman"/>
          <w:color w:val="0D0D0D"/>
          <w:lang w:eastAsia="en-US"/>
        </w:rPr>
        <w:t xml:space="preserve"> scatter diagrams shows that the use of individual proteins as biomarkers </w:t>
      </w:r>
      <w:r w:rsidR="00CF5CB2">
        <w:rPr>
          <w:rFonts w:eastAsia="Times New Roman"/>
          <w:color w:val="0D0D0D"/>
          <w:lang w:eastAsia="en-US"/>
        </w:rPr>
        <w:t>does</w:t>
      </w:r>
      <w:r w:rsidRPr="006B72EF">
        <w:rPr>
          <w:rFonts w:eastAsia="Times New Roman"/>
          <w:color w:val="0D0D0D"/>
          <w:lang w:eastAsia="en-US"/>
        </w:rPr>
        <w:t xml:space="preserve"> have </w:t>
      </w:r>
      <w:r w:rsidR="00CF5CB2">
        <w:rPr>
          <w:rFonts w:eastAsia="Times New Roman"/>
          <w:color w:val="0D0D0D"/>
          <w:lang w:eastAsia="en-US"/>
        </w:rPr>
        <w:t xml:space="preserve">some </w:t>
      </w:r>
      <w:r w:rsidRPr="006B72EF">
        <w:rPr>
          <w:rFonts w:eastAsia="Times New Roman"/>
          <w:color w:val="0D0D0D"/>
          <w:lang w:eastAsia="en-US"/>
        </w:rPr>
        <w:t xml:space="preserve">value </w:t>
      </w:r>
      <w:r w:rsidR="00CF5CB2">
        <w:rPr>
          <w:rFonts w:eastAsia="Times New Roman"/>
          <w:color w:val="0D0D0D"/>
          <w:lang w:eastAsia="en-US"/>
        </w:rPr>
        <w:t>in</w:t>
      </w:r>
      <w:r w:rsidRPr="006B72EF">
        <w:rPr>
          <w:rFonts w:eastAsia="Times New Roman"/>
          <w:color w:val="0D0D0D"/>
          <w:lang w:eastAsia="en-US"/>
        </w:rPr>
        <w:t xml:space="preserve"> predict</w:t>
      </w:r>
      <w:r w:rsidR="00CF5CB2">
        <w:rPr>
          <w:rFonts w:eastAsia="Times New Roman"/>
          <w:color w:val="0D0D0D"/>
          <w:lang w:eastAsia="en-US"/>
        </w:rPr>
        <w:t>ing</w:t>
      </w:r>
      <w:r w:rsidRPr="006B72EF">
        <w:rPr>
          <w:rFonts w:eastAsia="Times New Roman"/>
          <w:color w:val="0D0D0D"/>
          <w:lang w:eastAsia="en-US"/>
        </w:rPr>
        <w:t xml:space="preserve"> response to thalidomide.</w:t>
      </w:r>
      <w:r w:rsidR="00CF5CB2">
        <w:rPr>
          <w:rFonts w:eastAsia="Times New Roman"/>
          <w:color w:val="0D0D0D"/>
          <w:lang w:eastAsia="en-US"/>
        </w:rPr>
        <w:t xml:space="preserve"> This led us, in further studies</w:t>
      </w:r>
      <w:r w:rsidRPr="006B72EF">
        <w:rPr>
          <w:rFonts w:eastAsia="Times New Roman"/>
          <w:color w:val="0D0D0D"/>
          <w:lang w:eastAsia="en-US"/>
        </w:rPr>
        <w:t xml:space="preserve"> to investigate the</w:t>
      </w:r>
      <w:r w:rsidR="00CF5CB2">
        <w:rPr>
          <w:rFonts w:eastAsia="Times New Roman"/>
          <w:color w:val="0D0D0D"/>
          <w:lang w:eastAsia="en-US"/>
        </w:rPr>
        <w:t xml:space="preserve"> predictive value of biomarkers by</w:t>
      </w:r>
      <w:r w:rsidRPr="006B72EF">
        <w:rPr>
          <w:rFonts w:eastAsia="Times New Roman"/>
          <w:color w:val="0D0D0D"/>
          <w:lang w:eastAsia="en-US"/>
        </w:rPr>
        <w:t xml:space="preserve"> logistic regression and ROC curve analysis using the </w:t>
      </w:r>
      <w:r w:rsidR="00CF5CB2">
        <w:rPr>
          <w:rFonts w:eastAsia="Times New Roman"/>
          <w:color w:val="0D0D0D"/>
          <w:lang w:eastAsia="en-US"/>
        </w:rPr>
        <w:t xml:space="preserve">serum </w:t>
      </w:r>
      <w:r w:rsidRPr="006B72EF">
        <w:rPr>
          <w:rFonts w:eastAsia="Times New Roman"/>
          <w:color w:val="0D0D0D"/>
          <w:lang w:eastAsia="en-US"/>
        </w:rPr>
        <w:t>ELISA values.</w:t>
      </w:r>
    </w:p>
    <w:p w:rsidR="005810EB" w:rsidRPr="006B72EF" w:rsidRDefault="005810EB" w:rsidP="00057B42">
      <w:pPr>
        <w:spacing w:after="240" w:line="360" w:lineRule="auto"/>
        <w:jc w:val="both"/>
        <w:rPr>
          <w:rFonts w:eastAsia="Times New Roman"/>
          <w:color w:val="0D0D0D"/>
          <w:lang w:eastAsia="en-US"/>
        </w:rPr>
      </w:pPr>
    </w:p>
    <w:p w:rsidR="006B72EF" w:rsidRPr="00645550" w:rsidRDefault="00C32934" w:rsidP="00645687">
      <w:pPr>
        <w:pStyle w:val="Heading3"/>
      </w:pPr>
      <w:bookmarkStart w:id="1174" w:name="_Toc279658457"/>
      <w:bookmarkStart w:id="1175" w:name="_Toc306570680"/>
      <w:bookmarkStart w:id="1176" w:name="_Toc307067742"/>
      <w:bookmarkStart w:id="1177" w:name="_Toc274586831"/>
      <w:bookmarkStart w:id="1178" w:name="_Toc274736188"/>
      <w:r>
        <w:lastRenderedPageBreak/>
        <w:tab/>
      </w:r>
      <w:bookmarkStart w:id="1179" w:name="_Toc312169314"/>
      <w:bookmarkStart w:id="1180" w:name="_Toc312172241"/>
      <w:bookmarkStart w:id="1181" w:name="_Toc312257790"/>
      <w:r w:rsidR="006B72EF" w:rsidRPr="00645550">
        <w:t>2D-DIGE data corresponding ROC curve analysis using ELISA value.</w:t>
      </w:r>
      <w:bookmarkEnd w:id="1174"/>
      <w:bookmarkEnd w:id="1175"/>
      <w:bookmarkEnd w:id="1176"/>
      <w:bookmarkEnd w:id="1179"/>
      <w:bookmarkEnd w:id="1180"/>
      <w:bookmarkEnd w:id="1181"/>
      <w:r w:rsidR="006B72EF" w:rsidRPr="00645550">
        <w:t xml:space="preserve"> </w:t>
      </w:r>
    </w:p>
    <w:p w:rsidR="006B72EF" w:rsidRPr="006B72EF" w:rsidRDefault="006B72EF" w:rsidP="00057B42">
      <w:pPr>
        <w:spacing w:after="240" w:line="360" w:lineRule="auto"/>
        <w:contextualSpacing/>
        <w:jc w:val="both"/>
        <w:rPr>
          <w:rFonts w:eastAsia="Times New Roman"/>
          <w:b/>
          <w:color w:val="0D0D0D"/>
          <w:sz w:val="28"/>
          <w:lang w:eastAsia="en-US"/>
        </w:rPr>
      </w:pPr>
      <w:r w:rsidRPr="006B72EF">
        <w:rPr>
          <w:rFonts w:eastAsia="Times New Roman"/>
          <w:color w:val="0D0D0D"/>
          <w:lang w:eastAsia="en-US"/>
        </w:rPr>
        <w:t xml:space="preserve">Using the ELISA values, logistic regression and ROC curve analysis were also carried out </w:t>
      </w:r>
      <w:r w:rsidR="00DC3989">
        <w:rPr>
          <w:rFonts w:eastAsia="Times New Roman"/>
          <w:color w:val="0D0D0D"/>
          <w:lang w:eastAsia="en-US"/>
        </w:rPr>
        <w:t>by the</w:t>
      </w:r>
      <w:r w:rsidRPr="006B72EF">
        <w:rPr>
          <w:rFonts w:eastAsia="Times New Roman"/>
          <w:color w:val="0D0D0D"/>
          <w:lang w:eastAsia="en-US"/>
        </w:rPr>
        <w:t xml:space="preserve"> statistical software R (project.org). The ROC curves were used to interpret the utility of logistic regression models for various combinations of the differentially expressed proteins. The probability of </w:t>
      </w:r>
      <w:r w:rsidR="00DC3989">
        <w:rPr>
          <w:rFonts w:eastAsia="Times New Roman"/>
          <w:color w:val="0D0D0D"/>
          <w:lang w:eastAsia="en-US"/>
        </w:rPr>
        <w:t xml:space="preserve">a </w:t>
      </w:r>
      <w:r w:rsidRPr="006B72EF">
        <w:rPr>
          <w:rFonts w:eastAsia="Times New Roman"/>
          <w:color w:val="0D0D0D"/>
          <w:lang w:eastAsia="en-US"/>
        </w:rPr>
        <w:t xml:space="preserve">correct prediction for a given model was </w:t>
      </w:r>
      <w:r w:rsidR="00DC3989">
        <w:rPr>
          <w:rFonts w:eastAsia="Times New Roman"/>
          <w:color w:val="0D0D0D"/>
          <w:lang w:eastAsia="en-US"/>
        </w:rPr>
        <w:t xml:space="preserve">then </w:t>
      </w:r>
      <w:r w:rsidRPr="006B72EF">
        <w:rPr>
          <w:rFonts w:eastAsia="Times New Roman"/>
          <w:color w:val="0D0D0D"/>
          <w:lang w:eastAsia="en-US"/>
        </w:rPr>
        <w:t>calculated from the ROC curve by determining the area under curve</w:t>
      </w:r>
      <w:r w:rsidR="00DC3989">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p>
    <w:p w:rsidR="006B72EF" w:rsidRDefault="00251ABA" w:rsidP="00645687">
      <w:pPr>
        <w:pStyle w:val="Heading4"/>
      </w:pPr>
      <w:bookmarkStart w:id="1182" w:name="_Toc279658458"/>
      <w:r>
        <w:tab/>
      </w:r>
      <w:bookmarkStart w:id="1183" w:name="_Toc306570681"/>
      <w:bookmarkStart w:id="1184" w:name="_Toc307067743"/>
      <w:bookmarkStart w:id="1185" w:name="_Toc312169315"/>
      <w:bookmarkStart w:id="1186" w:name="_Toc312172242"/>
      <w:bookmarkStart w:id="1187" w:name="_Toc312257791"/>
      <w:r w:rsidR="006B72EF" w:rsidRPr="006B72EF">
        <w:t>Zinc alpha 2-glycoprotein</w:t>
      </w:r>
      <w:bookmarkEnd w:id="1177"/>
      <w:bookmarkEnd w:id="1178"/>
      <w:bookmarkEnd w:id="1182"/>
      <w:bookmarkEnd w:id="1183"/>
      <w:bookmarkEnd w:id="1184"/>
      <w:bookmarkEnd w:id="1185"/>
      <w:bookmarkEnd w:id="1186"/>
      <w:bookmarkEnd w:id="1187"/>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2D-DIGE and ELISA analysis showed that ZAG had a 1.48 (</w:t>
      </w:r>
      <w:r w:rsidR="0010315E" w:rsidRPr="0010315E">
        <w:rPr>
          <w:rFonts w:eastAsia="Times New Roman"/>
          <w:i/>
          <w:color w:val="0D0D0D"/>
          <w:lang w:eastAsia="en-US"/>
        </w:rPr>
        <w:t>p=</w:t>
      </w:r>
      <w:r w:rsidRPr="006B72EF">
        <w:rPr>
          <w:rFonts w:eastAsia="Times New Roman"/>
          <w:color w:val="0D0D0D"/>
          <w:lang w:eastAsia="en-US"/>
        </w:rPr>
        <w:t xml:space="preserve"> 0.0000022) and a 1.27 (</w:t>
      </w:r>
      <w:r w:rsidR="0010315E" w:rsidRPr="0010315E">
        <w:rPr>
          <w:rFonts w:eastAsia="Times New Roman"/>
          <w:i/>
          <w:color w:val="0D0D0D"/>
          <w:lang w:eastAsia="en-US"/>
        </w:rPr>
        <w:t>p=</w:t>
      </w:r>
      <w:r w:rsidRPr="006B72EF">
        <w:rPr>
          <w:rFonts w:eastAsia="Times New Roman"/>
          <w:color w:val="0D0D0D"/>
          <w:lang w:eastAsia="en-US"/>
        </w:rPr>
        <w:t xml:space="preserve">0.00398) fold increase in abundance levels in non-responders compared to responders, respectively (Figure </w:t>
      </w:r>
      <w:r w:rsidR="00DC3989">
        <w:rPr>
          <w:rFonts w:eastAsia="Times New Roman"/>
          <w:color w:val="0D0D0D"/>
          <w:lang w:eastAsia="en-US"/>
        </w:rPr>
        <w:t>3-</w:t>
      </w:r>
      <w:r w:rsidR="001F5CA5">
        <w:rPr>
          <w:rFonts w:eastAsia="Times New Roman"/>
          <w:color w:val="0D0D0D"/>
          <w:lang w:eastAsia="en-US"/>
        </w:rPr>
        <w:t>22</w:t>
      </w:r>
      <w:r w:rsidRPr="006B72EF">
        <w:rPr>
          <w:rFonts w:eastAsia="Times New Roman"/>
          <w:color w:val="0D0D0D"/>
          <w:lang w:eastAsia="en-US"/>
        </w:rPr>
        <w:t xml:space="preserve"> and Table </w:t>
      </w:r>
      <w:r w:rsidR="001F5CA5">
        <w:rPr>
          <w:rFonts w:eastAsia="Times New Roman"/>
          <w:color w:val="0D0D0D"/>
          <w:lang w:eastAsia="en-US"/>
        </w:rPr>
        <w:t>3-6</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Our data suggests that ZAG is a valuable biomarker for detection of sensitivity to thalidomide. The ROC curve generated from the ELISA data for ZAG showed an AUC of 0.76 as an individual prot</w:t>
      </w:r>
      <w:r w:rsidR="00DC3989">
        <w:rPr>
          <w:rFonts w:eastAsia="Times New Roman"/>
          <w:color w:val="0D0D0D"/>
          <w:lang w:eastAsia="en-US"/>
        </w:rPr>
        <w:t>ein, with sensitivity of 86.4</w:t>
      </w:r>
      <w:r w:rsidRPr="006B72EF">
        <w:rPr>
          <w:rFonts w:eastAsia="Times New Roman"/>
          <w:color w:val="0D0D0D"/>
          <w:lang w:eastAsia="en-US"/>
        </w:rPr>
        <w:t xml:space="preserve"> and specificity of 69.0 and </w:t>
      </w:r>
      <w:r w:rsidR="0010315E" w:rsidRPr="0010315E">
        <w:rPr>
          <w:rFonts w:eastAsia="Times New Roman"/>
          <w:i/>
          <w:color w:val="0D0D0D"/>
          <w:lang w:eastAsia="en-US"/>
        </w:rPr>
        <w:t>p=</w:t>
      </w:r>
      <w:r w:rsidRPr="006B72EF">
        <w:rPr>
          <w:rFonts w:eastAsia="Times New Roman"/>
          <w:color w:val="0D0D0D"/>
          <w:lang w:eastAsia="en-US"/>
        </w:rPr>
        <w:t>0.0002, demonstrating an acceptable discrimination power (</w:t>
      </w:r>
      <w:r w:rsidR="00DC63E0" w:rsidRPr="006B72EF">
        <w:rPr>
          <w:rFonts w:eastAsia="Times New Roman"/>
          <w:color w:val="0D0D0D"/>
          <w:lang w:eastAsia="en-US"/>
        </w:rPr>
        <w:t xml:space="preserve">Figure </w:t>
      </w:r>
      <w:r w:rsidR="001F5CA5">
        <w:rPr>
          <w:rFonts w:eastAsia="Times New Roman"/>
          <w:color w:val="0D0D0D"/>
          <w:lang w:eastAsia="en-US"/>
        </w:rPr>
        <w:t>3-23</w:t>
      </w:r>
      <w:r w:rsidRPr="006B72EF">
        <w:rPr>
          <w:rFonts w:eastAsia="Times New Roman"/>
          <w:color w:val="0D0D0D"/>
          <w:lang w:eastAsia="en-US"/>
        </w:rPr>
        <w:t>).</w:t>
      </w:r>
    </w:p>
    <w:p w:rsidR="006B72EF" w:rsidRPr="006B72EF" w:rsidRDefault="00ED7D82" w:rsidP="00057B42">
      <w:pPr>
        <w:keepNext/>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0A8EC12D" wp14:editId="21958828">
            <wp:extent cx="4752975" cy="3691890"/>
            <wp:effectExtent l="0" t="0" r="9525" b="3810"/>
            <wp:docPr id="42"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67" cstate="print">
                      <a:extLst>
                        <a:ext uri="{28A0092B-C50C-407E-A947-70E740481C1C}">
                          <a14:useLocalDpi xmlns:a14="http://schemas.microsoft.com/office/drawing/2010/main" val="0"/>
                        </a:ext>
                      </a:extLst>
                    </a:blip>
                    <a:srcRect l="12444" t="22145" r="15121" b="13329"/>
                    <a:stretch>
                      <a:fillRect/>
                    </a:stretch>
                  </pic:blipFill>
                  <pic:spPr bwMode="auto">
                    <a:xfrm>
                      <a:off x="0" y="0"/>
                      <a:ext cx="4752975" cy="3691890"/>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188" w:name="_Toc279441900"/>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22</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189" w:name="_Toc274587579"/>
      <w:r w:rsidRPr="006B72EF">
        <w:rPr>
          <w:rFonts w:eastAsia="Times New Roman"/>
          <w:b/>
          <w:bCs/>
          <w:color w:val="000000"/>
          <w:lang w:eastAsia="en-US"/>
        </w:rPr>
        <w:t>the 2D-DIGE data showed that ZAG has 1.48 (</w:t>
      </w:r>
      <w:r w:rsidR="0010315E" w:rsidRPr="0010315E">
        <w:rPr>
          <w:rFonts w:eastAsia="Times New Roman"/>
          <w:b/>
          <w:bCs/>
          <w:i/>
          <w:color w:val="000000"/>
          <w:lang w:eastAsia="en-US"/>
        </w:rPr>
        <w:t>p=</w:t>
      </w:r>
      <w:r w:rsidRPr="006B72EF">
        <w:rPr>
          <w:rFonts w:eastAsia="Times New Roman"/>
          <w:b/>
          <w:bCs/>
          <w:color w:val="000000"/>
          <w:lang w:eastAsia="en-US"/>
        </w:rPr>
        <w:t xml:space="preserve"> 0.0000022) fold increase in abundance level in non-responders compared to responders to the thalidomide based therapy</w:t>
      </w:r>
      <w:bookmarkEnd w:id="1188"/>
      <w:bookmarkEnd w:id="1189"/>
      <w:r w:rsidRPr="006B72EF">
        <w:rPr>
          <w:rFonts w:eastAsia="Times New Roman"/>
          <w:b/>
          <w:bCs/>
          <w:color w:val="000000"/>
          <w:lang w:eastAsia="en-US"/>
        </w:rPr>
        <w:t xml:space="preserve">. </w:t>
      </w:r>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Default="00251ABA" w:rsidP="00057B42">
      <w:pP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ED7D82" w:rsidP="00057B42">
      <w:pPr>
        <w:keepNext/>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009531D7" wp14:editId="76A5A745">
            <wp:extent cx="4321810" cy="4356100"/>
            <wp:effectExtent l="0" t="0" r="2540" b="635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l="14185" t="2307" r="15846" b="3661"/>
                    <a:stretch>
                      <a:fillRect/>
                    </a:stretch>
                  </pic:blipFill>
                  <pic:spPr bwMode="auto">
                    <a:xfrm>
                      <a:off x="0" y="0"/>
                      <a:ext cx="4321810" cy="4356100"/>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190" w:name="_Toc279441901"/>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23</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191" w:name="_Toc274587580"/>
      <w:r w:rsidRPr="006B72EF">
        <w:rPr>
          <w:rFonts w:eastAsia="Times New Roman"/>
          <w:b/>
          <w:bCs/>
          <w:color w:val="000000"/>
          <w:lang w:eastAsia="en-US"/>
        </w:rPr>
        <w:t>the ROC curve was generated from the ELISA data for ZAG showed an AUC of 0.76 as an individual protein, demonstrating an acceptable predicting power for the response to thalidomide based regimen</w:t>
      </w:r>
      <w:bookmarkEnd w:id="1191"/>
      <w:r w:rsidR="00DE2419">
        <w:rPr>
          <w:rFonts w:eastAsia="Times New Roman"/>
          <w:b/>
          <w:bCs/>
          <w:color w:val="000000"/>
          <w:lang w:eastAsia="en-US"/>
        </w:rPr>
        <w:t xml:space="preserve"> with sensitivity of 86.4 </w:t>
      </w:r>
      <w:r w:rsidRPr="006B72EF">
        <w:rPr>
          <w:rFonts w:eastAsia="Times New Roman"/>
          <w:b/>
          <w:bCs/>
          <w:color w:val="000000"/>
          <w:lang w:eastAsia="en-US"/>
        </w:rPr>
        <w:t xml:space="preserve">and specificity of 69.0 and  </w:t>
      </w:r>
      <w:r w:rsidR="0010315E" w:rsidRPr="0010315E">
        <w:rPr>
          <w:rFonts w:eastAsia="Times New Roman"/>
          <w:b/>
          <w:bCs/>
          <w:i/>
          <w:color w:val="000000"/>
          <w:lang w:eastAsia="en-US"/>
        </w:rPr>
        <w:t>p=</w:t>
      </w:r>
      <w:r w:rsidRPr="006B72EF">
        <w:rPr>
          <w:rFonts w:eastAsia="Times New Roman"/>
          <w:b/>
          <w:bCs/>
          <w:color w:val="000000"/>
          <w:lang w:eastAsia="en-US"/>
        </w:rPr>
        <w:t>0.0002</w:t>
      </w:r>
      <w:bookmarkEnd w:id="1190"/>
      <w:r w:rsidR="00251ABA">
        <w:rPr>
          <w:rFonts w:eastAsia="Times New Roman"/>
          <w:b/>
          <w:bCs/>
          <w:color w:val="000000"/>
          <w:lang w:eastAsia="en-US"/>
        </w:rPr>
        <w:t>.</w:t>
      </w:r>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center"/>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color w:val="0D0D0D"/>
          <w:lang w:eastAsia="en-US"/>
        </w:rPr>
      </w:pPr>
    </w:p>
    <w:p w:rsidR="00424953" w:rsidRPr="006B72EF" w:rsidRDefault="00424953"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251ABA" w:rsidP="00645687">
      <w:pPr>
        <w:pStyle w:val="Heading4"/>
      </w:pPr>
      <w:bookmarkStart w:id="1192" w:name="_Toc274586832"/>
      <w:bookmarkStart w:id="1193" w:name="_Toc274736189"/>
      <w:bookmarkStart w:id="1194" w:name="_Toc279658459"/>
      <w:r>
        <w:lastRenderedPageBreak/>
        <w:tab/>
      </w:r>
      <w:bookmarkStart w:id="1195" w:name="_Toc306570682"/>
      <w:bookmarkStart w:id="1196" w:name="_Toc307067744"/>
      <w:bookmarkStart w:id="1197" w:name="_Toc312169316"/>
      <w:bookmarkStart w:id="1198" w:name="_Toc312172243"/>
      <w:bookmarkStart w:id="1199" w:name="_Toc312257792"/>
      <w:r w:rsidR="006B72EF" w:rsidRPr="006B72EF">
        <w:t>Serum Amyloid A protein</w:t>
      </w:r>
      <w:bookmarkEnd w:id="1192"/>
      <w:bookmarkEnd w:id="1193"/>
      <w:bookmarkEnd w:id="1194"/>
      <w:bookmarkEnd w:id="1195"/>
      <w:bookmarkEnd w:id="1196"/>
      <w:bookmarkEnd w:id="1197"/>
      <w:bookmarkEnd w:id="1198"/>
      <w:bookmarkEnd w:id="1199"/>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SAA showed a 3.01 (</w:t>
      </w:r>
      <w:r w:rsidR="0010315E" w:rsidRPr="0010315E">
        <w:rPr>
          <w:rFonts w:eastAsia="Times New Roman"/>
          <w:i/>
          <w:color w:val="0D0D0D"/>
          <w:lang w:eastAsia="en-US"/>
        </w:rPr>
        <w:t>p=</w:t>
      </w:r>
      <w:r w:rsidRPr="006B72EF">
        <w:rPr>
          <w:rFonts w:eastAsia="Times New Roman"/>
          <w:color w:val="0D0D0D"/>
          <w:lang w:eastAsia="en-US"/>
        </w:rPr>
        <w:t xml:space="preserve">0.006) fold increase in abundance levels for non-responders compared to responders using 2D-DIGE protein profiling analysis.  </w:t>
      </w:r>
      <w:r w:rsidR="00DC63E0" w:rsidRPr="006B72EF">
        <w:rPr>
          <w:rFonts w:eastAsia="Times New Roman"/>
          <w:color w:val="0D0D0D"/>
          <w:lang w:eastAsia="en-US"/>
        </w:rPr>
        <w:t xml:space="preserve">(Figure </w:t>
      </w:r>
      <w:r w:rsidR="001F5CA5">
        <w:rPr>
          <w:rFonts w:eastAsia="Times New Roman"/>
          <w:color w:val="0D0D0D"/>
          <w:lang w:eastAsia="en-US"/>
        </w:rPr>
        <w:t>3-24</w:t>
      </w:r>
      <w:r w:rsidR="00DC63E0" w:rsidRPr="006B72EF">
        <w:rPr>
          <w:rFonts w:eastAsia="Times New Roman"/>
          <w:color w:val="0D0D0D"/>
          <w:lang w:eastAsia="en-US"/>
        </w:rPr>
        <w:t xml:space="preserve"> and Table </w:t>
      </w:r>
      <w:r w:rsidR="001F5CA5">
        <w:rPr>
          <w:rFonts w:eastAsia="Times New Roman"/>
          <w:color w:val="0D0D0D"/>
          <w:lang w:eastAsia="en-US"/>
        </w:rPr>
        <w:t>3-6</w:t>
      </w:r>
      <w:r w:rsidR="00DC63E0" w:rsidRPr="006B72EF">
        <w:rPr>
          <w:rFonts w:eastAsia="Times New Roman"/>
          <w:color w:val="0D0D0D"/>
          <w:lang w:eastAsia="en-US"/>
        </w:rPr>
        <w:t>)</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This result correlated with data from the ELISA analysis, indicating a 3.80 (</w:t>
      </w:r>
      <w:r w:rsidR="0010315E" w:rsidRPr="0010315E">
        <w:rPr>
          <w:rFonts w:eastAsia="Times New Roman"/>
          <w:i/>
          <w:color w:val="0D0D0D"/>
          <w:lang w:eastAsia="en-US"/>
        </w:rPr>
        <w:t>p=</w:t>
      </w:r>
      <w:r w:rsidRPr="006B72EF">
        <w:rPr>
          <w:rFonts w:eastAsia="Times New Roman"/>
          <w:color w:val="0D0D0D"/>
          <w:lang w:eastAsia="en-US"/>
        </w:rPr>
        <w:t xml:space="preserve">0.00016) fold increase in SAA abundance levels in non-responders compared to responders (Table </w:t>
      </w:r>
      <w:r w:rsidR="00D7041F">
        <w:rPr>
          <w:rFonts w:eastAsia="Times New Roman"/>
          <w:color w:val="0D0D0D"/>
          <w:lang w:eastAsia="en-US"/>
        </w:rPr>
        <w:t>3-</w:t>
      </w:r>
      <w:r w:rsidR="001F5CA5">
        <w:rPr>
          <w:rFonts w:eastAsia="Times New Roman"/>
          <w:color w:val="0D0D0D"/>
          <w:lang w:eastAsia="en-US"/>
        </w:rPr>
        <w:t>6</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ROC curves calculated from the ELISA data showed an AUC of 0.82 </w:t>
      </w:r>
      <w:r w:rsidR="00DE2419">
        <w:rPr>
          <w:rFonts w:eastAsia="Times New Roman"/>
          <w:color w:val="0D0D0D"/>
          <w:lang w:eastAsia="en-US"/>
        </w:rPr>
        <w:t xml:space="preserve">with sensitivity of 77.3 </w:t>
      </w:r>
      <w:r w:rsidRPr="006B72EF">
        <w:rPr>
          <w:rFonts w:eastAsia="Times New Roman"/>
          <w:color w:val="0D0D0D"/>
          <w:lang w:eastAsia="en-US"/>
        </w:rPr>
        <w:t xml:space="preserve">and specificity of 79.3 and </w:t>
      </w:r>
      <w:r w:rsidRPr="006B72EF">
        <w:rPr>
          <w:rFonts w:eastAsia="Times New Roman"/>
          <w:i/>
          <w:color w:val="0D0D0D"/>
          <w:lang w:eastAsia="en-US"/>
        </w:rPr>
        <w:t>p</w:t>
      </w:r>
      <w:r w:rsidRPr="006B72EF">
        <w:rPr>
          <w:rFonts w:eastAsia="Times New Roman"/>
          <w:color w:val="0D0D0D"/>
          <w:lang w:eastAsia="en-US"/>
        </w:rPr>
        <w:t xml:space="preserve">=0.000, indicating excellent discriminatory power for this single protein </w:t>
      </w:r>
      <w:r w:rsidR="00063871" w:rsidRPr="006B72EF">
        <w:rPr>
          <w:rFonts w:eastAsia="Times New Roman"/>
          <w:color w:val="0D0D0D"/>
          <w:lang w:eastAsia="en-US"/>
        </w:rPr>
        <w:t xml:space="preserve">(Figure </w:t>
      </w:r>
      <w:r w:rsidR="001F5CA5">
        <w:rPr>
          <w:rFonts w:eastAsia="Times New Roman"/>
          <w:color w:val="0D0D0D"/>
          <w:lang w:eastAsia="en-US"/>
        </w:rPr>
        <w:t>3-25</w:t>
      </w:r>
      <w:r w:rsidR="00063871" w:rsidRPr="006B72EF">
        <w:rPr>
          <w:rFonts w:eastAsia="Times New Roman"/>
          <w:color w:val="0D0D0D"/>
          <w:lang w:eastAsia="en-US"/>
        </w:rPr>
        <w:t>)</w:t>
      </w:r>
      <w:r w:rsidR="00063871">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SAA is a sensitive marker of inflammation </w:t>
      </w:r>
      <w:r w:rsidRPr="006B72EF">
        <w:rPr>
          <w:rFonts w:eastAsia="Times New Roman"/>
          <w:color w:val="0D0D0D"/>
          <w:lang w:eastAsia="en-US"/>
        </w:rPr>
        <w:fldChar w:fldCharType="begin">
          <w:fldData xml:space="preserve">PEVuZE5vdGU+PENpdGU+PEF1dGhvcj5TYWxlaDwvQXV0aG9yPjxZZWFyPjIwMDM8L1llYXI+PFJl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</w:fldData>
        </w:fldChar>
      </w:r>
      <w:r w:rsidR="006F41FE">
        <w:rPr>
          <w:rFonts w:eastAsia="Times New Roman"/>
          <w:color w:val="0D0D0D"/>
          <w:lang w:eastAsia="en-US"/>
        </w:rPr>
        <w:instrText xml:space="preserve"> ADDIN EN.CITE </w:instrText>
      </w:r>
      <w:r w:rsidR="006F41FE">
        <w:rPr>
          <w:rFonts w:eastAsia="Times New Roman"/>
          <w:color w:val="0D0D0D"/>
          <w:lang w:eastAsia="en-US"/>
        </w:rPr>
        <w:fldChar w:fldCharType="begin">
          <w:fldData xml:space="preserve">PEVuZE5vdGU+PENpdGU+PEF1dGhvcj5TYWxlaDwvQXV0aG9yPjxZZWFyPjIwMDM8L1llYXI+PFJl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</w:fldData>
        </w:fldChar>
      </w:r>
      <w:r w:rsidR="006F41FE">
        <w:rPr>
          <w:rFonts w:eastAsia="Times New Roman"/>
          <w:color w:val="0D0D0D"/>
          <w:lang w:eastAsia="en-US"/>
        </w:rPr>
        <w:instrText xml:space="preserve"> ADDIN EN.CITE.DATA </w:instrText>
      </w:r>
      <w:r w:rsidR="006F41FE">
        <w:rPr>
          <w:rFonts w:eastAsia="Times New Roman"/>
          <w:color w:val="0D0D0D"/>
          <w:lang w:eastAsia="en-US"/>
        </w:rPr>
      </w:r>
      <w:r w:rsidR="006F41FE">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363" w:tooltip="Saleh, 2003 #2" w:history="1">
        <w:r w:rsidR="004A784D">
          <w:rPr>
            <w:rFonts w:eastAsia="Times New Roman"/>
            <w:noProof/>
            <w:color w:val="0D0D0D"/>
            <w:lang w:eastAsia="en-US"/>
          </w:rPr>
          <w:t>Saleh et al., 2003</w:t>
        </w:r>
      </w:hyperlink>
      <w:r w:rsidR="006F41FE">
        <w:rPr>
          <w:rFonts w:eastAsia="Times New Roman"/>
          <w:noProof/>
          <w:color w:val="0D0D0D"/>
          <w:lang w:eastAsia="en-US"/>
        </w:rPr>
        <w:t xml:space="preserve">, </w:t>
      </w:r>
      <w:hyperlink w:anchor="_ENREF_195" w:tooltip="Jousilahti, 2002 #15" w:history="1">
        <w:r w:rsidR="004A784D">
          <w:rPr>
            <w:rFonts w:eastAsia="Times New Roman"/>
            <w:noProof/>
            <w:color w:val="0D0D0D"/>
            <w:lang w:eastAsia="en-US"/>
          </w:rPr>
          <w:t>Jousilahti et al., 2002</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 xml:space="preserve"> . In the 22 non-responder patients studied in this project, none had evidence of infection or fever at the time of sampling; out of 29 responder patients, 1 had an infection resulting in mild fever.  Therefore, the SAA elevation in the non-responder patients appeared to be unrelated to infection or inflammation.</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21068336" wp14:editId="11E46265">
            <wp:extent cx="4891405" cy="3140075"/>
            <wp:effectExtent l="0" t="0" r="4445" b="3175"/>
            <wp:docPr id="44"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69" cstate="print">
                      <a:extLst>
                        <a:ext uri="{28A0092B-C50C-407E-A947-70E740481C1C}">
                          <a14:useLocalDpi xmlns:a14="http://schemas.microsoft.com/office/drawing/2010/main" val="0"/>
                        </a:ext>
                      </a:extLst>
                    </a:blip>
                    <a:srcRect l="7481" t="29143" r="21133" b="9761"/>
                    <a:stretch>
                      <a:fillRect/>
                    </a:stretch>
                  </pic:blipFill>
                  <pic:spPr bwMode="auto">
                    <a:xfrm>
                      <a:off x="0" y="0"/>
                      <a:ext cx="4891405" cy="3140075"/>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00" w:name="_Toc279441902"/>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24</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01" w:name="_Toc274587581"/>
      <w:r w:rsidRPr="006B72EF">
        <w:rPr>
          <w:rFonts w:eastAsia="Times New Roman"/>
          <w:b/>
          <w:bCs/>
          <w:color w:val="000000"/>
          <w:lang w:eastAsia="en-US"/>
        </w:rPr>
        <w:t>The 2D-DIGE data showed that SAA has 3.01 (</w:t>
      </w:r>
      <w:r w:rsidR="0010315E" w:rsidRPr="0010315E">
        <w:rPr>
          <w:rFonts w:eastAsia="Times New Roman"/>
          <w:b/>
          <w:bCs/>
          <w:i/>
          <w:color w:val="000000"/>
          <w:lang w:eastAsia="en-US"/>
        </w:rPr>
        <w:t>p=</w:t>
      </w:r>
      <w:r w:rsidRPr="006B72EF">
        <w:rPr>
          <w:rFonts w:eastAsia="Times New Roman"/>
          <w:b/>
          <w:bCs/>
          <w:color w:val="000000"/>
          <w:lang w:eastAsia="en-US"/>
        </w:rPr>
        <w:t>0.006) fold increase in abundance level in the non-responders compared to responders to the thalidomide based therapy.</w:t>
      </w:r>
      <w:bookmarkEnd w:id="1200"/>
      <w:bookmarkEnd w:id="1201"/>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019F83E1" wp14:editId="5F92F147">
            <wp:extent cx="5201920" cy="5417185"/>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l="15477" t="2554" r="16214" b="2676"/>
                    <a:stretch>
                      <a:fillRect/>
                    </a:stretch>
                  </pic:blipFill>
                  <pic:spPr bwMode="auto">
                    <a:xfrm>
                      <a:off x="0" y="0"/>
                      <a:ext cx="5201920" cy="5417185"/>
                    </a:xfrm>
                    <a:prstGeom prst="rect">
                      <a:avLst/>
                    </a:prstGeom>
                    <a:noFill/>
                    <a:ln>
                      <a:noFill/>
                    </a:ln>
                    <a:effectLst/>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02" w:name="_Toc279441903"/>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25</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03" w:name="_Toc274587582"/>
      <w:r w:rsidRPr="006B72EF">
        <w:rPr>
          <w:rFonts w:eastAsia="Times New Roman"/>
          <w:b/>
          <w:bCs/>
          <w:color w:val="000000"/>
          <w:lang w:eastAsia="en-US"/>
        </w:rPr>
        <w:t xml:space="preserve">The ROC curve was calculated for SAA from the ELISA data showed an AUC of 0.82 </w:t>
      </w:r>
      <w:bookmarkStart w:id="1204" w:name="OLE_LINK13"/>
      <w:bookmarkStart w:id="1205" w:name="OLE_LINK14"/>
      <w:r w:rsidR="00251ABA">
        <w:rPr>
          <w:rFonts w:eastAsia="Times New Roman"/>
          <w:b/>
          <w:bCs/>
          <w:color w:val="000000"/>
          <w:lang w:eastAsia="en-US"/>
        </w:rPr>
        <w:t xml:space="preserve">with sensitivity of 77.3 </w:t>
      </w:r>
      <w:r w:rsidRPr="006B72EF">
        <w:rPr>
          <w:rFonts w:eastAsia="Times New Roman"/>
          <w:b/>
          <w:bCs/>
          <w:color w:val="000000"/>
          <w:lang w:eastAsia="en-US"/>
        </w:rPr>
        <w:t xml:space="preserve">and specificity of 79.3 and  </w:t>
      </w:r>
      <w:r w:rsidRPr="006B72EF">
        <w:rPr>
          <w:rFonts w:eastAsia="Times New Roman"/>
          <w:b/>
          <w:bCs/>
          <w:i/>
          <w:color w:val="000000"/>
          <w:lang w:eastAsia="en-US"/>
        </w:rPr>
        <w:t>p</w:t>
      </w:r>
      <w:r w:rsidRPr="006B72EF">
        <w:rPr>
          <w:rFonts w:eastAsia="Times New Roman"/>
          <w:b/>
          <w:bCs/>
          <w:color w:val="000000"/>
          <w:lang w:eastAsia="en-US"/>
        </w:rPr>
        <w:t>=0.0001</w:t>
      </w:r>
      <w:bookmarkEnd w:id="1204"/>
      <w:bookmarkEnd w:id="1205"/>
      <w:r w:rsidRPr="006B72EF">
        <w:rPr>
          <w:rFonts w:eastAsia="Times New Roman"/>
          <w:b/>
          <w:bCs/>
          <w:color w:val="000000"/>
          <w:lang w:eastAsia="en-US"/>
        </w:rPr>
        <w:t xml:space="preserve"> indicating excellent discriminatory power for predicting response to thalidomide based regimen</w:t>
      </w:r>
      <w:bookmarkEnd w:id="1203"/>
      <w:r w:rsidRPr="006B72EF">
        <w:rPr>
          <w:rFonts w:eastAsia="Times New Roman"/>
          <w:b/>
          <w:bCs/>
          <w:color w:val="000000"/>
          <w:lang w:eastAsia="en-US"/>
        </w:rPr>
        <w:t>.</w:t>
      </w:r>
      <w:bookmarkEnd w:id="1202"/>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Default="00251ABA" w:rsidP="00057B42">
      <w:pP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Default="006B72EF" w:rsidP="00057B42">
      <w:pPr>
        <w:spacing w:after="240" w:line="360" w:lineRule="auto"/>
        <w:jc w:val="both"/>
        <w:rPr>
          <w:rFonts w:eastAsia="Times New Roman"/>
          <w:color w:val="0D0D0D"/>
          <w:lang w:eastAsia="en-US"/>
        </w:rPr>
      </w:pPr>
    </w:p>
    <w:p w:rsidR="00424953" w:rsidRPr="006B72EF" w:rsidRDefault="00424953" w:rsidP="00057B42">
      <w:pPr>
        <w:spacing w:after="240" w:line="360" w:lineRule="auto"/>
        <w:jc w:val="both"/>
        <w:rPr>
          <w:rFonts w:eastAsia="Times New Roman"/>
          <w:color w:val="0D0D0D"/>
          <w:lang w:eastAsia="en-US"/>
        </w:rPr>
      </w:pPr>
    </w:p>
    <w:p w:rsidR="006B72EF" w:rsidRDefault="00251ABA" w:rsidP="00645687">
      <w:pPr>
        <w:pStyle w:val="Heading4"/>
      </w:pPr>
      <w:bookmarkStart w:id="1206" w:name="_Toc274586833"/>
      <w:bookmarkStart w:id="1207" w:name="_Toc274736190"/>
      <w:bookmarkStart w:id="1208" w:name="_Toc279658460"/>
      <w:r>
        <w:lastRenderedPageBreak/>
        <w:tab/>
      </w:r>
      <w:bookmarkStart w:id="1209" w:name="_Toc306570683"/>
      <w:bookmarkStart w:id="1210" w:name="_Toc307067745"/>
      <w:bookmarkStart w:id="1211" w:name="_Toc312169317"/>
      <w:bookmarkStart w:id="1212" w:name="_Toc312172244"/>
      <w:bookmarkStart w:id="1213" w:name="_Toc312257793"/>
      <w:r w:rsidR="006B72EF" w:rsidRPr="006B72EF">
        <w:t>Serum Haptoglobin</w:t>
      </w:r>
      <w:bookmarkEnd w:id="1206"/>
      <w:bookmarkEnd w:id="1207"/>
      <w:bookmarkEnd w:id="1208"/>
      <w:bookmarkEnd w:id="1209"/>
      <w:bookmarkEnd w:id="1210"/>
      <w:bookmarkEnd w:id="1211"/>
      <w:bookmarkEnd w:id="1212"/>
      <w:bookmarkEnd w:id="1213"/>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In the 2D-DIGE protein profiling analysis, the Hp fragment was found to show 3.01 (</w:t>
      </w:r>
      <w:r w:rsidR="0010315E" w:rsidRPr="0010315E">
        <w:rPr>
          <w:rFonts w:eastAsia="Times New Roman"/>
          <w:i/>
          <w:color w:val="0D0D0D"/>
          <w:lang w:eastAsia="en-US"/>
        </w:rPr>
        <w:t>p=</w:t>
      </w:r>
      <w:r w:rsidRPr="006B72EF">
        <w:rPr>
          <w:rFonts w:eastAsia="Times New Roman"/>
          <w:color w:val="0D0D0D"/>
          <w:lang w:eastAsia="en-US"/>
        </w:rPr>
        <w:t>0.0015) fold decreased in serum from non-responders compared to responders.</w:t>
      </w:r>
      <w:r w:rsidR="00063871">
        <w:rPr>
          <w:rFonts w:eastAsia="Times New Roman"/>
          <w:color w:val="0D0D0D"/>
          <w:lang w:eastAsia="en-US"/>
        </w:rPr>
        <w:t xml:space="preserve"> </w:t>
      </w:r>
      <w:r w:rsidRPr="006B72EF">
        <w:rPr>
          <w:rFonts w:eastAsia="Times New Roman"/>
          <w:color w:val="0D0D0D"/>
          <w:lang w:eastAsia="en-US"/>
        </w:rPr>
        <w:t>Data from the ELISA analysis for intact Hp showed a 1.73 (</w:t>
      </w:r>
      <w:r w:rsidR="0010315E" w:rsidRPr="0010315E">
        <w:rPr>
          <w:rFonts w:eastAsia="Times New Roman"/>
          <w:i/>
          <w:color w:val="0D0D0D"/>
          <w:lang w:eastAsia="en-US"/>
        </w:rPr>
        <w:t>p=</w:t>
      </w:r>
      <w:r w:rsidRPr="006B72EF">
        <w:rPr>
          <w:rFonts w:eastAsia="Times New Roman"/>
          <w:color w:val="0D0D0D"/>
          <w:lang w:eastAsia="en-US"/>
        </w:rPr>
        <w:t xml:space="preserve"> 0.03241) fold decrease in abundance levels in non-responders compared to responder</w:t>
      </w:r>
      <w:r w:rsidR="00DE2419">
        <w:rPr>
          <w:rFonts w:eastAsia="Times New Roman"/>
          <w:color w:val="0D0D0D"/>
          <w:lang w:eastAsia="en-US"/>
        </w:rPr>
        <w:t>s</w:t>
      </w:r>
      <w:r w:rsidR="00063871">
        <w:rPr>
          <w:rFonts w:eastAsia="Times New Roman"/>
          <w:color w:val="0D0D0D"/>
          <w:lang w:eastAsia="en-US"/>
        </w:rPr>
        <w:t xml:space="preserve"> </w:t>
      </w:r>
      <w:r w:rsidR="00063871" w:rsidRPr="006B72EF">
        <w:rPr>
          <w:rFonts w:eastAsia="Times New Roman"/>
          <w:color w:val="0D0D0D"/>
          <w:lang w:eastAsia="en-US"/>
        </w:rPr>
        <w:t xml:space="preserve">(Figure </w:t>
      </w:r>
      <w:r w:rsidR="00AA4D42">
        <w:rPr>
          <w:rFonts w:eastAsia="Times New Roman"/>
          <w:color w:val="0D0D0D"/>
          <w:lang w:eastAsia="en-US"/>
        </w:rPr>
        <w:t>3-26</w:t>
      </w:r>
      <w:r w:rsidR="00063871" w:rsidRPr="006B72EF">
        <w:rPr>
          <w:rFonts w:eastAsia="Times New Roman"/>
          <w:color w:val="0D0D0D"/>
          <w:lang w:eastAsia="en-US"/>
        </w:rPr>
        <w:t xml:space="preserve"> and Table </w:t>
      </w:r>
      <w:r w:rsidR="00AA4D42">
        <w:rPr>
          <w:rFonts w:eastAsia="Times New Roman"/>
          <w:color w:val="0D0D0D"/>
          <w:lang w:eastAsia="en-US"/>
        </w:rPr>
        <w:t>3-6</w:t>
      </w:r>
      <w:r w:rsidR="00063871" w:rsidRPr="006B72EF">
        <w:rPr>
          <w:rFonts w:eastAsia="Times New Roman"/>
          <w:color w:val="0D0D0D"/>
          <w:lang w:eastAsia="en-US"/>
        </w:rPr>
        <w:t>)</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Hp is normally removed by the immunodepletion column; however, using 2D-DIGE analysis </w:t>
      </w:r>
      <w:r w:rsidR="00354EB8">
        <w:rPr>
          <w:rFonts w:eastAsia="Times New Roman"/>
          <w:color w:val="0D0D0D"/>
          <w:lang w:eastAsia="en-US"/>
        </w:rPr>
        <w:t>followed by LC-MS/MS, a ~10 kD</w:t>
      </w:r>
      <w:r w:rsidR="004C3BE1">
        <w:rPr>
          <w:rFonts w:eastAsia="Times New Roman"/>
          <w:color w:val="0D0D0D"/>
          <w:lang w:eastAsia="en-US"/>
        </w:rPr>
        <w:t>a</w:t>
      </w:r>
      <w:r w:rsidR="00354EB8">
        <w:rPr>
          <w:rFonts w:eastAsia="Times New Roman"/>
          <w:color w:val="0D0D0D"/>
          <w:lang w:eastAsia="en-US"/>
        </w:rPr>
        <w:t xml:space="preserve"> </w:t>
      </w:r>
      <w:r w:rsidRPr="006B72EF">
        <w:rPr>
          <w:rFonts w:eastAsia="Times New Roman"/>
          <w:color w:val="0D0D0D"/>
          <w:lang w:eastAsia="en-US"/>
        </w:rPr>
        <w:t>haptoglobin</w:t>
      </w:r>
      <w:r w:rsidR="00AA4D42">
        <w:rPr>
          <w:rFonts w:eastAsia="Times New Roman"/>
          <w:color w:val="0D0D0D"/>
          <w:lang w:eastAsia="en-US"/>
        </w:rPr>
        <w:t xml:space="preserve"> fragment was identified (Table </w:t>
      </w:r>
      <w:r w:rsidR="00D7041F">
        <w:rPr>
          <w:rFonts w:eastAsia="Times New Roman"/>
          <w:color w:val="0D0D0D"/>
          <w:lang w:eastAsia="en-US"/>
        </w:rPr>
        <w:t>3-6</w:t>
      </w:r>
      <w:r w:rsidR="00AA4D42">
        <w:rPr>
          <w:rFonts w:eastAsia="Times New Roman"/>
          <w:color w:val="0D0D0D"/>
          <w:lang w:eastAsia="en-US"/>
        </w:rPr>
        <w:t>)</w:t>
      </w:r>
      <w:r w:rsidRPr="006B72EF">
        <w:rPr>
          <w:rFonts w:eastAsia="Times New Roman"/>
          <w:color w:val="0D0D0D"/>
          <w:lang w:eastAsia="en-US"/>
        </w:rPr>
        <w:t xml:space="preserve"> </w:t>
      </w:r>
      <w:r w:rsidRPr="006B72EF">
        <w:rPr>
          <w:rFonts w:eastAsia="Times New Roman"/>
          <w:color w:val="0D0D0D"/>
          <w:lang w:eastAsia="en-US"/>
        </w:rPr>
        <w:fldChar w:fldCharType="begin">
          <w:fldData xml:space="preserve">PEVuZE5vdGU+PENpdGU+PEF1dGhvcj5Sb21wcDwvQXV0aG9yPjxZZWFyPjIwMDc8L1llYXI+PFJl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</w:fldData>
        </w:fldChar>
      </w:r>
      <w:r w:rsidR="006F41FE">
        <w:rPr>
          <w:rFonts w:eastAsia="Times New Roman"/>
          <w:color w:val="0D0D0D"/>
          <w:lang w:eastAsia="en-US"/>
        </w:rPr>
        <w:instrText xml:space="preserve"> ADDIN EN.CITE </w:instrText>
      </w:r>
      <w:r w:rsidR="006F41FE">
        <w:rPr>
          <w:rFonts w:eastAsia="Times New Roman"/>
          <w:color w:val="0D0D0D"/>
          <w:lang w:eastAsia="en-US"/>
        </w:rPr>
        <w:fldChar w:fldCharType="begin">
          <w:fldData xml:space="preserve">PEVuZE5vdGU+PENpdGU+PEF1dGhvcj5Sb21wcDwvQXV0aG9yPjxZZWFyPjIwMDc8L1llYXI+PFJl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</w:fldData>
        </w:fldChar>
      </w:r>
      <w:r w:rsidR="006F41FE">
        <w:rPr>
          <w:rFonts w:eastAsia="Times New Roman"/>
          <w:color w:val="0D0D0D"/>
          <w:lang w:eastAsia="en-US"/>
        </w:rPr>
        <w:instrText xml:space="preserve"> ADDIN EN.CITE.DATA </w:instrText>
      </w:r>
      <w:r w:rsidR="006F41FE">
        <w:rPr>
          <w:rFonts w:eastAsia="Times New Roman"/>
          <w:color w:val="0D0D0D"/>
          <w:lang w:eastAsia="en-US"/>
        </w:rPr>
      </w:r>
      <w:r w:rsidR="006F41FE">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351" w:tooltip="Rompp, 2007 #5" w:history="1">
        <w:r w:rsidR="004A784D">
          <w:rPr>
            <w:rFonts w:eastAsia="Times New Roman"/>
            <w:noProof/>
            <w:color w:val="0D0D0D"/>
            <w:lang w:eastAsia="en-US"/>
          </w:rPr>
          <w:t>Rompp et al., 2007</w:t>
        </w:r>
      </w:hyperlink>
      <w:r w:rsidR="006F41FE">
        <w:rPr>
          <w:rFonts w:eastAsia="Times New Roman"/>
          <w:noProof/>
          <w:color w:val="0D0D0D"/>
          <w:lang w:eastAsia="en-US"/>
        </w:rPr>
        <w:t xml:space="preserve">, </w:t>
      </w:r>
      <w:hyperlink w:anchor="_ENREF_171" w:tooltip="Heo, 2007 #1" w:history="1">
        <w:r w:rsidR="004A784D">
          <w:rPr>
            <w:rFonts w:eastAsia="Times New Roman"/>
            <w:noProof/>
            <w:color w:val="0D0D0D"/>
            <w:lang w:eastAsia="en-US"/>
          </w:rPr>
          <w:t>Heo et al., 2007</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 We suggest that this Hp fragment was not removed due to its size and non-interaction with the specific Hp antibody in the affinity column, and hence it was detected in the 2D-DIGE analysis.</w:t>
      </w:r>
    </w:p>
    <w:p w:rsidR="006B72EF" w:rsidRPr="006B72EF" w:rsidRDefault="006B72EF" w:rsidP="00057B42">
      <w:pPr>
        <w:spacing w:before="240" w:after="240" w:line="360" w:lineRule="auto"/>
        <w:jc w:val="both"/>
        <w:rPr>
          <w:rFonts w:eastAsia="Times New Roman"/>
          <w:color w:val="0D0D0D"/>
          <w:lang w:eastAsia="en-US"/>
        </w:rPr>
      </w:pPr>
      <w:r w:rsidRPr="006B72EF">
        <w:rPr>
          <w:rFonts w:eastAsia="Times New Roman"/>
          <w:color w:val="0D0D0D"/>
          <w:lang w:eastAsia="en-US"/>
        </w:rPr>
        <w:t>As intact Hp was removed from this analysis because of the immunodepletion column, it was decided to investigate this protein using an ELISA-based assay approach. ROC curves were generated from the Hp, ELISA data, showed an AUC of 0</w:t>
      </w:r>
      <w:r w:rsidR="004C3BE1">
        <w:rPr>
          <w:rFonts w:eastAsia="Times New Roman"/>
          <w:color w:val="0D0D0D"/>
          <w:lang w:eastAsia="en-US"/>
        </w:rPr>
        <w:t xml:space="preserve">.64 with sensitivity of 50.0 </w:t>
      </w:r>
      <w:r w:rsidRPr="006B72EF">
        <w:rPr>
          <w:rFonts w:eastAsia="Times New Roman"/>
          <w:color w:val="0D0D0D"/>
          <w:lang w:eastAsia="en-US"/>
        </w:rPr>
        <w:t xml:space="preserve">and specificity of 79.3 and </w:t>
      </w:r>
      <w:r w:rsidR="0010315E" w:rsidRPr="0010315E">
        <w:rPr>
          <w:rFonts w:eastAsia="Times New Roman"/>
          <w:i/>
          <w:color w:val="0D0D0D"/>
          <w:lang w:eastAsia="en-US"/>
        </w:rPr>
        <w:t>p=</w:t>
      </w:r>
      <w:r w:rsidRPr="006B72EF">
        <w:rPr>
          <w:rFonts w:eastAsia="Times New Roman"/>
          <w:color w:val="0D0D0D"/>
          <w:lang w:eastAsia="en-US"/>
        </w:rPr>
        <w:t xml:space="preserve">0.05 indicating minimal discriminatory power for predicting response to thalidomide based regimen (Figure </w:t>
      </w:r>
      <w:r w:rsidR="00063871">
        <w:rPr>
          <w:rFonts w:eastAsia="Times New Roman"/>
          <w:color w:val="0D0D0D"/>
          <w:lang w:eastAsia="en-US"/>
        </w:rPr>
        <w:t>3-</w:t>
      </w:r>
      <w:r w:rsidRPr="006B72EF">
        <w:rPr>
          <w:rFonts w:eastAsia="Times New Roman"/>
          <w:color w:val="0D0D0D"/>
          <w:lang w:eastAsia="en-US"/>
        </w:rPr>
        <w:t>2</w:t>
      </w:r>
      <w:r w:rsidR="00AA4D42">
        <w:rPr>
          <w:rFonts w:eastAsia="Times New Roman"/>
          <w:color w:val="0D0D0D"/>
          <w:lang w:eastAsia="en-US"/>
        </w:rPr>
        <w:t>7</w:t>
      </w:r>
      <w:r w:rsidRPr="006B72EF">
        <w:rPr>
          <w:rFonts w:eastAsia="Times New Roman"/>
          <w:color w:val="0D0D0D"/>
          <w:lang w:eastAsia="en-US"/>
        </w:rPr>
        <w:t>).</w:t>
      </w:r>
      <w:r w:rsidR="00063871">
        <w:rPr>
          <w:rFonts w:eastAsia="Times New Roman"/>
          <w:color w:val="0D0D0D"/>
          <w:lang w:eastAsia="en-US"/>
        </w:rPr>
        <w:t xml:space="preserve"> </w:t>
      </w:r>
      <w:r w:rsidRPr="006B72EF">
        <w:rPr>
          <w:rFonts w:eastAsia="Times New Roman"/>
          <w:color w:val="0D0D0D"/>
          <w:lang w:eastAsia="en-US"/>
        </w:rPr>
        <w:t>The decrease in abundance of the Hp fragment seen in thalidomide non-responders compared to responders using 2D-DIGE analysis displayed a similar trend to that of the intact Hp detected by ELISA analysis in the unfractionated serum samples.</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0CAD3B1C" wp14:editId="6CC16162">
            <wp:extent cx="4554855" cy="3355975"/>
            <wp:effectExtent l="0" t="0" r="0" b="0"/>
            <wp:docPr id="46"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71" cstate="print">
                      <a:extLst>
                        <a:ext uri="{28A0092B-C50C-407E-A947-70E740481C1C}">
                          <a14:useLocalDpi xmlns:a14="http://schemas.microsoft.com/office/drawing/2010/main" val="0"/>
                        </a:ext>
                      </a:extLst>
                    </a:blip>
                    <a:srcRect l="12444" t="24139" r="24918" b="11650"/>
                    <a:stretch>
                      <a:fillRect/>
                    </a:stretch>
                  </pic:blipFill>
                  <pic:spPr bwMode="auto">
                    <a:xfrm>
                      <a:off x="0" y="0"/>
                      <a:ext cx="4554855" cy="3355975"/>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14" w:name="_Toc279441904"/>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26</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15" w:name="_Toc274587583"/>
      <w:r w:rsidR="00251ABA">
        <w:rPr>
          <w:rFonts w:eastAsia="Times New Roman"/>
          <w:b/>
          <w:bCs/>
          <w:color w:val="000000"/>
          <w:lang w:eastAsia="en-US"/>
        </w:rPr>
        <w:t>T</w:t>
      </w:r>
      <w:r w:rsidRPr="006B72EF">
        <w:rPr>
          <w:rFonts w:eastAsia="Times New Roman"/>
          <w:b/>
          <w:bCs/>
          <w:color w:val="000000"/>
          <w:lang w:eastAsia="en-US"/>
        </w:rPr>
        <w:t>he 2D-DIGE data showed that Hp has a 3.01 (</w:t>
      </w:r>
      <w:r w:rsidR="0010315E" w:rsidRPr="0010315E">
        <w:rPr>
          <w:rFonts w:eastAsia="Times New Roman"/>
          <w:b/>
          <w:bCs/>
          <w:i/>
          <w:color w:val="000000"/>
          <w:lang w:eastAsia="en-US"/>
        </w:rPr>
        <w:t>p=</w:t>
      </w:r>
      <w:r w:rsidRPr="006B72EF">
        <w:rPr>
          <w:rFonts w:eastAsia="Times New Roman"/>
          <w:b/>
          <w:bCs/>
          <w:color w:val="000000"/>
          <w:lang w:eastAsia="en-US"/>
        </w:rPr>
        <w:t>0.0015) fold decrease in the level in abundance in the non-responders compared to responders to the thalidomide based therapy.</w:t>
      </w:r>
      <w:bookmarkEnd w:id="1214"/>
      <w:bookmarkEnd w:id="1215"/>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Default="00251ABA" w:rsidP="00057B42">
      <w:pP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ED7D82" w:rsidP="00057B42">
      <w:pPr>
        <w:keepNext/>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51C1DFFE" wp14:editId="15BAE2A0">
            <wp:extent cx="4718685" cy="4796155"/>
            <wp:effectExtent l="0" t="0" r="5715" b="4445"/>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l="14554" t="2553" r="15662" b="2924"/>
                    <a:stretch>
                      <a:fillRect/>
                    </a:stretch>
                  </pic:blipFill>
                  <pic:spPr bwMode="auto">
                    <a:xfrm>
                      <a:off x="0" y="0"/>
                      <a:ext cx="4718685" cy="4796155"/>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16" w:name="_Toc279441905"/>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27</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17" w:name="_Toc274587584"/>
      <w:r w:rsidR="00251ABA">
        <w:rPr>
          <w:rFonts w:eastAsia="Times New Roman"/>
          <w:b/>
          <w:bCs/>
          <w:color w:val="000000"/>
          <w:lang w:eastAsia="en-US"/>
        </w:rPr>
        <w:t>T</w:t>
      </w:r>
      <w:r w:rsidRPr="006B72EF">
        <w:rPr>
          <w:rFonts w:eastAsia="Times New Roman"/>
          <w:b/>
          <w:bCs/>
          <w:color w:val="000000"/>
          <w:lang w:eastAsia="en-US"/>
        </w:rPr>
        <w:t xml:space="preserve">he ROC curve was generated from the ELISA data for </w:t>
      </w:r>
      <w:r w:rsidR="00251ABA">
        <w:rPr>
          <w:rFonts w:eastAsia="Times New Roman"/>
          <w:b/>
          <w:bCs/>
          <w:color w:val="000000"/>
          <w:lang w:eastAsia="en-US"/>
        </w:rPr>
        <w:t xml:space="preserve">Hp, which showed an AUC of 0.64 with sensitivity of 50.0 </w:t>
      </w:r>
      <w:r w:rsidRPr="006B72EF">
        <w:rPr>
          <w:rFonts w:eastAsia="Times New Roman"/>
          <w:b/>
          <w:bCs/>
          <w:color w:val="000000"/>
          <w:lang w:eastAsia="en-US"/>
        </w:rPr>
        <w:t xml:space="preserve">and specificity of 79.3 and  </w:t>
      </w:r>
      <w:r w:rsidR="0010315E" w:rsidRPr="0010315E">
        <w:rPr>
          <w:rFonts w:eastAsia="Times New Roman"/>
          <w:b/>
          <w:bCs/>
          <w:i/>
          <w:color w:val="000000"/>
          <w:lang w:eastAsia="en-US"/>
        </w:rPr>
        <w:t>p=</w:t>
      </w:r>
      <w:r w:rsidRPr="006B72EF">
        <w:rPr>
          <w:rFonts w:eastAsia="Times New Roman"/>
          <w:b/>
          <w:bCs/>
          <w:color w:val="000000"/>
          <w:lang w:eastAsia="en-US"/>
        </w:rPr>
        <w:t>0.05 indicating that Hp as a single protein biomarker has a minimal discriminatory power for predicting response to thalidomide based regimen.</w:t>
      </w:r>
      <w:bookmarkEnd w:id="1216"/>
      <w:bookmarkEnd w:id="1217"/>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color w:val="0D0D0D"/>
          <w:lang w:eastAsia="en-US"/>
        </w:rPr>
      </w:pPr>
    </w:p>
    <w:p w:rsidR="00424953" w:rsidRPr="006B72EF" w:rsidRDefault="00424953" w:rsidP="00057B42">
      <w:pPr>
        <w:spacing w:after="240" w:line="360" w:lineRule="auto"/>
        <w:jc w:val="both"/>
        <w:rPr>
          <w:rFonts w:eastAsia="Times New Roman"/>
          <w:color w:val="0D0D0D"/>
          <w:lang w:eastAsia="en-US"/>
        </w:rPr>
      </w:pPr>
    </w:p>
    <w:p w:rsidR="006B72EF" w:rsidRDefault="00251ABA" w:rsidP="00645687">
      <w:pPr>
        <w:pStyle w:val="Heading4"/>
      </w:pPr>
      <w:bookmarkStart w:id="1218" w:name="_Toc274586834"/>
      <w:bookmarkStart w:id="1219" w:name="_Toc274736191"/>
      <w:bookmarkStart w:id="1220" w:name="_Toc279658461"/>
      <w:r>
        <w:lastRenderedPageBreak/>
        <w:tab/>
      </w:r>
      <w:bookmarkStart w:id="1221" w:name="_Toc306570684"/>
      <w:bookmarkStart w:id="1222" w:name="_Toc307067746"/>
      <w:bookmarkStart w:id="1223" w:name="_Toc312169318"/>
      <w:bookmarkStart w:id="1224" w:name="_Toc312172245"/>
      <w:bookmarkStart w:id="1225" w:name="_Toc312257794"/>
      <w:r w:rsidR="006B72EF" w:rsidRPr="006B72EF">
        <w:t>Vitamin D binding Precursor</w:t>
      </w:r>
      <w:bookmarkEnd w:id="1218"/>
      <w:bookmarkEnd w:id="1219"/>
      <w:bookmarkEnd w:id="1220"/>
      <w:bookmarkEnd w:id="1221"/>
      <w:bookmarkEnd w:id="1222"/>
      <w:bookmarkEnd w:id="1223"/>
      <w:bookmarkEnd w:id="1224"/>
      <w:bookmarkEnd w:id="1225"/>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The VDB protein level from 2D-DIGE analysis and ELISA data showed a 1.31 (</w:t>
      </w:r>
      <w:r w:rsidR="0010315E" w:rsidRPr="0010315E">
        <w:rPr>
          <w:rFonts w:eastAsia="Times New Roman"/>
          <w:i/>
          <w:color w:val="0D0D0D"/>
          <w:lang w:eastAsia="en-US"/>
        </w:rPr>
        <w:t>p=</w:t>
      </w:r>
      <w:r w:rsidRPr="006B72EF">
        <w:rPr>
          <w:rFonts w:eastAsia="Times New Roman"/>
          <w:color w:val="0D0D0D"/>
          <w:lang w:eastAsia="en-US"/>
        </w:rPr>
        <w:t>0.00044) and 1.28 (</w:t>
      </w:r>
      <w:r w:rsidR="0010315E" w:rsidRPr="0010315E">
        <w:rPr>
          <w:rFonts w:eastAsia="Times New Roman"/>
          <w:i/>
          <w:color w:val="0D0D0D"/>
          <w:lang w:eastAsia="en-US"/>
        </w:rPr>
        <w:t>p=</w:t>
      </w:r>
      <w:r w:rsidRPr="006B72EF">
        <w:rPr>
          <w:rFonts w:eastAsia="Times New Roman"/>
          <w:color w:val="0D0D0D"/>
          <w:lang w:eastAsia="en-US"/>
        </w:rPr>
        <w:t>0.02045) fold increase in abundance levels, respectively, from non-responders compared to responders to</w:t>
      </w:r>
      <w:r w:rsidR="00DE2419">
        <w:rPr>
          <w:rFonts w:eastAsia="Times New Roman"/>
          <w:color w:val="0D0D0D"/>
          <w:lang w:eastAsia="en-US"/>
        </w:rPr>
        <w:t xml:space="preserve"> a</w:t>
      </w:r>
      <w:r w:rsidRPr="006B72EF">
        <w:rPr>
          <w:rFonts w:eastAsia="Times New Roman"/>
          <w:color w:val="0D0D0D"/>
          <w:lang w:eastAsia="en-US"/>
        </w:rPr>
        <w:t xml:space="preserve"> thalidomide based regimen</w:t>
      </w:r>
      <w:r w:rsidR="00DC63E0">
        <w:rPr>
          <w:rFonts w:eastAsia="Times New Roman"/>
          <w:color w:val="0D0D0D"/>
          <w:lang w:eastAsia="en-US"/>
        </w:rPr>
        <w:t xml:space="preserve"> </w:t>
      </w:r>
      <w:r w:rsidR="00DC63E0" w:rsidRPr="006B72EF">
        <w:rPr>
          <w:rFonts w:eastAsia="Times New Roman"/>
          <w:color w:val="0D0D0D"/>
          <w:lang w:eastAsia="en-US"/>
        </w:rPr>
        <w:t xml:space="preserve">(Figure </w:t>
      </w:r>
      <w:r w:rsidR="00DC63E0">
        <w:rPr>
          <w:rFonts w:eastAsia="Times New Roman"/>
          <w:color w:val="0D0D0D"/>
          <w:lang w:eastAsia="en-US"/>
        </w:rPr>
        <w:t>3-</w:t>
      </w:r>
      <w:r w:rsidR="00AA4D42">
        <w:rPr>
          <w:rFonts w:eastAsia="Times New Roman"/>
          <w:color w:val="0D0D0D"/>
          <w:lang w:eastAsia="en-US"/>
        </w:rPr>
        <w:t>28</w:t>
      </w:r>
      <w:r w:rsidR="00DC63E0" w:rsidRPr="006B72EF">
        <w:rPr>
          <w:rFonts w:eastAsia="Times New Roman"/>
          <w:color w:val="0D0D0D"/>
          <w:lang w:eastAsia="en-US"/>
        </w:rPr>
        <w:t xml:space="preserve"> and Table </w:t>
      </w:r>
      <w:r w:rsidR="00AA4D42">
        <w:rPr>
          <w:rFonts w:eastAsia="Times New Roman"/>
          <w:color w:val="0D0D0D"/>
          <w:lang w:eastAsia="en-US"/>
        </w:rPr>
        <w:t>3-6</w:t>
      </w:r>
      <w:r w:rsidR="00DC63E0" w:rsidRPr="006B72EF">
        <w:rPr>
          <w:rFonts w:eastAsia="Times New Roman"/>
          <w:color w:val="0D0D0D"/>
          <w:lang w:eastAsia="en-US"/>
        </w:rPr>
        <w:t>)</w:t>
      </w:r>
      <w:r w:rsidRPr="006B72EF">
        <w:rPr>
          <w:rFonts w:eastAsia="Times New Roman"/>
          <w:color w:val="0D0D0D"/>
          <w:lang w:eastAsia="en-US"/>
        </w:rPr>
        <w:t xml:space="preserve">. ROC curves were generated from the ELISA data and showed an AUC of 0.70 with sensitivity of 68.2, specificity of 75.9 and </w:t>
      </w:r>
      <w:r w:rsidR="0010315E" w:rsidRPr="0010315E">
        <w:rPr>
          <w:rFonts w:eastAsia="Times New Roman"/>
          <w:i/>
          <w:color w:val="0D0D0D"/>
          <w:lang w:eastAsia="en-US"/>
        </w:rPr>
        <w:t>p=</w:t>
      </w:r>
      <w:r w:rsidRPr="006B72EF">
        <w:rPr>
          <w:rFonts w:eastAsia="Times New Roman"/>
          <w:color w:val="0D0D0D"/>
          <w:lang w:eastAsia="en-US"/>
        </w:rPr>
        <w:t xml:space="preserve">0.0087 demonstrating acceptable discrimination power to predict response to thalidomide based regimen (Figure </w:t>
      </w:r>
      <w:r w:rsidR="00063871">
        <w:rPr>
          <w:rFonts w:eastAsia="Times New Roman"/>
          <w:color w:val="0D0D0D"/>
          <w:lang w:eastAsia="en-US"/>
        </w:rPr>
        <w:t>3-</w:t>
      </w:r>
      <w:r w:rsidR="00AA4D42">
        <w:rPr>
          <w:rFonts w:eastAsia="Times New Roman"/>
          <w:color w:val="0D0D0D"/>
          <w:lang w:eastAsia="en-US"/>
        </w:rPr>
        <w:t>29</w:t>
      </w:r>
      <w:r w:rsidRPr="006B72EF">
        <w:rPr>
          <w:rFonts w:eastAsia="Times New Roman"/>
          <w:color w:val="0D0D0D"/>
          <w:lang w:eastAsia="en-US"/>
        </w:rPr>
        <w:t>).</w:t>
      </w: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drawing>
          <wp:inline distT="0" distB="0" distL="0" distR="0" wp14:anchorId="70BBB6C0" wp14:editId="6C5EC694">
            <wp:extent cx="4882515" cy="3752215"/>
            <wp:effectExtent l="0" t="0" r="0" b="635"/>
            <wp:docPr id="48"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73" cstate="print">
                      <a:extLst>
                        <a:ext uri="{28A0092B-C50C-407E-A947-70E740481C1C}">
                          <a14:useLocalDpi xmlns:a14="http://schemas.microsoft.com/office/drawing/2010/main" val="0"/>
                        </a:ext>
                      </a:extLst>
                    </a:blip>
                    <a:srcRect l="7481" t="27812" r="29611" b="4198"/>
                    <a:stretch>
                      <a:fillRect/>
                    </a:stretch>
                  </pic:blipFill>
                  <pic:spPr bwMode="auto">
                    <a:xfrm>
                      <a:off x="0" y="0"/>
                      <a:ext cx="4882515" cy="3752215"/>
                    </a:xfrm>
                    <a:prstGeom prst="rect">
                      <a:avLst/>
                    </a:prstGeom>
                    <a:noFill/>
                    <a:ln>
                      <a:noFill/>
                    </a:ln>
                  </pic:spPr>
                </pic:pic>
              </a:graphicData>
            </a:graphic>
          </wp:inline>
        </w:drawing>
      </w:r>
    </w:p>
    <w:p w:rsidR="00251ABA" w:rsidRDefault="006B72EF" w:rsidP="00057B42">
      <w:pPr>
        <w:pBdr>
          <w:bottom w:val="single" w:sz="12" w:space="1" w:color="auto"/>
        </w:pBdr>
        <w:spacing w:before="240" w:line="360" w:lineRule="auto"/>
        <w:ind w:right="-1"/>
        <w:jc w:val="both"/>
        <w:rPr>
          <w:rFonts w:eastAsia="Times New Roman"/>
          <w:b/>
          <w:bCs/>
          <w:color w:val="000000"/>
          <w:lang w:eastAsia="en-US"/>
        </w:rPr>
      </w:pPr>
      <w:bookmarkStart w:id="1226" w:name="_Toc279441906"/>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28</w:t>
      </w:r>
      <w:r w:rsidR="008A68DC">
        <w:rPr>
          <w:rFonts w:eastAsia="Times New Roman"/>
          <w:b/>
          <w:bCs/>
          <w:color w:val="000000"/>
          <w:lang w:eastAsia="en-US"/>
        </w:rPr>
        <w:fldChar w:fldCharType="end"/>
      </w:r>
      <w:bookmarkStart w:id="1227" w:name="_Toc274587585"/>
      <w:r w:rsidR="00251ABA">
        <w:rPr>
          <w:rFonts w:eastAsia="Times New Roman"/>
          <w:b/>
          <w:bCs/>
          <w:color w:val="000000"/>
          <w:lang w:eastAsia="en-US"/>
        </w:rPr>
        <w:t xml:space="preserve"> T</w:t>
      </w:r>
      <w:r w:rsidRPr="006B72EF">
        <w:rPr>
          <w:rFonts w:eastAsia="Times New Roman"/>
          <w:b/>
          <w:bCs/>
          <w:color w:val="000000"/>
          <w:lang w:eastAsia="en-US"/>
        </w:rPr>
        <w:t>he 2D-DIGE data showed that VDB has 1.31 (</w:t>
      </w:r>
      <w:r w:rsidR="0010315E" w:rsidRPr="0010315E">
        <w:rPr>
          <w:rFonts w:eastAsia="Times New Roman"/>
          <w:b/>
          <w:bCs/>
          <w:i/>
          <w:color w:val="000000"/>
          <w:lang w:eastAsia="en-US"/>
        </w:rPr>
        <w:t>p=</w:t>
      </w:r>
      <w:r w:rsidRPr="006B72EF">
        <w:rPr>
          <w:rFonts w:eastAsia="Times New Roman"/>
          <w:b/>
          <w:bCs/>
          <w:color w:val="000000"/>
          <w:lang w:eastAsia="en-US"/>
        </w:rPr>
        <w:t>0.00044) fold increase in abundance level in the non-responders compared to responders to the thalidomide based therapy.</w:t>
      </w:r>
      <w:bookmarkEnd w:id="1226"/>
      <w:bookmarkEnd w:id="1227"/>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251ABA" w:rsidRDefault="00251ABA" w:rsidP="00057B42">
      <w:pPr>
        <w:spacing w:before="240" w:line="360" w:lineRule="auto"/>
        <w:ind w:right="-1"/>
        <w:jc w:val="both"/>
        <w:rPr>
          <w:rFonts w:eastAsia="Times New Roman"/>
          <w:b/>
          <w:bCs/>
          <w:color w:val="000000"/>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0AF50C16" wp14:editId="75DD6641">
            <wp:extent cx="5141595" cy="5245100"/>
            <wp:effectExtent l="0" t="0" r="1905"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l="14923" t="2554" r="14738" b="3169"/>
                    <a:stretch>
                      <a:fillRect/>
                    </a:stretch>
                  </pic:blipFill>
                  <pic:spPr bwMode="auto">
                    <a:xfrm>
                      <a:off x="0" y="0"/>
                      <a:ext cx="5141595" cy="5245100"/>
                    </a:xfrm>
                    <a:prstGeom prst="rect">
                      <a:avLst/>
                    </a:prstGeom>
                    <a:noFill/>
                    <a:ln>
                      <a:noFill/>
                    </a:ln>
                  </pic:spPr>
                </pic:pic>
              </a:graphicData>
            </a:graphic>
          </wp:inline>
        </w:drawing>
      </w:r>
    </w:p>
    <w:p w:rsidR="00251ABA" w:rsidRDefault="006B72EF" w:rsidP="00057B42">
      <w:pPr>
        <w:spacing w:before="240" w:line="360" w:lineRule="auto"/>
        <w:ind w:right="-1"/>
        <w:jc w:val="both"/>
        <w:rPr>
          <w:rFonts w:eastAsia="Times New Roman"/>
          <w:b/>
          <w:bCs/>
          <w:color w:val="000000"/>
          <w:lang w:eastAsia="en-US"/>
        </w:rPr>
      </w:pPr>
      <w:bookmarkStart w:id="1228" w:name="_Toc279441907"/>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29</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29" w:name="_Toc274587586"/>
      <w:r w:rsidRPr="006B72EF">
        <w:rPr>
          <w:rFonts w:eastAsia="Times New Roman"/>
          <w:b/>
          <w:bCs/>
          <w:color w:val="000000"/>
          <w:lang w:eastAsia="en-US"/>
        </w:rPr>
        <w:t>the ROC curve was generated from the VDB, ELISA data and showed an AUC of 0.70 with sensitivit</w:t>
      </w:r>
      <w:r w:rsidR="00251ABA">
        <w:rPr>
          <w:rFonts w:eastAsia="Times New Roman"/>
          <w:b/>
          <w:bCs/>
          <w:color w:val="000000"/>
          <w:lang w:eastAsia="en-US"/>
        </w:rPr>
        <w:t xml:space="preserve">y of 68.2 and </w:t>
      </w:r>
      <w:r w:rsidRPr="006B72EF">
        <w:rPr>
          <w:rFonts w:eastAsia="Times New Roman"/>
          <w:b/>
          <w:bCs/>
          <w:color w:val="000000"/>
          <w:lang w:eastAsia="en-US"/>
        </w:rPr>
        <w:t xml:space="preserve">specificity of 75.9 and </w:t>
      </w:r>
      <w:r w:rsidR="0010315E" w:rsidRPr="0010315E">
        <w:rPr>
          <w:rFonts w:eastAsia="Times New Roman"/>
          <w:b/>
          <w:bCs/>
          <w:i/>
          <w:color w:val="000000"/>
          <w:lang w:eastAsia="en-US"/>
        </w:rPr>
        <w:t>p=</w:t>
      </w:r>
      <w:r w:rsidRPr="006B72EF">
        <w:rPr>
          <w:rFonts w:eastAsia="Times New Roman"/>
          <w:b/>
          <w:bCs/>
          <w:color w:val="000000"/>
          <w:lang w:eastAsia="en-US"/>
        </w:rPr>
        <w:t>0.0087 demonstrating Acceptable discrimination.</w:t>
      </w:r>
      <w:bookmarkEnd w:id="1228"/>
      <w:bookmarkEnd w:id="1229"/>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6B72EF"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B72EF" w:rsidP="00645687">
      <w:pPr>
        <w:pStyle w:val="Heading4"/>
      </w:pPr>
      <w:bookmarkStart w:id="1230" w:name="_Toc274586835"/>
      <w:bookmarkStart w:id="1231" w:name="_Toc274736192"/>
      <w:r w:rsidRPr="006B72EF">
        <w:br w:type="page"/>
      </w:r>
      <w:bookmarkStart w:id="1232" w:name="_Toc279658462"/>
      <w:r w:rsidR="00251ABA">
        <w:lastRenderedPageBreak/>
        <w:tab/>
      </w:r>
      <w:bookmarkStart w:id="1233" w:name="_Toc306570685"/>
      <w:bookmarkStart w:id="1234" w:name="_Toc307067747"/>
      <w:bookmarkStart w:id="1235" w:name="_Toc312169319"/>
      <w:bookmarkStart w:id="1236" w:name="_Toc312172246"/>
      <w:bookmarkStart w:id="1237" w:name="_Toc312257795"/>
      <w:r w:rsidRPr="006B72EF">
        <w:t>Beta 2-microglobulin</w:t>
      </w:r>
      <w:bookmarkEnd w:id="1230"/>
      <w:bookmarkEnd w:id="1231"/>
      <w:bookmarkEnd w:id="1232"/>
      <w:bookmarkEnd w:id="1233"/>
      <w:bookmarkEnd w:id="1234"/>
      <w:bookmarkEnd w:id="1235"/>
      <w:bookmarkEnd w:id="1236"/>
      <w:bookmarkEnd w:id="1237"/>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The B2M level from 2D-DIGE data and ELISA results showed a 1.96 (</w:t>
      </w:r>
      <w:r w:rsidR="0010315E" w:rsidRPr="0010315E">
        <w:rPr>
          <w:rFonts w:eastAsia="Times New Roman"/>
          <w:i/>
          <w:color w:val="0D0D0D"/>
          <w:lang w:eastAsia="en-US"/>
        </w:rPr>
        <w:t>p=</w:t>
      </w:r>
      <w:r w:rsidRPr="006B72EF">
        <w:rPr>
          <w:rFonts w:eastAsia="Times New Roman"/>
          <w:color w:val="0D0D0D"/>
          <w:lang w:eastAsia="en-US"/>
        </w:rPr>
        <w:t>0.0015) and 2.00 (</w:t>
      </w:r>
      <w:r w:rsidR="0010315E" w:rsidRPr="0010315E">
        <w:rPr>
          <w:rFonts w:eastAsia="Times New Roman"/>
          <w:i/>
          <w:color w:val="0D0D0D"/>
          <w:lang w:eastAsia="en-US"/>
        </w:rPr>
        <w:t>p=</w:t>
      </w:r>
      <w:r w:rsidRPr="006B72EF">
        <w:rPr>
          <w:rFonts w:eastAsia="Times New Roman"/>
          <w:color w:val="0D0D0D"/>
          <w:lang w:eastAsia="en-US"/>
        </w:rPr>
        <w:t xml:space="preserve">0.00118) fold increase, respectively, in the abundance level from non-responders compared to responders to thalidomide based regimen </w:t>
      </w:r>
      <w:r w:rsidR="00DC63E0" w:rsidRPr="006B72EF">
        <w:rPr>
          <w:rFonts w:eastAsia="Times New Roman"/>
          <w:color w:val="0D0D0D"/>
          <w:lang w:eastAsia="en-US"/>
        </w:rPr>
        <w:t xml:space="preserve">(Figure </w:t>
      </w:r>
      <w:r w:rsidR="00DC63E0">
        <w:rPr>
          <w:rFonts w:eastAsia="Times New Roman"/>
          <w:color w:val="0D0D0D"/>
          <w:lang w:eastAsia="en-US"/>
        </w:rPr>
        <w:t>3-</w:t>
      </w:r>
      <w:r w:rsidR="00AA4D42">
        <w:rPr>
          <w:rFonts w:eastAsia="Times New Roman"/>
          <w:color w:val="0D0D0D"/>
          <w:lang w:eastAsia="en-US"/>
        </w:rPr>
        <w:t>30</w:t>
      </w:r>
      <w:r w:rsidR="00DC63E0" w:rsidRPr="006B72EF">
        <w:rPr>
          <w:rFonts w:eastAsia="Times New Roman"/>
          <w:color w:val="0D0D0D"/>
          <w:lang w:eastAsia="en-US"/>
        </w:rPr>
        <w:t xml:space="preserve"> and Table </w:t>
      </w:r>
      <w:r w:rsidR="00AA4D42">
        <w:rPr>
          <w:rFonts w:eastAsia="Times New Roman"/>
          <w:color w:val="0D0D0D"/>
          <w:lang w:eastAsia="en-US"/>
        </w:rPr>
        <w:t>3-6</w:t>
      </w:r>
      <w:r w:rsidR="00DC63E0"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ROC curve generated from this data showed an AUC of 0.87, indicating excellent discriminatory power for this protein.  (Figure </w:t>
      </w:r>
      <w:r w:rsidR="00063871">
        <w:rPr>
          <w:rFonts w:eastAsia="Times New Roman"/>
          <w:color w:val="0D0D0D"/>
          <w:lang w:eastAsia="en-US"/>
        </w:rPr>
        <w:t>3-</w:t>
      </w:r>
      <w:r w:rsidR="00AA4D42">
        <w:rPr>
          <w:rFonts w:eastAsia="Times New Roman"/>
          <w:color w:val="0D0D0D"/>
          <w:lang w:eastAsia="en-US"/>
        </w:rPr>
        <w:t>31</w:t>
      </w:r>
      <w:r w:rsidRPr="006B72EF">
        <w:rPr>
          <w:rFonts w:eastAsia="Times New Roman"/>
          <w:color w:val="0D0D0D"/>
          <w:lang w:eastAsia="en-US"/>
        </w:rPr>
        <w:t>).</w:t>
      </w: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drawing>
          <wp:inline distT="0" distB="0" distL="0" distR="0" wp14:anchorId="67DC1923" wp14:editId="01BD39D9">
            <wp:extent cx="5046345" cy="3545205"/>
            <wp:effectExtent l="0" t="0" r="1905" b="0"/>
            <wp:docPr id="50"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75" cstate="print">
                      <a:extLst>
                        <a:ext uri="{28A0092B-C50C-407E-A947-70E740481C1C}">
                          <a14:useLocalDpi xmlns:a14="http://schemas.microsoft.com/office/drawing/2010/main" val="0"/>
                        </a:ext>
                      </a:extLst>
                    </a:blip>
                    <a:srcRect l="12286" t="25819" r="20865" b="12436"/>
                    <a:stretch>
                      <a:fillRect/>
                    </a:stretch>
                  </pic:blipFill>
                  <pic:spPr bwMode="auto">
                    <a:xfrm>
                      <a:off x="0" y="0"/>
                      <a:ext cx="5046345" cy="3545205"/>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38" w:name="_Toc279441908"/>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30</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39" w:name="_Toc274587587"/>
      <w:r w:rsidR="00251ABA">
        <w:rPr>
          <w:rFonts w:eastAsia="Times New Roman"/>
          <w:b/>
          <w:bCs/>
          <w:color w:val="000000"/>
          <w:lang w:eastAsia="en-US"/>
        </w:rPr>
        <w:t>T</w:t>
      </w:r>
      <w:r w:rsidRPr="006B72EF">
        <w:rPr>
          <w:rFonts w:eastAsia="Times New Roman"/>
          <w:b/>
          <w:bCs/>
          <w:color w:val="000000"/>
          <w:lang w:eastAsia="en-US"/>
        </w:rPr>
        <w:t>he 2D-DIGE data showed that B2M has a 1.96 (</w:t>
      </w:r>
      <w:r w:rsidR="0010315E" w:rsidRPr="0010315E">
        <w:rPr>
          <w:rFonts w:eastAsia="Times New Roman"/>
          <w:b/>
          <w:bCs/>
          <w:i/>
          <w:color w:val="000000"/>
          <w:lang w:eastAsia="en-US"/>
        </w:rPr>
        <w:t>p=</w:t>
      </w:r>
      <w:r w:rsidRPr="006B72EF">
        <w:rPr>
          <w:rFonts w:eastAsia="Times New Roman"/>
          <w:b/>
          <w:bCs/>
          <w:color w:val="000000"/>
          <w:lang w:eastAsia="en-US"/>
        </w:rPr>
        <w:t>0.0015) fold increase in abundance level in the non-responders compared to responders to the thalidomide based therapy</w:t>
      </w:r>
      <w:bookmarkEnd w:id="1238"/>
      <w:bookmarkEnd w:id="1239"/>
      <w:r w:rsidR="00251ABA">
        <w:rPr>
          <w:rFonts w:eastAsia="Times New Roman"/>
          <w:b/>
          <w:bCs/>
          <w:color w:val="000000"/>
          <w:lang w:eastAsia="en-US"/>
        </w:rPr>
        <w:t>.</w:t>
      </w:r>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5360DD0C" wp14:editId="460CFD70">
            <wp:extent cx="5219065" cy="5193030"/>
            <wp:effectExtent l="0" t="0" r="635" b="762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l="14738" t="2554" r="14369" b="3415"/>
                    <a:stretch>
                      <a:fillRect/>
                    </a:stretch>
                  </pic:blipFill>
                  <pic:spPr bwMode="auto">
                    <a:xfrm>
                      <a:off x="0" y="0"/>
                      <a:ext cx="5219065" cy="5193030"/>
                    </a:xfrm>
                    <a:prstGeom prst="rect">
                      <a:avLst/>
                    </a:prstGeom>
                    <a:noFill/>
                    <a:ln>
                      <a:noFill/>
                    </a:ln>
                  </pic:spPr>
                </pic:pic>
              </a:graphicData>
            </a:graphic>
          </wp:inline>
        </w:drawing>
      </w:r>
    </w:p>
    <w:p w:rsidR="00251ABA" w:rsidRDefault="006B72EF" w:rsidP="00057B42">
      <w:pPr>
        <w:pBdr>
          <w:bottom w:val="single" w:sz="12" w:space="1" w:color="auto"/>
        </w:pBdr>
        <w:spacing w:before="240" w:line="360" w:lineRule="auto"/>
        <w:ind w:right="-1"/>
        <w:jc w:val="both"/>
        <w:rPr>
          <w:rFonts w:eastAsia="Times New Roman"/>
          <w:b/>
          <w:bCs/>
          <w:color w:val="000000"/>
          <w:lang w:eastAsia="en-US"/>
        </w:rPr>
      </w:pPr>
      <w:bookmarkStart w:id="1240" w:name="_Toc279441909"/>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31</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41" w:name="_Toc274587588"/>
      <w:r w:rsidR="00251ABA">
        <w:rPr>
          <w:rFonts w:eastAsia="Times New Roman"/>
          <w:b/>
          <w:bCs/>
          <w:color w:val="000000"/>
          <w:lang w:eastAsia="en-US"/>
        </w:rPr>
        <w:t>T</w:t>
      </w:r>
      <w:r w:rsidRPr="006B72EF">
        <w:rPr>
          <w:rFonts w:eastAsia="Times New Roman"/>
          <w:b/>
          <w:bCs/>
          <w:color w:val="000000"/>
          <w:lang w:eastAsia="en-US"/>
        </w:rPr>
        <w:t>he ROC curve was generated from the B2M ELISA data showed an AUC of 0.87, indicating with sensitivity of 90.9 and specificity of 82.8. This protein has an excellent discriminatory power for predicting response to thalidomide based regimen.</w:t>
      </w:r>
      <w:bookmarkEnd w:id="1240"/>
      <w:bookmarkEnd w:id="1241"/>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Default="006B72EF" w:rsidP="00057B42">
      <w:pPr>
        <w:spacing w:after="240" w:line="360" w:lineRule="auto"/>
        <w:jc w:val="both"/>
        <w:rPr>
          <w:rFonts w:eastAsia="Times New Roman"/>
          <w:b/>
          <w:color w:val="0D0D0D"/>
          <w:lang w:eastAsia="en-US"/>
        </w:rPr>
      </w:pPr>
    </w:p>
    <w:p w:rsidR="00424953" w:rsidRDefault="00424953" w:rsidP="00057B42">
      <w:pPr>
        <w:spacing w:after="240" w:line="360" w:lineRule="auto"/>
        <w:jc w:val="both"/>
        <w:rPr>
          <w:rFonts w:eastAsia="Times New Roman"/>
          <w:b/>
          <w:color w:val="0D0D0D"/>
          <w:lang w:eastAsia="en-US"/>
        </w:rPr>
      </w:pPr>
    </w:p>
    <w:p w:rsidR="00424953" w:rsidRPr="006B72EF" w:rsidRDefault="00424953" w:rsidP="00057B42">
      <w:pPr>
        <w:spacing w:after="240" w:line="360" w:lineRule="auto"/>
        <w:jc w:val="both"/>
        <w:rPr>
          <w:rFonts w:eastAsia="Times New Roman"/>
          <w:b/>
          <w:color w:val="0D0D0D"/>
          <w:lang w:eastAsia="en-US"/>
        </w:rPr>
      </w:pPr>
    </w:p>
    <w:p w:rsidR="006B72EF" w:rsidRDefault="00251ABA" w:rsidP="00645687">
      <w:pPr>
        <w:pStyle w:val="Heading4"/>
      </w:pPr>
      <w:bookmarkStart w:id="1242" w:name="_Toc274586836"/>
      <w:bookmarkStart w:id="1243" w:name="_Toc274736193"/>
      <w:bookmarkStart w:id="1244" w:name="_Toc279658463"/>
      <w:r>
        <w:lastRenderedPageBreak/>
        <w:tab/>
      </w:r>
      <w:bookmarkStart w:id="1245" w:name="_Toc306570686"/>
      <w:bookmarkStart w:id="1246" w:name="_Toc307067748"/>
      <w:bookmarkStart w:id="1247" w:name="_Toc312169320"/>
      <w:bookmarkStart w:id="1248" w:name="_Toc312172247"/>
      <w:bookmarkStart w:id="1249" w:name="_Toc312257796"/>
      <w:r w:rsidR="006B72EF" w:rsidRPr="006B72EF">
        <w:t>Transthyretin</w:t>
      </w:r>
      <w:bookmarkEnd w:id="1242"/>
      <w:bookmarkEnd w:id="1243"/>
      <w:bookmarkEnd w:id="1244"/>
      <w:bookmarkEnd w:id="1245"/>
      <w:bookmarkEnd w:id="1246"/>
      <w:bookmarkEnd w:id="1247"/>
      <w:bookmarkEnd w:id="1248"/>
      <w:bookmarkEnd w:id="1249"/>
    </w:p>
    <w:p w:rsidR="006B72EF" w:rsidRPr="006B72EF" w:rsidRDefault="006B72EF" w:rsidP="004C3BE1">
      <w:pPr>
        <w:spacing w:before="240" w:after="240" w:line="360" w:lineRule="auto"/>
        <w:jc w:val="both"/>
        <w:rPr>
          <w:rFonts w:eastAsia="Times New Roman"/>
          <w:color w:val="0D0D0D"/>
          <w:lang w:eastAsia="en-US"/>
        </w:rPr>
      </w:pPr>
      <w:r w:rsidRPr="006B72EF">
        <w:rPr>
          <w:rFonts w:eastAsia="Times New Roman"/>
          <w:color w:val="0D0D0D"/>
          <w:lang w:eastAsia="en-US"/>
        </w:rPr>
        <w:t>The 2D-DIGE and ELISA data of TYR showed increase</w:t>
      </w:r>
      <w:r w:rsidR="004C3BE1">
        <w:rPr>
          <w:rFonts w:eastAsia="Times New Roman"/>
          <w:color w:val="0D0D0D"/>
          <w:lang w:eastAsia="en-US"/>
        </w:rPr>
        <w:t>d</w:t>
      </w:r>
      <w:r w:rsidRPr="006B72EF">
        <w:rPr>
          <w:rFonts w:eastAsia="Times New Roman"/>
          <w:color w:val="0D0D0D"/>
          <w:lang w:eastAsia="en-US"/>
        </w:rPr>
        <w:t xml:space="preserve"> abundance level of 1.32 (</w:t>
      </w:r>
      <w:r w:rsidR="0010315E" w:rsidRPr="0010315E">
        <w:rPr>
          <w:rFonts w:eastAsia="Times New Roman"/>
          <w:i/>
          <w:color w:val="0D0D0D"/>
          <w:lang w:eastAsia="en-US"/>
        </w:rPr>
        <w:t>p=</w:t>
      </w:r>
      <w:r w:rsidR="001F05C1">
        <w:rPr>
          <w:rFonts w:eastAsia="Times New Roman"/>
          <w:color w:val="0D0D0D"/>
          <w:lang w:eastAsia="en-US"/>
        </w:rPr>
        <w:t xml:space="preserve">0.0077) </w:t>
      </w:r>
      <w:r w:rsidRPr="006B72EF">
        <w:rPr>
          <w:rFonts w:eastAsia="Times New Roman"/>
          <w:color w:val="0D0D0D"/>
          <w:lang w:eastAsia="en-US"/>
        </w:rPr>
        <w:t>and ELISA showed 1.06 (</w:t>
      </w:r>
      <w:r w:rsidR="0010315E" w:rsidRPr="0010315E">
        <w:rPr>
          <w:rFonts w:eastAsia="Times New Roman"/>
          <w:i/>
          <w:color w:val="0D0D0D"/>
          <w:lang w:eastAsia="en-US"/>
        </w:rPr>
        <w:t>p=</w:t>
      </w:r>
      <w:r w:rsidRPr="006B72EF">
        <w:rPr>
          <w:rFonts w:eastAsia="Times New Roman"/>
          <w:color w:val="0D0D0D"/>
          <w:lang w:eastAsia="en-US"/>
        </w:rPr>
        <w:t xml:space="preserve"> 0.39129) fold increase in abundance level from non-responders vs. responder</w:t>
      </w:r>
      <w:r w:rsidR="00DE2419">
        <w:rPr>
          <w:rFonts w:eastAsia="Times New Roman"/>
          <w:color w:val="0D0D0D"/>
          <w:lang w:eastAsia="en-US"/>
        </w:rPr>
        <w:t>s</w:t>
      </w:r>
      <w:r w:rsidRPr="006B72EF">
        <w:rPr>
          <w:rFonts w:eastAsia="Times New Roman"/>
          <w:color w:val="0D0D0D"/>
          <w:lang w:eastAsia="en-US"/>
        </w:rPr>
        <w:t xml:space="preserve"> to thalidomide respectively </w:t>
      </w:r>
      <w:r w:rsidR="00DC63E0" w:rsidRPr="006B72EF">
        <w:rPr>
          <w:rFonts w:eastAsia="Times New Roman"/>
          <w:color w:val="0D0D0D"/>
          <w:lang w:eastAsia="en-US"/>
        </w:rPr>
        <w:t xml:space="preserve">(Figure </w:t>
      </w:r>
      <w:r w:rsidR="00DC63E0">
        <w:rPr>
          <w:rFonts w:eastAsia="Times New Roman"/>
          <w:color w:val="0D0D0D"/>
          <w:lang w:eastAsia="en-US"/>
        </w:rPr>
        <w:t>3-</w:t>
      </w:r>
      <w:r w:rsidR="004C3BE1">
        <w:rPr>
          <w:rFonts w:eastAsia="Times New Roman"/>
          <w:color w:val="0D0D0D"/>
          <w:lang w:eastAsia="en-US"/>
        </w:rPr>
        <w:t>32</w:t>
      </w:r>
      <w:r w:rsidR="00DC63E0" w:rsidRPr="006B72EF">
        <w:rPr>
          <w:rFonts w:eastAsia="Times New Roman"/>
          <w:color w:val="0D0D0D"/>
          <w:lang w:eastAsia="en-US"/>
        </w:rPr>
        <w:t xml:space="preserve"> and Table </w:t>
      </w:r>
      <w:r w:rsidR="004C3BE1">
        <w:rPr>
          <w:rFonts w:eastAsia="Times New Roman"/>
          <w:color w:val="0D0D0D"/>
          <w:lang w:eastAsia="en-US"/>
        </w:rPr>
        <w:t>3-6</w:t>
      </w:r>
      <w:r w:rsidR="00DC63E0" w:rsidRPr="006B72EF">
        <w:rPr>
          <w:rFonts w:eastAsia="Times New Roman"/>
          <w:color w:val="0D0D0D"/>
          <w:lang w:eastAsia="en-US"/>
        </w:rPr>
        <w:t>)</w:t>
      </w:r>
      <w:r w:rsidR="001F05C1">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ROC curves were generated from the ELISA data and showed an AUC 0.54 with the sensitivity of 68.2, specificity of 62.1 and </w:t>
      </w:r>
      <w:r w:rsidR="0010315E" w:rsidRPr="0010315E">
        <w:rPr>
          <w:rFonts w:eastAsia="Times New Roman"/>
          <w:i/>
          <w:color w:val="0D0D0D"/>
          <w:lang w:eastAsia="en-US"/>
        </w:rPr>
        <w:t>p=</w:t>
      </w:r>
      <w:r w:rsidRPr="006B72EF">
        <w:rPr>
          <w:rFonts w:eastAsia="Times New Roman"/>
          <w:color w:val="0D0D0D"/>
          <w:lang w:eastAsia="en-US"/>
        </w:rPr>
        <w:t xml:space="preserve">0.40. This data signify that TYR has minimal discriminatory value for predicting response to thalidomide based regimen (Figure </w:t>
      </w:r>
      <w:r w:rsidR="00063871">
        <w:rPr>
          <w:rFonts w:eastAsia="Times New Roman"/>
          <w:color w:val="0D0D0D"/>
          <w:lang w:eastAsia="en-US"/>
        </w:rPr>
        <w:t>3-</w:t>
      </w:r>
      <w:r w:rsidR="004C3BE1">
        <w:rPr>
          <w:rFonts w:eastAsia="Times New Roman"/>
          <w:color w:val="0D0D0D"/>
          <w:lang w:eastAsia="en-US"/>
        </w:rPr>
        <w:t>33</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TYR is normally removed by the immunodepletion column. The immuno-depletion column are 96-97% effective at removing the high abundance proteins. In our study, the ELISA value for TYR did not show statistically significant difference in the serum level between responders as compare to the non-responders to thalidomide based regimen.</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1E3CF611" wp14:editId="23B8A346">
            <wp:extent cx="5106670" cy="3373120"/>
            <wp:effectExtent l="0" t="0" r="0" b="0"/>
            <wp:docPr id="52"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7" cstate="print">
                      <a:extLst>
                        <a:ext uri="{28A0092B-C50C-407E-A947-70E740481C1C}">
                          <a14:useLocalDpi xmlns:a14="http://schemas.microsoft.com/office/drawing/2010/main" val="0"/>
                        </a:ext>
                      </a:extLst>
                    </a:blip>
                    <a:srcRect l="12103" t="27934" r="23302" b="9378"/>
                    <a:stretch>
                      <a:fillRect/>
                    </a:stretch>
                  </pic:blipFill>
                  <pic:spPr bwMode="auto">
                    <a:xfrm>
                      <a:off x="0" y="0"/>
                      <a:ext cx="5106670" cy="3373120"/>
                    </a:xfrm>
                    <a:prstGeom prst="rect">
                      <a:avLst/>
                    </a:prstGeom>
                    <a:noFill/>
                    <a:ln>
                      <a:noFill/>
                    </a:ln>
                  </pic:spPr>
                </pic:pic>
              </a:graphicData>
            </a:graphic>
          </wp:inline>
        </w:drawing>
      </w:r>
    </w:p>
    <w:p w:rsidR="00251ABA" w:rsidRDefault="006B72EF" w:rsidP="00057B42">
      <w:pPr>
        <w:spacing w:before="240" w:line="360" w:lineRule="auto"/>
        <w:ind w:right="-1"/>
        <w:jc w:val="both"/>
        <w:rPr>
          <w:rFonts w:eastAsia="Times New Roman"/>
          <w:b/>
          <w:bCs/>
          <w:color w:val="000000"/>
          <w:lang w:eastAsia="en-US"/>
        </w:rPr>
      </w:pPr>
      <w:bookmarkStart w:id="1250" w:name="_Toc279441910"/>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32</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51" w:name="_Toc274587589"/>
      <w:r w:rsidR="00565A58">
        <w:rPr>
          <w:rFonts w:eastAsia="Times New Roman"/>
          <w:b/>
          <w:bCs/>
          <w:color w:val="000000"/>
          <w:lang w:eastAsia="en-US"/>
        </w:rPr>
        <w:t>T</w:t>
      </w:r>
      <w:r w:rsidRPr="006B72EF">
        <w:rPr>
          <w:rFonts w:eastAsia="Times New Roman"/>
          <w:b/>
          <w:bCs/>
          <w:color w:val="000000"/>
          <w:lang w:eastAsia="en-US"/>
        </w:rPr>
        <w:t>he 2D-DIGE data showed that TYR has a 1.32 (</w:t>
      </w:r>
      <w:r w:rsidR="0010315E" w:rsidRPr="0010315E">
        <w:rPr>
          <w:rFonts w:eastAsia="Times New Roman"/>
          <w:b/>
          <w:bCs/>
          <w:i/>
          <w:color w:val="000000"/>
          <w:lang w:eastAsia="en-US"/>
        </w:rPr>
        <w:t>p=</w:t>
      </w:r>
      <w:r w:rsidR="00DE2419">
        <w:rPr>
          <w:rFonts w:eastAsia="Times New Roman"/>
          <w:b/>
          <w:bCs/>
          <w:color w:val="000000"/>
          <w:lang w:eastAsia="en-US"/>
        </w:rPr>
        <w:t>0.0077)</w:t>
      </w:r>
      <w:r w:rsidRPr="006B72EF">
        <w:rPr>
          <w:rFonts w:eastAsia="Times New Roman"/>
          <w:b/>
          <w:bCs/>
          <w:color w:val="000000"/>
          <w:lang w:eastAsia="en-US"/>
        </w:rPr>
        <w:t xml:space="preserve"> fold increase in abundance level in the non-responders compared to responders to the thalidomide based therapy.</w:t>
      </w:r>
      <w:bookmarkEnd w:id="1250"/>
      <w:bookmarkEnd w:id="1251"/>
    </w:p>
    <w:p w:rsidR="00C1356C" w:rsidRDefault="00C1356C" w:rsidP="00057B42">
      <w:pPr>
        <w:pBdr>
          <w:bottom w:val="single" w:sz="12" w:space="1" w:color="auto"/>
        </w:pBdr>
        <w:spacing w:before="240" w:line="360" w:lineRule="auto"/>
        <w:ind w:right="-1"/>
        <w:jc w:val="both"/>
        <w:rPr>
          <w:rFonts w:eastAsia="Times New Roman"/>
          <w:b/>
          <w:bCs/>
          <w:color w:val="000000"/>
          <w:lang w:eastAsia="en-US"/>
        </w:rPr>
      </w:pPr>
    </w:p>
    <w:p w:rsidR="00C1356C" w:rsidRDefault="00C1356C" w:rsidP="00057B42">
      <w:pP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7D5C77A3" wp14:editId="5F66A5CB">
            <wp:extent cx="5219065" cy="5193030"/>
            <wp:effectExtent l="0" t="0" r="635" b="762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l="14554" t="2798" r="14369" b="2924"/>
                    <a:stretch>
                      <a:fillRect/>
                    </a:stretch>
                  </pic:blipFill>
                  <pic:spPr bwMode="auto">
                    <a:xfrm>
                      <a:off x="0" y="0"/>
                      <a:ext cx="5219065" cy="5193030"/>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52" w:name="_Toc279441911"/>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33</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53" w:name="_Toc274587590"/>
      <w:r w:rsidR="00565A58">
        <w:rPr>
          <w:rFonts w:eastAsia="Times New Roman"/>
          <w:b/>
          <w:bCs/>
          <w:color w:val="000000"/>
          <w:lang w:eastAsia="en-US"/>
        </w:rPr>
        <w:t>T</w:t>
      </w:r>
      <w:r w:rsidRPr="006B72EF">
        <w:rPr>
          <w:rFonts w:eastAsia="Times New Roman"/>
          <w:b/>
          <w:bCs/>
          <w:color w:val="000000"/>
          <w:lang w:eastAsia="en-US"/>
        </w:rPr>
        <w:t>he ROC curve was generated from the EL</w:t>
      </w:r>
      <w:r w:rsidR="00251ABA">
        <w:rPr>
          <w:rFonts w:eastAsia="Times New Roman"/>
          <w:b/>
          <w:bCs/>
          <w:color w:val="000000"/>
          <w:lang w:eastAsia="en-US"/>
        </w:rPr>
        <w:t>ISA data and showed an AUC 0.54</w:t>
      </w:r>
      <w:r w:rsidRPr="006B72EF">
        <w:rPr>
          <w:rFonts w:eastAsia="Times New Roman"/>
          <w:b/>
          <w:bCs/>
          <w:color w:val="000000"/>
          <w:lang w:eastAsia="en-US"/>
        </w:rPr>
        <w:t xml:space="preserve"> with</w:t>
      </w:r>
      <w:r w:rsidR="00DE2419">
        <w:rPr>
          <w:rFonts w:eastAsia="Times New Roman"/>
          <w:b/>
          <w:bCs/>
          <w:color w:val="000000"/>
          <w:lang w:eastAsia="en-US"/>
        </w:rPr>
        <w:t xml:space="preserve"> sensitivity of 68.2 and</w:t>
      </w:r>
      <w:r w:rsidR="00251ABA">
        <w:rPr>
          <w:rFonts w:eastAsia="Times New Roman"/>
          <w:b/>
          <w:bCs/>
          <w:color w:val="000000"/>
          <w:lang w:eastAsia="en-US"/>
        </w:rPr>
        <w:t xml:space="preserve"> </w:t>
      </w:r>
      <w:r w:rsidRPr="006B72EF">
        <w:rPr>
          <w:rFonts w:eastAsia="Times New Roman"/>
          <w:b/>
          <w:bCs/>
          <w:color w:val="000000"/>
          <w:lang w:eastAsia="en-US"/>
        </w:rPr>
        <w:t xml:space="preserve">specificity of 62.1 and </w:t>
      </w:r>
      <w:r w:rsidR="0010315E" w:rsidRPr="0010315E">
        <w:rPr>
          <w:rFonts w:eastAsia="Times New Roman"/>
          <w:b/>
          <w:bCs/>
          <w:i/>
          <w:color w:val="000000"/>
          <w:lang w:eastAsia="en-US"/>
        </w:rPr>
        <w:t>p=</w:t>
      </w:r>
      <w:r w:rsidRPr="006B72EF">
        <w:rPr>
          <w:rFonts w:eastAsia="Times New Roman"/>
          <w:b/>
          <w:bCs/>
          <w:color w:val="000000"/>
          <w:lang w:eastAsia="en-US"/>
        </w:rPr>
        <w:t xml:space="preserve">0.40. This data signifies that TYR </w:t>
      </w:r>
      <w:r w:rsidR="00251ABA">
        <w:rPr>
          <w:rFonts w:eastAsia="Times New Roman"/>
          <w:b/>
          <w:bCs/>
          <w:color w:val="000000"/>
          <w:lang w:eastAsia="en-US"/>
        </w:rPr>
        <w:t xml:space="preserve">as a single biomarker </w:t>
      </w:r>
      <w:r w:rsidRPr="006B72EF">
        <w:rPr>
          <w:rFonts w:eastAsia="Times New Roman"/>
          <w:b/>
          <w:bCs/>
          <w:color w:val="000000"/>
          <w:lang w:eastAsia="en-US"/>
        </w:rPr>
        <w:t>has minimal discriminatory value for predicting response to thalidomide.</w:t>
      </w:r>
      <w:bookmarkEnd w:id="1252"/>
      <w:bookmarkEnd w:id="1253"/>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251ABA" w:rsidRPr="006B72EF" w:rsidRDefault="00251ABA" w:rsidP="00057B42">
      <w:pPr>
        <w:spacing w:before="240" w:line="360" w:lineRule="auto"/>
        <w:ind w:right="-1"/>
        <w:jc w:val="both"/>
        <w:rPr>
          <w:rFonts w:eastAsia="Times New Roman"/>
          <w:b/>
          <w:bCs/>
          <w:color w:val="000000"/>
          <w:lang w:eastAsia="en-US"/>
        </w:rPr>
      </w:pPr>
    </w:p>
    <w:p w:rsidR="005810EB" w:rsidRDefault="00DE2419" w:rsidP="00645687">
      <w:pPr>
        <w:pStyle w:val="Heading4"/>
        <w:numPr>
          <w:ilvl w:val="0"/>
          <w:numId w:val="0"/>
        </w:numPr>
        <w:ind w:left="284"/>
      </w:pPr>
      <w:bookmarkStart w:id="1254" w:name="_Toc274586837"/>
      <w:bookmarkStart w:id="1255" w:name="_Toc274736194"/>
      <w:bookmarkStart w:id="1256" w:name="_Toc279658464"/>
      <w:bookmarkStart w:id="1257" w:name="_Toc306570687"/>
      <w:r>
        <w:tab/>
      </w:r>
      <w:bookmarkStart w:id="1258" w:name="_Toc307067749"/>
    </w:p>
    <w:p w:rsidR="005810EB" w:rsidRDefault="005810EB" w:rsidP="00057B42">
      <w:pPr>
        <w:spacing w:line="360" w:lineRule="auto"/>
        <w:rPr>
          <w:b/>
          <w:bCs/>
          <w:sz w:val="26"/>
          <w:szCs w:val="26"/>
          <w:lang w:eastAsia="en-US"/>
        </w:rPr>
      </w:pPr>
      <w:r>
        <w:br w:type="page"/>
      </w:r>
    </w:p>
    <w:p w:rsidR="006B72EF" w:rsidRDefault="005810EB" w:rsidP="00645687">
      <w:pPr>
        <w:pStyle w:val="Heading4"/>
      </w:pPr>
      <w:r>
        <w:lastRenderedPageBreak/>
        <w:tab/>
      </w:r>
      <w:bookmarkStart w:id="1259" w:name="_Toc312169321"/>
      <w:bookmarkStart w:id="1260" w:name="_Toc312172248"/>
      <w:bookmarkStart w:id="1261" w:name="_Toc312257797"/>
      <w:r w:rsidR="006B72EF" w:rsidRPr="006B72EF">
        <w:t>Protein Spot number 346</w:t>
      </w:r>
      <w:bookmarkEnd w:id="1254"/>
      <w:bookmarkEnd w:id="1255"/>
      <w:bookmarkEnd w:id="1256"/>
      <w:bookmarkEnd w:id="1257"/>
      <w:bookmarkEnd w:id="1258"/>
      <w:bookmarkEnd w:id="1259"/>
      <w:bookmarkEnd w:id="1260"/>
      <w:bookmarkEnd w:id="1261"/>
    </w:p>
    <w:p w:rsidR="006B72EF" w:rsidRPr="006B72EF" w:rsidRDefault="006B72EF" w:rsidP="00CC237F">
      <w:pPr>
        <w:spacing w:before="240" w:after="240" w:line="360" w:lineRule="auto"/>
        <w:jc w:val="both"/>
        <w:rPr>
          <w:rFonts w:eastAsia="Times New Roman"/>
          <w:color w:val="0D0D0D"/>
          <w:lang w:eastAsia="en-US"/>
        </w:rPr>
      </w:pPr>
      <w:r w:rsidRPr="006B72EF">
        <w:rPr>
          <w:rFonts w:eastAsia="Times New Roman"/>
          <w:color w:val="0D0D0D"/>
          <w:lang w:eastAsia="en-US"/>
        </w:rPr>
        <w:t>The 2D-DIGE data also showed that protein spot no 346 has</w:t>
      </w:r>
      <w:r w:rsidR="00DE2419">
        <w:rPr>
          <w:rFonts w:eastAsia="Times New Roman"/>
          <w:color w:val="0D0D0D"/>
          <w:lang w:eastAsia="en-US"/>
        </w:rPr>
        <w:t xml:space="preserve"> a</w:t>
      </w:r>
      <w:r w:rsidRPr="006B72EF">
        <w:rPr>
          <w:rFonts w:eastAsia="Times New Roman"/>
          <w:color w:val="0D0D0D"/>
          <w:lang w:eastAsia="en-US"/>
        </w:rPr>
        <w:t xml:space="preserve"> 4.2 (</w:t>
      </w:r>
      <w:r w:rsidR="0010315E" w:rsidRPr="0010315E">
        <w:rPr>
          <w:rFonts w:eastAsia="Times New Roman"/>
          <w:i/>
          <w:color w:val="0D0D0D"/>
          <w:lang w:eastAsia="en-US"/>
        </w:rPr>
        <w:t>p=</w:t>
      </w:r>
      <w:r w:rsidRPr="006B72EF">
        <w:rPr>
          <w:rFonts w:eastAsia="Times New Roman"/>
          <w:color w:val="0D0D0D"/>
          <w:lang w:eastAsia="en-US"/>
        </w:rPr>
        <w:t xml:space="preserve">0.007), fold increase in abundance level in the non-responders compared to responders to the thalidomide based regimen </w:t>
      </w:r>
      <w:r w:rsidR="00DC63E0" w:rsidRPr="006B72EF">
        <w:rPr>
          <w:rFonts w:eastAsia="Times New Roman"/>
          <w:color w:val="0D0D0D"/>
          <w:lang w:eastAsia="en-US"/>
        </w:rPr>
        <w:t xml:space="preserve">(Figure </w:t>
      </w:r>
      <w:r w:rsidR="00DC63E0">
        <w:rPr>
          <w:rFonts w:eastAsia="Times New Roman"/>
          <w:color w:val="0D0D0D"/>
          <w:lang w:eastAsia="en-US"/>
        </w:rPr>
        <w:t>3-</w:t>
      </w:r>
      <w:r w:rsidR="004C3BE1">
        <w:rPr>
          <w:rFonts w:eastAsia="Times New Roman"/>
          <w:color w:val="0D0D0D"/>
          <w:lang w:eastAsia="en-US"/>
        </w:rPr>
        <w:t>34</w:t>
      </w:r>
      <w:r w:rsidR="00DC63E0" w:rsidRPr="006B72EF">
        <w:rPr>
          <w:rFonts w:eastAsia="Times New Roman"/>
          <w:color w:val="0D0D0D"/>
          <w:lang w:eastAsia="en-US"/>
        </w:rPr>
        <w:t>)</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However this protein spot </w:t>
      </w:r>
      <w:r w:rsidR="007A186C">
        <w:rPr>
          <w:rFonts w:eastAsia="Times New Roman"/>
          <w:color w:val="0D0D0D"/>
          <w:lang w:eastAsia="en-US"/>
        </w:rPr>
        <w:t xml:space="preserve">was </w:t>
      </w:r>
      <w:r w:rsidRPr="006B72EF">
        <w:rPr>
          <w:rFonts w:eastAsia="Times New Roman"/>
          <w:color w:val="0D0D0D"/>
          <w:lang w:eastAsia="en-US"/>
        </w:rPr>
        <w:t>expressed at very low abundance levels and we were unable to identify this protein using Liquid Chromatography Mass Spectrometry analysis.</w:t>
      </w: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drawing>
          <wp:inline distT="0" distB="0" distL="0" distR="0" wp14:anchorId="391AE943" wp14:editId="587382E2">
            <wp:extent cx="4624070" cy="3847465"/>
            <wp:effectExtent l="0" t="0" r="5080" b="635"/>
            <wp:docPr id="54" name="Pictur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rrowheads="1"/>
                    </pic:cNvPicPr>
                  </pic:nvPicPr>
                  <pic:blipFill>
                    <a:blip r:embed="rId79" cstate="print">
                      <a:extLst>
                        <a:ext uri="{28A0092B-C50C-407E-A947-70E740481C1C}">
                          <a14:useLocalDpi xmlns:a14="http://schemas.microsoft.com/office/drawing/2010/main" val="0"/>
                        </a:ext>
                      </a:extLst>
                    </a:blip>
                    <a:srcRect l="12444" t="26659" r="27080" b="6717"/>
                    <a:stretch>
                      <a:fillRect/>
                    </a:stretch>
                  </pic:blipFill>
                  <pic:spPr bwMode="auto">
                    <a:xfrm>
                      <a:off x="0" y="0"/>
                      <a:ext cx="4624070" cy="3847465"/>
                    </a:xfrm>
                    <a:prstGeom prst="rect">
                      <a:avLst/>
                    </a:prstGeom>
                    <a:noFill/>
                    <a:ln>
                      <a:noFill/>
                    </a:ln>
                  </pic:spPr>
                </pic:pic>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262" w:name="_Toc279441912"/>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34</w:t>
      </w:r>
      <w:r w:rsidR="008A68DC">
        <w:rPr>
          <w:rFonts w:eastAsia="Times New Roman"/>
          <w:b/>
          <w:bCs/>
          <w:color w:val="000000"/>
          <w:lang w:eastAsia="en-US"/>
        </w:rPr>
        <w:fldChar w:fldCharType="end"/>
      </w:r>
      <w:r w:rsidRPr="006B72EF">
        <w:rPr>
          <w:rFonts w:eastAsia="Times New Roman"/>
          <w:b/>
          <w:bCs/>
          <w:color w:val="000000"/>
          <w:lang w:eastAsia="en-US"/>
        </w:rPr>
        <w:t xml:space="preserve"> </w:t>
      </w:r>
      <w:bookmarkStart w:id="1263" w:name="_Toc274587591"/>
      <w:r w:rsidR="00565A58">
        <w:rPr>
          <w:rFonts w:eastAsia="Times New Roman"/>
          <w:b/>
          <w:bCs/>
          <w:color w:val="000000"/>
          <w:lang w:eastAsia="en-US"/>
        </w:rPr>
        <w:t>T</w:t>
      </w:r>
      <w:r w:rsidRPr="006B72EF">
        <w:rPr>
          <w:rFonts w:eastAsia="Times New Roman"/>
          <w:b/>
          <w:bCs/>
          <w:color w:val="000000"/>
          <w:lang w:eastAsia="en-US"/>
        </w:rPr>
        <w:t>he 2D-DIGE data showed that protein spot no 346 has a 2.39 (</w:t>
      </w:r>
      <w:r w:rsidR="0010315E" w:rsidRPr="0010315E">
        <w:rPr>
          <w:rFonts w:eastAsia="Times New Roman"/>
          <w:b/>
          <w:bCs/>
          <w:i/>
          <w:color w:val="000000"/>
          <w:lang w:eastAsia="en-US"/>
        </w:rPr>
        <w:t>p=</w:t>
      </w:r>
      <w:r w:rsidR="00DE2419">
        <w:rPr>
          <w:rFonts w:eastAsia="Times New Roman"/>
          <w:b/>
          <w:bCs/>
          <w:color w:val="000000"/>
          <w:lang w:eastAsia="en-US"/>
        </w:rPr>
        <w:t>0.007)</w:t>
      </w:r>
      <w:r w:rsidRPr="006B72EF">
        <w:rPr>
          <w:rFonts w:eastAsia="Times New Roman"/>
          <w:b/>
          <w:bCs/>
          <w:color w:val="000000"/>
          <w:lang w:eastAsia="en-US"/>
        </w:rPr>
        <w:t xml:space="preserve"> fold increase in abundance level in the non-responders compared to responders to the thalidomide based therapy.</w:t>
      </w:r>
      <w:bookmarkEnd w:id="1262"/>
      <w:bookmarkEnd w:id="1263"/>
    </w:p>
    <w:p w:rsidR="00251ABA" w:rsidRDefault="00251ABA" w:rsidP="00057B42">
      <w:pPr>
        <w:pBdr>
          <w:bottom w:val="single" w:sz="12" w:space="1" w:color="auto"/>
        </w:pBdr>
        <w:spacing w:before="240" w:line="360" w:lineRule="auto"/>
        <w:ind w:right="-1"/>
        <w:jc w:val="both"/>
        <w:rPr>
          <w:rFonts w:eastAsia="Times New Roman"/>
          <w:b/>
          <w:bCs/>
          <w:color w:val="000000"/>
          <w:lang w:eastAsia="en-US"/>
        </w:rPr>
      </w:pPr>
    </w:p>
    <w:p w:rsidR="005810EB" w:rsidRDefault="005810EB" w:rsidP="00057B42">
      <w:pPr>
        <w:spacing w:line="360" w:lineRule="auto"/>
      </w:pPr>
      <w:bookmarkStart w:id="1264" w:name="_Toc274586838"/>
      <w:bookmarkStart w:id="1265" w:name="_Toc274736195"/>
    </w:p>
    <w:p w:rsidR="00424953" w:rsidRDefault="00424953" w:rsidP="00057B42">
      <w:pPr>
        <w:spacing w:line="360" w:lineRule="auto"/>
      </w:pPr>
    </w:p>
    <w:p w:rsidR="006B72EF" w:rsidRPr="004C3BE1" w:rsidRDefault="006B72EF" w:rsidP="004C3BE1">
      <w:r w:rsidRPr="006B72EF">
        <w:tab/>
      </w:r>
      <w:bookmarkEnd w:id="1264"/>
      <w:bookmarkEnd w:id="1265"/>
    </w:p>
    <w:p w:rsidR="006B72EF" w:rsidRPr="006B72EF" w:rsidRDefault="006B72EF" w:rsidP="00057B42">
      <w:pPr>
        <w:spacing w:after="240" w:line="360" w:lineRule="auto"/>
        <w:jc w:val="both"/>
        <w:rPr>
          <w:rFonts w:eastAsia="Times New Roman"/>
          <w:color w:val="0D0D0D"/>
          <w:lang w:eastAsia="en-US"/>
        </w:rPr>
      </w:pPr>
    </w:p>
    <w:p w:rsidR="006B72EF" w:rsidRDefault="00461ED8" w:rsidP="00645687">
      <w:pPr>
        <w:pStyle w:val="Heading3"/>
      </w:pPr>
      <w:bookmarkStart w:id="1266" w:name="_Toc274586840"/>
      <w:bookmarkStart w:id="1267" w:name="_Toc274736197"/>
      <w:bookmarkStart w:id="1268" w:name="_Toc279658466"/>
      <w:r>
        <w:lastRenderedPageBreak/>
        <w:tab/>
      </w:r>
      <w:bookmarkStart w:id="1269" w:name="_Toc306570689"/>
      <w:bookmarkStart w:id="1270" w:name="_Toc307067751"/>
      <w:bookmarkStart w:id="1271" w:name="_Toc312169322"/>
      <w:bookmarkStart w:id="1272" w:name="_Toc312172249"/>
      <w:bookmarkStart w:id="1273" w:name="_Toc312257798"/>
      <w:r w:rsidR="006B72EF" w:rsidRPr="006B72EF">
        <w:t>Principal Components Analysis (PCA)</w:t>
      </w:r>
      <w:bookmarkEnd w:id="1266"/>
      <w:bookmarkEnd w:id="1267"/>
      <w:bookmarkEnd w:id="1268"/>
      <w:bookmarkEnd w:id="1269"/>
      <w:bookmarkEnd w:id="1270"/>
      <w:bookmarkEnd w:id="1271"/>
      <w:bookmarkEnd w:id="1272"/>
      <w:bookmarkEnd w:id="1273"/>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PCA was initially used in order to determine if it was possible to cluster the responders and the non-responders to thalidomide, based on the combination of differentially expressed proteins discovered by the 2D-DIGE techniques.</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PCA is a mathematical procedure which takes a set of data from the preconditions data set. It rotates the data and condenses many correlated variables into a lesser number of uncorrelated principle components. Essentially, a set of correlated variables are transformed into a set of uncorrelated variables by reducing variability’s with the minimum loss of real research based data.</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Figure</w:t>
      </w:r>
      <w:r w:rsidR="00461ED8">
        <w:rPr>
          <w:rFonts w:eastAsia="Times New Roman"/>
          <w:color w:val="0D0D0D"/>
          <w:lang w:eastAsia="en-US"/>
        </w:rPr>
        <w:t>s</w:t>
      </w:r>
      <w:r w:rsidRPr="006B72EF">
        <w:rPr>
          <w:rFonts w:eastAsia="Times New Roman"/>
          <w:color w:val="0D0D0D"/>
          <w:lang w:eastAsia="en-US"/>
        </w:rPr>
        <w:t xml:space="preserve"> </w:t>
      </w:r>
      <w:r w:rsidR="00565A58">
        <w:rPr>
          <w:rFonts w:eastAsia="Times New Roman"/>
          <w:color w:val="0D0D0D"/>
          <w:lang w:eastAsia="en-US"/>
        </w:rPr>
        <w:t>3-35</w:t>
      </w:r>
      <w:r w:rsidR="00461ED8">
        <w:rPr>
          <w:rFonts w:eastAsia="Times New Roman"/>
          <w:color w:val="0D0D0D"/>
          <w:lang w:eastAsia="en-US"/>
        </w:rPr>
        <w:t xml:space="preserve"> to 3</w:t>
      </w:r>
      <w:r w:rsidR="00565A58">
        <w:rPr>
          <w:rFonts w:eastAsia="Times New Roman"/>
          <w:color w:val="0D0D0D"/>
          <w:lang w:eastAsia="en-US"/>
        </w:rPr>
        <w:t>-37</w:t>
      </w:r>
      <w:r w:rsidR="004C3BE1">
        <w:rPr>
          <w:rFonts w:eastAsia="Times New Roman"/>
          <w:color w:val="0D0D0D"/>
          <w:lang w:eastAsia="en-US"/>
        </w:rPr>
        <w:t xml:space="preserve"> </w:t>
      </w:r>
      <w:r w:rsidR="004D56C5">
        <w:rPr>
          <w:rFonts w:eastAsia="Times New Roman"/>
          <w:color w:val="0D0D0D"/>
          <w:lang w:eastAsia="en-US"/>
        </w:rPr>
        <w:t>illustrate</w:t>
      </w:r>
      <w:r w:rsidRPr="006B72EF">
        <w:rPr>
          <w:rFonts w:eastAsia="Times New Roman"/>
          <w:color w:val="0D0D0D"/>
          <w:lang w:eastAsia="en-US"/>
        </w:rPr>
        <w:t xml:space="preserve"> the various combinations of differentially expressed proteins. Each dot on these figure plots represents a protein from a clinical sample. The circle on the plot represents a 95% confidence interval within which the expression of a true protein is expected to lie based on the general expression patterns in the spot maps.</w:t>
      </w:r>
    </w:p>
    <w:p w:rsidR="006B72EF" w:rsidRPr="006B72EF" w:rsidRDefault="00DE2419" w:rsidP="00057B42">
      <w:pPr>
        <w:spacing w:after="240" w:line="360" w:lineRule="auto"/>
        <w:jc w:val="both"/>
        <w:rPr>
          <w:rFonts w:eastAsia="Times New Roman"/>
          <w:color w:val="0D0D0D"/>
          <w:lang w:eastAsia="en-US"/>
        </w:rPr>
      </w:pPr>
      <w:r>
        <w:rPr>
          <w:rFonts w:eastAsia="Times New Roman"/>
          <w:color w:val="0D0D0D"/>
          <w:lang w:eastAsia="en-US"/>
        </w:rPr>
        <w:t>Each of</w:t>
      </w:r>
      <w:r w:rsidR="006B72EF" w:rsidRPr="006B72EF">
        <w:rPr>
          <w:rFonts w:eastAsia="Times New Roman"/>
          <w:color w:val="0D0D0D"/>
          <w:lang w:eastAsia="en-US"/>
        </w:rPr>
        <w:t xml:space="preserve"> red and purple dots </w:t>
      </w:r>
      <w:r w:rsidRPr="006B72EF">
        <w:rPr>
          <w:rFonts w:eastAsia="Times New Roman"/>
          <w:color w:val="0D0D0D"/>
          <w:lang w:eastAsia="en-US"/>
        </w:rPr>
        <w:t>represents</w:t>
      </w:r>
      <w:r w:rsidR="006B72EF" w:rsidRPr="006B72EF">
        <w:rPr>
          <w:rFonts w:eastAsia="Times New Roman"/>
          <w:color w:val="0D0D0D"/>
          <w:lang w:eastAsia="en-US"/>
        </w:rPr>
        <w:t xml:space="preserve"> a clinical sample from responders and non-responders to thalidomide based therapy respectively. The aim is to locate same distinct clinical samples group in the individual areas, i.e. confined in one half of the plot.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spot maps located outside the 95% were considered outlier</w:t>
      </w:r>
      <w:r w:rsidR="004C3BE1">
        <w:rPr>
          <w:rFonts w:eastAsia="Times New Roman"/>
          <w:color w:val="0D0D0D"/>
          <w:lang w:eastAsia="en-US"/>
        </w:rPr>
        <w:t>s</w:t>
      </w:r>
      <w:r w:rsidRPr="006B72EF">
        <w:rPr>
          <w:rFonts w:eastAsia="Times New Roman"/>
          <w:color w:val="0D0D0D"/>
          <w:lang w:eastAsia="en-US"/>
        </w:rPr>
        <w:t xml:space="preserve"> due to </w:t>
      </w:r>
      <w:r w:rsidR="00DE2419">
        <w:rPr>
          <w:rFonts w:eastAsia="Times New Roman"/>
          <w:color w:val="0D0D0D"/>
          <w:lang w:eastAsia="en-US"/>
        </w:rPr>
        <w:t xml:space="preserve">the </w:t>
      </w:r>
      <w:r w:rsidRPr="006B72EF">
        <w:rPr>
          <w:rFonts w:eastAsia="Times New Roman"/>
          <w:color w:val="0D0D0D"/>
          <w:lang w:eastAsia="en-US"/>
        </w:rPr>
        <w:t>heterogen</w:t>
      </w:r>
      <w:r w:rsidR="00DE2419">
        <w:rPr>
          <w:rFonts w:eastAsia="Times New Roman"/>
          <w:color w:val="0D0D0D"/>
          <w:lang w:eastAsia="en-US"/>
        </w:rPr>
        <w:t>eity of the clinical samples. However</w:t>
      </w:r>
      <w:r w:rsidRPr="006B72EF">
        <w:rPr>
          <w:rFonts w:eastAsia="Times New Roman"/>
          <w:color w:val="0D0D0D"/>
          <w:lang w:eastAsia="en-US"/>
        </w:rPr>
        <w:t xml:space="preserve"> they were included in the </w:t>
      </w:r>
      <w:r w:rsidR="00DE2419">
        <w:rPr>
          <w:rFonts w:eastAsia="Times New Roman"/>
          <w:color w:val="0D0D0D"/>
          <w:lang w:eastAsia="en-US"/>
        </w:rPr>
        <w:t xml:space="preserve">final </w:t>
      </w:r>
      <w:r w:rsidRPr="006B72EF">
        <w:rPr>
          <w:rFonts w:eastAsia="Times New Roman"/>
          <w:color w:val="0D0D0D"/>
          <w:lang w:eastAsia="en-US"/>
        </w:rPr>
        <w:t>analysis.</w:t>
      </w:r>
    </w:p>
    <w:p w:rsidR="006B72EF" w:rsidRPr="006B72EF" w:rsidRDefault="006B72EF" w:rsidP="00057B42">
      <w:pPr>
        <w:keepNext/>
        <w:spacing w:after="240" w:line="360" w:lineRule="auto"/>
        <w:ind w:firstLine="357"/>
        <w:rPr>
          <w:rFonts w:eastAsia="Times New Roman"/>
          <w:color w:val="0D0D0D"/>
          <w:lang w:eastAsia="en-US"/>
        </w:rPr>
      </w:pPr>
    </w:p>
    <w:p w:rsidR="006B72EF" w:rsidRPr="006B72EF" w:rsidRDefault="006B72EF" w:rsidP="00057B42">
      <w:pPr>
        <w:spacing w:after="240" w:line="360" w:lineRule="auto"/>
        <w:ind w:firstLine="357"/>
        <w:rPr>
          <w:rFonts w:eastAsia="Times New Roman"/>
          <w:color w:val="0D0D0D"/>
          <w:lang w:eastAsia="en-US"/>
        </w:rPr>
      </w:pPr>
      <w:r w:rsidRPr="006B72EF">
        <w:rPr>
          <w:rFonts w:eastAsia="Times New Roman"/>
          <w:color w:val="0D0D0D"/>
          <w:lang w:eastAsia="en-US"/>
        </w:rPr>
        <w:br w:type="page"/>
      </w: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6271063F" wp14:editId="2509792D">
            <wp:extent cx="5219065" cy="3968115"/>
            <wp:effectExtent l="0" t="0" r="635" b="0"/>
            <wp:docPr id="55"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19065" cy="3968115"/>
                    </a:xfrm>
                    <a:prstGeom prst="rect">
                      <a:avLst/>
                    </a:prstGeom>
                    <a:noFill/>
                    <a:ln>
                      <a:noFill/>
                    </a:ln>
                  </pic:spPr>
                </pic:pic>
              </a:graphicData>
            </a:graphic>
          </wp:inline>
        </w:drawing>
      </w:r>
    </w:p>
    <w:p w:rsidR="006B72EF" w:rsidRDefault="006B72EF" w:rsidP="00057B42">
      <w:pPr>
        <w:spacing w:after="240" w:line="360" w:lineRule="auto"/>
        <w:jc w:val="both"/>
        <w:rPr>
          <w:rFonts w:eastAsia="Times New Roman"/>
          <w:b/>
          <w:color w:val="0D0D0D"/>
          <w:lang w:eastAsia="en-US"/>
        </w:rPr>
      </w:pPr>
      <w:bookmarkStart w:id="1274" w:name="_Toc274587592"/>
      <w:bookmarkStart w:id="1275" w:name="_Toc279441913"/>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35</w:t>
      </w:r>
      <w:r w:rsidR="008A68DC">
        <w:rPr>
          <w:rFonts w:eastAsia="Times New Roman"/>
          <w:b/>
          <w:color w:val="0D0D0D"/>
          <w:lang w:eastAsia="en-US"/>
        </w:rPr>
        <w:fldChar w:fldCharType="end"/>
      </w:r>
      <w:r w:rsidRPr="006B72EF">
        <w:rPr>
          <w:rFonts w:eastAsia="Times New Roman"/>
          <w:b/>
          <w:color w:val="0D0D0D"/>
          <w:lang w:eastAsia="en-US"/>
        </w:rPr>
        <w:t xml:space="preserve"> shows that using the PCA analysis, the various discovered protein combinations were assessed. The best possible combination was for the ZAG, VDB, SAA, Hp, and Protein Spot number 346. As shown above the protein spots from each experimental group i.e.  responders and non-responders to the thalidomide based regimen are clustered into </w:t>
      </w:r>
      <w:r w:rsidR="00BB5AA4">
        <w:rPr>
          <w:rFonts w:eastAsia="Times New Roman"/>
          <w:b/>
          <w:color w:val="0D0D0D"/>
          <w:lang w:eastAsia="en-US"/>
        </w:rPr>
        <w:t xml:space="preserve">the </w:t>
      </w:r>
      <w:r w:rsidRPr="006B72EF">
        <w:rPr>
          <w:rFonts w:eastAsia="Times New Roman"/>
          <w:b/>
          <w:color w:val="0D0D0D"/>
          <w:lang w:eastAsia="en-US"/>
        </w:rPr>
        <w:t>same distinct areas, i.e. contained in one half of the plot, except one non-responder patient. There was also one non-responders classified as an outlier in this study.</w:t>
      </w:r>
      <w:bookmarkEnd w:id="1274"/>
      <w:bookmarkEnd w:id="1275"/>
    </w:p>
    <w:p w:rsidR="005810EB" w:rsidRDefault="005810EB" w:rsidP="00057B42">
      <w:pPr>
        <w:pBdr>
          <w:bottom w:val="single" w:sz="12" w:space="1" w:color="auto"/>
        </w:pBdr>
        <w:spacing w:after="240" w:line="360" w:lineRule="auto"/>
        <w:jc w:val="both"/>
        <w:rPr>
          <w:rFonts w:eastAsia="Times New Roman"/>
          <w:b/>
          <w:color w:val="0D0D0D"/>
          <w:lang w:eastAsia="en-US"/>
        </w:rPr>
      </w:pPr>
    </w:p>
    <w:p w:rsidR="005810EB" w:rsidRPr="006B72EF" w:rsidRDefault="005810EB" w:rsidP="00057B42">
      <w:pPr>
        <w:spacing w:after="240" w:line="360" w:lineRule="auto"/>
        <w:jc w:val="both"/>
        <w:rPr>
          <w:rFonts w:eastAsia="Times New Roman"/>
          <w:b/>
          <w:color w:val="0D0D0D"/>
          <w:lang w:eastAsia="en-US"/>
        </w:rPr>
      </w:pP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777A8877" wp14:editId="32D22442">
            <wp:extent cx="5089525" cy="4140835"/>
            <wp:effectExtent l="0" t="0" r="0" b="0"/>
            <wp:docPr id="56"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89525" cy="4140835"/>
                    </a:xfrm>
                    <a:prstGeom prst="rect">
                      <a:avLst/>
                    </a:prstGeom>
                    <a:noFill/>
                    <a:ln>
                      <a:noFill/>
                    </a:ln>
                  </pic:spPr>
                </pic:pic>
              </a:graphicData>
            </a:graphic>
          </wp:inline>
        </w:drawing>
      </w:r>
    </w:p>
    <w:p w:rsidR="00461ED8" w:rsidRDefault="006B72EF" w:rsidP="00057B42">
      <w:pPr>
        <w:spacing w:after="240" w:line="360" w:lineRule="auto"/>
        <w:jc w:val="both"/>
        <w:rPr>
          <w:rFonts w:eastAsia="Times New Roman"/>
          <w:b/>
          <w:color w:val="0D0D0D"/>
          <w:lang w:eastAsia="en-US"/>
        </w:rPr>
      </w:pPr>
      <w:bookmarkStart w:id="1276" w:name="_Toc274587593"/>
      <w:bookmarkStart w:id="1277" w:name="_Toc279441914"/>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36</w:t>
      </w:r>
      <w:r w:rsidR="008A68DC">
        <w:rPr>
          <w:rFonts w:eastAsia="Times New Roman"/>
          <w:b/>
          <w:color w:val="0D0D0D"/>
          <w:lang w:eastAsia="en-US"/>
        </w:rPr>
        <w:fldChar w:fldCharType="end"/>
      </w:r>
      <w:r w:rsidRPr="006B72EF">
        <w:rPr>
          <w:rFonts w:eastAsia="Times New Roman"/>
          <w:b/>
          <w:color w:val="0D0D0D"/>
          <w:lang w:eastAsia="en-US"/>
        </w:rPr>
        <w:t xml:space="preserve"> shows the PCA analysis using the combination of ZAG, VDB, TYR, and Protein Spot number 346. The protein spots from each experimental group, i.e.  responders and non-responders to the thalidomide based regimen are clustered in one half of the plot apart from one responder and one non</w:t>
      </w:r>
      <w:r w:rsidR="005D74B5">
        <w:rPr>
          <w:rFonts w:eastAsia="Times New Roman"/>
          <w:b/>
          <w:color w:val="0D0D0D"/>
          <w:lang w:eastAsia="en-US"/>
        </w:rPr>
        <w:t>-</w:t>
      </w:r>
      <w:r w:rsidRPr="006B72EF">
        <w:rPr>
          <w:rFonts w:eastAsia="Times New Roman"/>
          <w:b/>
          <w:color w:val="0D0D0D"/>
          <w:lang w:eastAsia="en-US"/>
        </w:rPr>
        <w:t xml:space="preserve"> responders patient. There were also </w:t>
      </w:r>
      <w:r w:rsidR="00B83E7C">
        <w:rPr>
          <w:rFonts w:eastAsia="Times New Roman"/>
          <w:b/>
          <w:color w:val="0D0D0D"/>
          <w:lang w:eastAsia="en-US"/>
        </w:rPr>
        <w:t xml:space="preserve">two outliers in this study, one </w:t>
      </w:r>
      <w:r w:rsidRPr="006B72EF">
        <w:rPr>
          <w:rFonts w:eastAsia="Times New Roman"/>
          <w:b/>
          <w:color w:val="0D0D0D"/>
          <w:lang w:eastAsia="en-US"/>
        </w:rPr>
        <w:t>non-responders and one responder patients</w:t>
      </w:r>
      <w:bookmarkEnd w:id="1276"/>
      <w:bookmarkEnd w:id="1277"/>
      <w:r w:rsidRPr="006B72EF">
        <w:rPr>
          <w:rFonts w:eastAsia="Times New Roman"/>
          <w:b/>
          <w:color w:val="0D0D0D"/>
          <w:lang w:eastAsia="en-US"/>
        </w:rPr>
        <w:t>.</w:t>
      </w:r>
    </w:p>
    <w:p w:rsidR="005810EB" w:rsidRDefault="005810EB" w:rsidP="00057B42">
      <w:pPr>
        <w:pBdr>
          <w:bottom w:val="single" w:sz="12" w:space="1" w:color="auto"/>
        </w:pBdr>
        <w:spacing w:after="240" w:line="360" w:lineRule="auto"/>
        <w:jc w:val="both"/>
        <w:rPr>
          <w:rFonts w:eastAsia="Times New Roman"/>
          <w:b/>
          <w:color w:val="0D0D0D"/>
          <w:lang w:eastAsia="en-US"/>
        </w:rPr>
      </w:pPr>
    </w:p>
    <w:p w:rsidR="005810EB" w:rsidRDefault="005810EB" w:rsidP="00057B42">
      <w:pPr>
        <w:spacing w:after="240" w:line="360" w:lineRule="auto"/>
        <w:jc w:val="both"/>
        <w:rPr>
          <w:rFonts w:eastAsia="Times New Roman"/>
          <w:b/>
          <w:color w:val="0D0D0D"/>
          <w:lang w:eastAsia="en-US"/>
        </w:rPr>
      </w:pP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42C5C886" wp14:editId="38AAA0A3">
            <wp:extent cx="5184775" cy="4011295"/>
            <wp:effectExtent l="0" t="0" r="0" b="8255"/>
            <wp:docPr id="57"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82" cstate="print">
                      <a:extLst>
                        <a:ext uri="{28A0092B-C50C-407E-A947-70E740481C1C}">
                          <a14:useLocalDpi xmlns:a14="http://schemas.microsoft.com/office/drawing/2010/main" val="0"/>
                        </a:ext>
                      </a:extLst>
                    </a:blip>
                    <a:srcRect r="4066"/>
                    <a:stretch>
                      <a:fillRect/>
                    </a:stretch>
                  </pic:blipFill>
                  <pic:spPr bwMode="auto">
                    <a:xfrm>
                      <a:off x="0" y="0"/>
                      <a:ext cx="5184775" cy="4011295"/>
                    </a:xfrm>
                    <a:prstGeom prst="rect">
                      <a:avLst/>
                    </a:prstGeom>
                    <a:noFill/>
                    <a:ln>
                      <a:noFill/>
                    </a:ln>
                  </pic:spPr>
                </pic:pic>
              </a:graphicData>
            </a:graphic>
          </wp:inline>
        </w:drawing>
      </w:r>
    </w:p>
    <w:p w:rsidR="00461ED8" w:rsidRDefault="006B72EF" w:rsidP="00057B42">
      <w:pPr>
        <w:spacing w:after="240" w:line="360" w:lineRule="auto"/>
        <w:jc w:val="both"/>
        <w:rPr>
          <w:rFonts w:eastAsia="Times New Roman"/>
          <w:b/>
          <w:color w:val="0D0D0D"/>
          <w:lang w:eastAsia="en-US"/>
        </w:rPr>
      </w:pPr>
      <w:bookmarkStart w:id="1278" w:name="_Toc274587594"/>
      <w:bookmarkStart w:id="1279" w:name="_Toc279441915"/>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37</w:t>
      </w:r>
      <w:r w:rsidR="008A68DC">
        <w:rPr>
          <w:rFonts w:eastAsia="Times New Roman"/>
          <w:b/>
          <w:color w:val="0D0D0D"/>
          <w:lang w:eastAsia="en-US"/>
        </w:rPr>
        <w:fldChar w:fldCharType="end"/>
      </w:r>
      <w:r w:rsidRPr="006B72EF">
        <w:rPr>
          <w:rFonts w:eastAsia="Times New Roman"/>
          <w:b/>
          <w:color w:val="0D0D0D"/>
          <w:lang w:eastAsia="en-US"/>
        </w:rPr>
        <w:t xml:space="preserve">  The above is a PCA analysis for the 3rd best protein combination. This combination was assessed for the ZAG, VDB, Hp, and SAA. As shown the protein spots from each experimental group i.e. responders and non-responders to the thalidomide based regimen are mostly clustered in one half of the plot except one responder and one </w:t>
      </w:r>
      <w:r w:rsidR="00B83E7C">
        <w:rPr>
          <w:rFonts w:eastAsia="Times New Roman"/>
          <w:b/>
          <w:color w:val="0D0D0D"/>
          <w:lang w:eastAsia="en-US"/>
        </w:rPr>
        <w:t>non responder</w:t>
      </w:r>
      <w:r w:rsidR="00461ED8">
        <w:rPr>
          <w:rFonts w:eastAsia="Times New Roman"/>
          <w:b/>
          <w:color w:val="0D0D0D"/>
          <w:lang w:eastAsia="en-US"/>
        </w:rPr>
        <w:t xml:space="preserve"> patient. T</w:t>
      </w:r>
      <w:r w:rsidRPr="006B72EF">
        <w:rPr>
          <w:rFonts w:eastAsia="Times New Roman"/>
          <w:b/>
          <w:color w:val="0D0D0D"/>
          <w:lang w:eastAsia="en-US"/>
        </w:rPr>
        <w:t>here were two non-responders outlier in this study.</w:t>
      </w:r>
      <w:bookmarkEnd w:id="1278"/>
      <w:bookmarkEnd w:id="1279"/>
    </w:p>
    <w:p w:rsidR="005810EB" w:rsidRDefault="005810EB" w:rsidP="00057B42">
      <w:pPr>
        <w:pBdr>
          <w:bottom w:val="single" w:sz="12" w:space="1" w:color="auto"/>
        </w:pBdr>
        <w:spacing w:after="240" w:line="360" w:lineRule="auto"/>
        <w:jc w:val="both"/>
        <w:rPr>
          <w:rFonts w:eastAsia="Times New Roman"/>
          <w:b/>
          <w:color w:val="0D0D0D"/>
          <w:lang w:eastAsia="en-US"/>
        </w:rPr>
      </w:pPr>
    </w:p>
    <w:p w:rsidR="005810EB" w:rsidRDefault="005810EB" w:rsidP="00057B42">
      <w:pPr>
        <w:spacing w:after="240" w:line="360" w:lineRule="auto"/>
        <w:jc w:val="both"/>
        <w:rPr>
          <w:rFonts w:eastAsia="Times New Roman"/>
          <w:b/>
          <w:color w:val="0D0D0D"/>
          <w:lang w:eastAsia="en-US"/>
        </w:rPr>
      </w:pPr>
    </w:p>
    <w:p w:rsidR="00461ED8" w:rsidRPr="006B72EF" w:rsidRDefault="00461ED8"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565A58" w:rsidRDefault="00565A58" w:rsidP="00057B42">
      <w:pPr>
        <w:spacing w:line="360" w:lineRule="auto"/>
        <w:rPr>
          <w:rFonts w:eastAsia="Times New Roman"/>
          <w:color w:val="0D0D0D"/>
          <w:lang w:eastAsia="en-US"/>
        </w:rPr>
      </w:pPr>
      <w:r w:rsidRPr="00565A58">
        <w:rPr>
          <w:rFonts w:eastAsia="Times New Roman"/>
          <w:b/>
          <w:bCs/>
          <w:noProof/>
          <w:color w:val="000000"/>
          <w:lang w:eastAsia="en-IE"/>
        </w:rPr>
        <w:lastRenderedPageBreak/>
        <mc:AlternateContent>
          <mc:Choice Requires="wps">
            <w:drawing>
              <wp:anchor distT="0" distB="0" distL="114300" distR="114300" simplePos="0" relativeHeight="251660800" behindDoc="0" locked="0" layoutInCell="1" allowOverlap="1" wp14:anchorId="04E14C88" wp14:editId="5241C38A">
                <wp:simplePos x="0" y="0"/>
                <wp:positionH relativeFrom="column">
                  <wp:posOffset>1205865</wp:posOffset>
                </wp:positionH>
                <wp:positionV relativeFrom="paragraph">
                  <wp:posOffset>29210</wp:posOffset>
                </wp:positionV>
                <wp:extent cx="3002280" cy="8747817"/>
                <wp:effectExtent l="0" t="0" r="7620" b="0"/>
                <wp:wrapNone/>
                <wp:docPr id="290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280" cy="8747817"/>
                        </a:xfrm>
                        <a:prstGeom prst="rect">
                          <a:avLst/>
                        </a:prstGeom>
                        <a:solidFill>
                          <a:srgbClr val="FFFFFF"/>
                        </a:solidFill>
                        <a:ln w="9525">
                          <a:noFill/>
                          <a:miter lim="800000"/>
                          <a:headEnd/>
                          <a:tailEnd/>
                        </a:ln>
                      </wps:spPr>
                      <wps:txbx>
                        <w:txbxContent>
                          <w:p w:rsidR="004B395A" w:rsidRDefault="004B395A" w:rsidP="004C3BE1">
                            <w:pPr>
                              <w:pBdr>
                                <w:bottom w:val="single" w:sz="12" w:space="1" w:color="auto"/>
                              </w:pBdr>
                              <w:spacing w:before="240" w:line="276"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Pr>
                                <w:rFonts w:eastAsia="Times New Roman"/>
                                <w:b/>
                                <w:bCs/>
                                <w:color w:val="000000"/>
                                <w:lang w:eastAsia="en-US"/>
                              </w:rPr>
                              <w:fldChar w:fldCharType="begin"/>
                            </w:r>
                            <w:r>
                              <w:rPr>
                                <w:rFonts w:eastAsia="Times New Roman"/>
                                <w:b/>
                                <w:bCs/>
                                <w:color w:val="000000"/>
                                <w:lang w:eastAsia="en-US"/>
                              </w:rPr>
                              <w:instrText xml:space="preserve"> STYLEREF 1 \s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Pr>
                                <w:rFonts w:eastAsia="Times New Roman"/>
                                <w:b/>
                                <w:bCs/>
                                <w:color w:val="000000"/>
                                <w:lang w:eastAsia="en-US"/>
                              </w:rPr>
                              <w:noBreakHyphen/>
                            </w:r>
                            <w:r>
                              <w:rPr>
                                <w:rFonts w:eastAsia="Times New Roman"/>
                                <w:b/>
                                <w:bCs/>
                                <w:color w:val="000000"/>
                                <w:lang w:eastAsia="en-US"/>
                              </w:rPr>
                              <w:fldChar w:fldCharType="begin"/>
                            </w:r>
                            <w:r>
                              <w:rPr>
                                <w:rFonts w:eastAsia="Times New Roman"/>
                                <w:b/>
                                <w:bCs/>
                                <w:color w:val="000000"/>
                                <w:lang w:eastAsia="en-US"/>
                              </w:rPr>
                              <w:instrText xml:space="preserve"> SEQ Table \* ARABIC \s 1 </w:instrText>
                            </w:r>
                            <w:r>
                              <w:rPr>
                                <w:rFonts w:eastAsia="Times New Roman"/>
                                <w:b/>
                                <w:bCs/>
                                <w:color w:val="000000"/>
                                <w:lang w:eastAsia="en-US"/>
                              </w:rPr>
                              <w:fldChar w:fldCharType="separate"/>
                            </w:r>
                            <w:r w:rsidR="0081644B">
                              <w:rPr>
                                <w:rFonts w:eastAsia="Times New Roman"/>
                                <w:b/>
                                <w:bCs/>
                                <w:noProof/>
                                <w:color w:val="000000"/>
                                <w:lang w:eastAsia="en-US"/>
                              </w:rPr>
                              <w:t>6</w:t>
                            </w:r>
                            <w:r>
                              <w:rPr>
                                <w:rFonts w:eastAsia="Times New Roman"/>
                                <w:b/>
                                <w:bCs/>
                                <w:color w:val="000000"/>
                                <w:lang w:eastAsia="en-US"/>
                              </w:rPr>
                              <w:fldChar w:fldCharType="end"/>
                            </w:r>
                            <w:r w:rsidRPr="006B72EF">
                              <w:rPr>
                                <w:rFonts w:eastAsia="Times New Roman"/>
                                <w:b/>
                                <w:bCs/>
                                <w:color w:val="000000"/>
                                <w:lang w:eastAsia="en-US"/>
                              </w:rPr>
                              <w:t xml:space="preserve"> </w:t>
                            </w:r>
                            <w:r>
                              <w:rPr>
                                <w:rFonts w:eastAsia="Times New Roman"/>
                                <w:b/>
                                <w:bCs/>
                                <w:color w:val="000000"/>
                                <w:lang w:eastAsia="en-US"/>
                              </w:rPr>
                              <w:t xml:space="preserve">shows the </w:t>
                            </w:r>
                            <w:r w:rsidRPr="006B72EF">
                              <w:rPr>
                                <w:rFonts w:eastAsia="Times New Roman"/>
                                <w:b/>
                                <w:bCs/>
                                <w:color w:val="000000"/>
                                <w:lang w:eastAsia="en-US"/>
                              </w:rPr>
                              <w:t xml:space="preserve">protein </w:t>
                            </w:r>
                            <w:r>
                              <w:rPr>
                                <w:rFonts w:eastAsia="Times New Roman"/>
                                <w:b/>
                                <w:bCs/>
                                <w:color w:val="000000"/>
                                <w:lang w:eastAsia="en-US"/>
                              </w:rPr>
                              <w:t xml:space="preserve">biomarkers </w:t>
                            </w:r>
                            <w:r w:rsidRPr="006B72EF">
                              <w:rPr>
                                <w:rFonts w:eastAsia="Times New Roman"/>
                                <w:b/>
                                <w:bCs/>
                                <w:color w:val="000000"/>
                                <w:lang w:eastAsia="en-US"/>
                              </w:rPr>
                              <w:t xml:space="preserve">identities obtained by Liquid Chromatography Mass Spectrometry analysis, molecular weight , number of matched peptides related to the protein, % coverage of the protein sequence identified, DeCyder ratio with associated p-value (immunodepleted serum) and ELISA ratio of non-responders to the responders to thalidomide based regimen with associated p-value (unfractionated serum from original cohort of patients). The DeCyder ratio for Hp is the ~10kDa fragment identified in the 2D-DIGE analysis while the ELISA ratio is based on the intact form of this protein in the patients serum. The vertical bars are also showing the ratio of 2D-DIGE and ELISA based value. </w:t>
                            </w:r>
                          </w:p>
                          <w:p w:rsidR="004B395A" w:rsidRDefault="004B395A" w:rsidP="00565A58">
                            <w:pPr>
                              <w:spacing w:before="240" w:line="480" w:lineRule="auto"/>
                              <w:ind w:right="-1"/>
                              <w:jc w:val="both"/>
                              <w:rPr>
                                <w:rFonts w:eastAsia="Times New Roman"/>
                                <w:b/>
                                <w:bCs/>
                                <w:color w:val="000000"/>
                                <w:lang w:eastAsia="en-US"/>
                              </w:rPr>
                            </w:pPr>
                          </w:p>
                          <w:p w:rsidR="004B395A" w:rsidRPr="006B72EF" w:rsidRDefault="004B395A" w:rsidP="00565A58">
                            <w:pPr>
                              <w:spacing w:before="240" w:line="480" w:lineRule="auto"/>
                              <w:ind w:right="-1"/>
                              <w:jc w:val="both"/>
                              <w:rPr>
                                <w:rFonts w:eastAsia="Times New Roman"/>
                                <w:b/>
                                <w:bCs/>
                                <w:color w:val="000000"/>
                                <w:lang w:eastAsia="en-US"/>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94.95pt;margin-top:2.3pt;width:236.4pt;height:688.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" stroked="f">
                <v:textbox style="layout-flow:vertical;mso-layout-flow-alt:bottom-to-top">
                  <w:txbxContent>
                    <w:p w:rsidR="004B395A" w:rsidRDefault="004B395A" w:rsidP="004C3BE1">
                      <w:pPr>
                        <w:pBdr>
                          <w:bottom w:val="single" w:sz="12" w:space="1" w:color="auto"/>
                        </w:pBdr>
                        <w:spacing w:before="240" w:line="276"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Pr>
                          <w:rFonts w:eastAsia="Times New Roman"/>
                          <w:b/>
                          <w:bCs/>
                          <w:color w:val="000000"/>
                          <w:lang w:eastAsia="en-US"/>
                        </w:rPr>
                        <w:fldChar w:fldCharType="begin"/>
                      </w:r>
                      <w:r>
                        <w:rPr>
                          <w:rFonts w:eastAsia="Times New Roman"/>
                          <w:b/>
                          <w:bCs/>
                          <w:color w:val="000000"/>
                          <w:lang w:eastAsia="en-US"/>
                        </w:rPr>
                        <w:instrText xml:space="preserve"> STYLEREF 1 \s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Pr>
                          <w:rFonts w:eastAsia="Times New Roman"/>
                          <w:b/>
                          <w:bCs/>
                          <w:color w:val="000000"/>
                          <w:lang w:eastAsia="en-US"/>
                        </w:rPr>
                        <w:noBreakHyphen/>
                      </w:r>
                      <w:r>
                        <w:rPr>
                          <w:rFonts w:eastAsia="Times New Roman"/>
                          <w:b/>
                          <w:bCs/>
                          <w:color w:val="000000"/>
                          <w:lang w:eastAsia="en-US"/>
                        </w:rPr>
                        <w:fldChar w:fldCharType="begin"/>
                      </w:r>
                      <w:r>
                        <w:rPr>
                          <w:rFonts w:eastAsia="Times New Roman"/>
                          <w:b/>
                          <w:bCs/>
                          <w:color w:val="000000"/>
                          <w:lang w:eastAsia="en-US"/>
                        </w:rPr>
                        <w:instrText xml:space="preserve"> SEQ Table \* ARABIC \s 1 </w:instrText>
                      </w:r>
                      <w:r>
                        <w:rPr>
                          <w:rFonts w:eastAsia="Times New Roman"/>
                          <w:b/>
                          <w:bCs/>
                          <w:color w:val="000000"/>
                          <w:lang w:eastAsia="en-US"/>
                        </w:rPr>
                        <w:fldChar w:fldCharType="separate"/>
                      </w:r>
                      <w:r w:rsidR="0081644B">
                        <w:rPr>
                          <w:rFonts w:eastAsia="Times New Roman"/>
                          <w:b/>
                          <w:bCs/>
                          <w:noProof/>
                          <w:color w:val="000000"/>
                          <w:lang w:eastAsia="en-US"/>
                        </w:rPr>
                        <w:t>6</w:t>
                      </w:r>
                      <w:r>
                        <w:rPr>
                          <w:rFonts w:eastAsia="Times New Roman"/>
                          <w:b/>
                          <w:bCs/>
                          <w:color w:val="000000"/>
                          <w:lang w:eastAsia="en-US"/>
                        </w:rPr>
                        <w:fldChar w:fldCharType="end"/>
                      </w:r>
                      <w:r w:rsidRPr="006B72EF">
                        <w:rPr>
                          <w:rFonts w:eastAsia="Times New Roman"/>
                          <w:b/>
                          <w:bCs/>
                          <w:color w:val="000000"/>
                          <w:lang w:eastAsia="en-US"/>
                        </w:rPr>
                        <w:t xml:space="preserve"> </w:t>
                      </w:r>
                      <w:r>
                        <w:rPr>
                          <w:rFonts w:eastAsia="Times New Roman"/>
                          <w:b/>
                          <w:bCs/>
                          <w:color w:val="000000"/>
                          <w:lang w:eastAsia="en-US"/>
                        </w:rPr>
                        <w:t xml:space="preserve">shows the </w:t>
                      </w:r>
                      <w:r w:rsidRPr="006B72EF">
                        <w:rPr>
                          <w:rFonts w:eastAsia="Times New Roman"/>
                          <w:b/>
                          <w:bCs/>
                          <w:color w:val="000000"/>
                          <w:lang w:eastAsia="en-US"/>
                        </w:rPr>
                        <w:t xml:space="preserve">protein </w:t>
                      </w:r>
                      <w:r>
                        <w:rPr>
                          <w:rFonts w:eastAsia="Times New Roman"/>
                          <w:b/>
                          <w:bCs/>
                          <w:color w:val="000000"/>
                          <w:lang w:eastAsia="en-US"/>
                        </w:rPr>
                        <w:t xml:space="preserve">biomarkers </w:t>
                      </w:r>
                      <w:r w:rsidRPr="006B72EF">
                        <w:rPr>
                          <w:rFonts w:eastAsia="Times New Roman"/>
                          <w:b/>
                          <w:bCs/>
                          <w:color w:val="000000"/>
                          <w:lang w:eastAsia="en-US"/>
                        </w:rPr>
                        <w:t xml:space="preserve">identities obtained by Liquid Chromatography Mass Spectrometry analysis, molecular weight , number of matched peptides related to the protein, % coverage of the protein sequence identified, DeCyder ratio with associated p-value (immunodepleted serum) and ELISA ratio of non-responders to the responders to thalidomide based regimen with associated p-value (unfractionated serum from original cohort of patients). The DeCyder ratio for Hp is the ~10kDa fragment identified in the 2D-DIGE analysis while the ELISA ratio is based on the intact form of this protein in the patients serum. The vertical bars are also showing the ratio of 2D-DIGE and ELISA based value. </w:t>
                      </w:r>
                    </w:p>
                    <w:p w:rsidR="004B395A" w:rsidRDefault="004B395A" w:rsidP="00565A58">
                      <w:pPr>
                        <w:spacing w:before="240" w:line="480" w:lineRule="auto"/>
                        <w:ind w:right="-1"/>
                        <w:jc w:val="both"/>
                        <w:rPr>
                          <w:rFonts w:eastAsia="Times New Roman"/>
                          <w:b/>
                          <w:bCs/>
                          <w:color w:val="000000"/>
                          <w:lang w:eastAsia="en-US"/>
                        </w:rPr>
                      </w:pPr>
                    </w:p>
                    <w:p w:rsidR="004B395A" w:rsidRPr="006B72EF" w:rsidRDefault="004B395A" w:rsidP="00565A58">
                      <w:pPr>
                        <w:spacing w:before="240" w:line="480" w:lineRule="auto"/>
                        <w:ind w:right="-1"/>
                        <w:jc w:val="both"/>
                        <w:rPr>
                          <w:rFonts w:eastAsia="Times New Roman"/>
                          <w:b/>
                          <w:bCs/>
                          <w:color w:val="000000"/>
                          <w:lang w:eastAsia="en-US"/>
                        </w:rPr>
                      </w:pPr>
                    </w:p>
                  </w:txbxContent>
                </v:textbox>
              </v:shape>
            </w:pict>
          </mc:Fallback>
        </mc:AlternateContent>
      </w:r>
      <w:r w:rsidRPr="00565A58">
        <w:rPr>
          <w:noProof/>
          <w:lang w:eastAsia="en-IE"/>
        </w:rPr>
        <w:drawing>
          <wp:inline distT="0" distB="0" distL="0" distR="0" wp14:anchorId="3FF75F92" wp14:editId="101A4719">
            <wp:extent cx="8744638" cy="1080000"/>
            <wp:effectExtent l="3493" t="0" r="2857" b="2858"/>
            <wp:docPr id="290821" name="Picture 29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rot="16200000">
                      <a:off x="0" y="0"/>
                      <a:ext cx="8744638" cy="1080000"/>
                    </a:xfrm>
                    <a:prstGeom prst="rect">
                      <a:avLst/>
                    </a:prstGeom>
                  </pic:spPr>
                </pic:pic>
              </a:graphicData>
            </a:graphic>
          </wp:inline>
        </w:drawing>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5B264280" wp14:editId="65D22015">
            <wp:extent cx="5400040" cy="8238490"/>
            <wp:effectExtent l="0" t="0" r="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40" cy="8238490"/>
                    </a:xfrm>
                    <a:prstGeom prst="rect">
                      <a:avLst/>
                    </a:prstGeom>
                    <a:noFill/>
                    <a:ln>
                      <a:noFill/>
                    </a:ln>
                  </pic:spPr>
                </pic:pic>
              </a:graphicData>
            </a:graphic>
          </wp:inline>
        </w:drawing>
      </w:r>
    </w:p>
    <w:p w:rsidR="006B72EF" w:rsidRDefault="006B72EF" w:rsidP="00057B42">
      <w:pPr>
        <w:spacing w:after="240" w:line="360" w:lineRule="auto"/>
        <w:jc w:val="both"/>
        <w:rPr>
          <w:rFonts w:eastAsia="Times New Roman"/>
          <w:b/>
          <w:color w:val="0D0D0D"/>
          <w:lang w:eastAsia="en-US"/>
        </w:rPr>
      </w:pPr>
      <w:bookmarkStart w:id="1280" w:name="_Toc274587595"/>
      <w:bookmarkStart w:id="1281" w:name="_Toc279441916"/>
      <w:r w:rsidRPr="006B72EF">
        <w:rPr>
          <w:rFonts w:eastAsia="Times New Roman"/>
          <w:b/>
          <w:color w:val="0D0D0D"/>
          <w:lang w:eastAsia="en-US"/>
        </w:rPr>
        <w:lastRenderedPageBreak/>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38</w:t>
      </w:r>
      <w:r w:rsidR="008A68DC">
        <w:rPr>
          <w:rFonts w:eastAsia="Times New Roman"/>
          <w:b/>
          <w:color w:val="0D0D0D"/>
          <w:lang w:eastAsia="en-US"/>
        </w:rPr>
        <w:fldChar w:fldCharType="end"/>
      </w:r>
      <w:r w:rsidR="007A186C">
        <w:rPr>
          <w:rFonts w:eastAsia="Times New Roman"/>
          <w:b/>
          <w:color w:val="0D0D0D"/>
          <w:lang w:eastAsia="en-US"/>
        </w:rPr>
        <w:t xml:space="preserve"> these</w:t>
      </w:r>
      <w:r w:rsidR="00B83E7C">
        <w:rPr>
          <w:rFonts w:eastAsia="Times New Roman"/>
          <w:b/>
          <w:color w:val="0D0D0D"/>
          <w:lang w:eastAsia="en-US"/>
        </w:rPr>
        <w:t xml:space="preserve"> box plots shows</w:t>
      </w:r>
      <w:r w:rsidRPr="006B72EF">
        <w:rPr>
          <w:rFonts w:eastAsia="Times New Roman"/>
          <w:b/>
          <w:color w:val="0D0D0D"/>
          <w:lang w:eastAsia="en-US"/>
        </w:rPr>
        <w:t xml:space="preserve"> the concentrations for the six differentially expressed proteins, obtained in duplicate for each patient using ELISA based assays. The box plots show the data for responder and non-responder patients. The horizontal lines within the boxes represent the median. The upper and lower box edges are the 1st and 3rd quartiles. The whiskers reach the nearest value within 1.5 times the inter quartile range. The points outside the whiskers are considered outliers.</w:t>
      </w:r>
      <w:bookmarkEnd w:id="1280"/>
      <w:r w:rsidRPr="006B72EF">
        <w:rPr>
          <w:rFonts w:eastAsia="Times New Roman"/>
          <w:b/>
          <w:color w:val="0D0D0D"/>
          <w:lang w:eastAsia="en-US"/>
        </w:rPr>
        <w:t xml:space="preserve"> Abbreviations; </w:t>
      </w:r>
      <w:r w:rsidR="004C3BE1">
        <w:rPr>
          <w:rFonts w:eastAsia="Times New Roman"/>
          <w:b/>
          <w:color w:val="0D0D0D"/>
          <w:lang w:eastAsia="en-US"/>
        </w:rPr>
        <w:t xml:space="preserve">ZAG: </w:t>
      </w:r>
      <w:r w:rsidRPr="006B72EF">
        <w:rPr>
          <w:rFonts w:eastAsia="Times New Roman"/>
          <w:b/>
          <w:color w:val="0D0D0D"/>
          <w:lang w:eastAsia="en-US"/>
        </w:rPr>
        <w:t xml:space="preserve">Zinc alpha 2-glycoprotein, VDB: Vitamin D binding protein Precursor, SAA: Serum Amyloid A protein, B2M: beta-2-microglobulin, </w:t>
      </w:r>
      <w:r w:rsidR="00CD7DF4">
        <w:rPr>
          <w:rFonts w:eastAsia="Times New Roman"/>
          <w:b/>
          <w:color w:val="0D0D0D"/>
          <w:lang w:eastAsia="en-US"/>
        </w:rPr>
        <w:t>TYR:</w:t>
      </w:r>
      <w:r w:rsidR="00CD7DF4" w:rsidRPr="00CD7DF4">
        <w:rPr>
          <w:rFonts w:eastAsia="Times New Roman"/>
          <w:b/>
          <w:color w:val="0D0D0D"/>
          <w:lang w:eastAsia="en-US"/>
        </w:rPr>
        <w:t xml:space="preserve"> </w:t>
      </w:r>
      <w:r w:rsidR="00CD7DF4">
        <w:rPr>
          <w:rFonts w:eastAsia="Times New Roman"/>
          <w:b/>
          <w:color w:val="0D0D0D"/>
          <w:lang w:eastAsia="en-US"/>
        </w:rPr>
        <w:t>Transthyretin,</w:t>
      </w:r>
      <w:r w:rsidR="004C3BE1">
        <w:rPr>
          <w:rFonts w:eastAsia="Times New Roman"/>
          <w:b/>
          <w:color w:val="0D0D0D"/>
          <w:lang w:eastAsia="en-US"/>
        </w:rPr>
        <w:t xml:space="preserve"> </w:t>
      </w:r>
      <w:r w:rsidRPr="006B72EF">
        <w:rPr>
          <w:rFonts w:eastAsia="Times New Roman"/>
          <w:b/>
          <w:color w:val="0D0D0D"/>
          <w:lang w:eastAsia="en-US"/>
        </w:rPr>
        <w:t>Hp: Haptoglobin</w:t>
      </w:r>
      <w:bookmarkEnd w:id="1281"/>
      <w:r w:rsidR="00461ED8">
        <w:rPr>
          <w:rFonts w:eastAsia="Times New Roman"/>
          <w:b/>
          <w:color w:val="0D0D0D"/>
          <w:lang w:eastAsia="en-US"/>
        </w:rPr>
        <w:t>.</w:t>
      </w:r>
    </w:p>
    <w:p w:rsidR="00461ED8" w:rsidRDefault="00461ED8" w:rsidP="00057B42">
      <w:pPr>
        <w:pBdr>
          <w:bottom w:val="single" w:sz="12" w:space="1" w:color="auto"/>
        </w:pBdr>
        <w:spacing w:after="240" w:line="360" w:lineRule="auto"/>
        <w:jc w:val="both"/>
        <w:rPr>
          <w:rFonts w:eastAsia="Times New Roman"/>
          <w:b/>
          <w:color w:val="0D0D0D"/>
          <w:lang w:eastAsia="en-US"/>
        </w:rPr>
      </w:pPr>
    </w:p>
    <w:p w:rsidR="00461ED8" w:rsidRPr="006B72EF" w:rsidRDefault="00461ED8"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B72EF" w:rsidP="00645687">
      <w:pPr>
        <w:pStyle w:val="Heading3"/>
      </w:pPr>
      <w:r w:rsidRPr="006B72EF">
        <w:br w:type="page"/>
      </w:r>
      <w:bookmarkStart w:id="1282" w:name="_Toc274586841"/>
      <w:bookmarkStart w:id="1283" w:name="_Toc274736198"/>
      <w:bookmarkStart w:id="1284" w:name="_Toc279658467"/>
      <w:bookmarkStart w:id="1285" w:name="_Toc306570690"/>
      <w:bookmarkStart w:id="1286" w:name="_Toc307067752"/>
      <w:r w:rsidR="007E53B6">
        <w:lastRenderedPageBreak/>
        <w:tab/>
      </w:r>
      <w:bookmarkStart w:id="1287" w:name="_Toc312169323"/>
      <w:bookmarkStart w:id="1288" w:name="_Toc312172250"/>
      <w:bookmarkStart w:id="1289" w:name="_Toc312257799"/>
      <w:r w:rsidRPr="006B72EF">
        <w:t>Statistical analysis</w:t>
      </w:r>
      <w:bookmarkStart w:id="1290" w:name="_Toc274586842"/>
      <w:bookmarkStart w:id="1291" w:name="_Toc274736199"/>
      <w:bookmarkEnd w:id="1282"/>
      <w:bookmarkEnd w:id="1283"/>
      <w:bookmarkEnd w:id="1284"/>
      <w:bookmarkEnd w:id="1285"/>
      <w:bookmarkEnd w:id="1286"/>
      <w:bookmarkEnd w:id="1287"/>
      <w:bookmarkEnd w:id="1288"/>
      <w:bookmarkEnd w:id="1289"/>
    </w:p>
    <w:p w:rsidR="006B72EF" w:rsidRDefault="006B72EF" w:rsidP="00057B42">
      <w:pPr>
        <w:spacing w:before="240" w:after="240" w:line="360" w:lineRule="auto"/>
        <w:jc w:val="both"/>
        <w:rPr>
          <w:rFonts w:eastAsia="Times New Roman"/>
          <w:color w:val="0D0D0D"/>
          <w:lang w:eastAsia="en-US"/>
        </w:rPr>
      </w:pPr>
      <w:r w:rsidRPr="006B72EF">
        <w:rPr>
          <w:rFonts w:eastAsia="Times New Roman"/>
          <w:color w:val="0D0D0D"/>
          <w:lang w:eastAsia="en-US"/>
        </w:rPr>
        <w:t xml:space="preserve">Identification of recognized biomarkers from proteomic data is not </w:t>
      </w:r>
      <w:r w:rsidR="003D0D08" w:rsidRPr="006B72EF">
        <w:rPr>
          <w:rFonts w:eastAsia="Times New Roman"/>
          <w:color w:val="0D0D0D"/>
          <w:lang w:eastAsia="en-US"/>
        </w:rPr>
        <w:t>an</w:t>
      </w:r>
      <w:r w:rsidRPr="006B72EF">
        <w:rPr>
          <w:rFonts w:eastAsia="Times New Roman"/>
          <w:color w:val="0D0D0D"/>
          <w:lang w:eastAsia="en-US"/>
        </w:rPr>
        <w:t xml:space="preserve"> </w:t>
      </w:r>
      <w:r w:rsidR="003D0D08">
        <w:rPr>
          <w:rFonts w:eastAsia="Times New Roman"/>
          <w:color w:val="0D0D0D"/>
          <w:lang w:eastAsia="en-US"/>
        </w:rPr>
        <w:t>easy task,</w:t>
      </w:r>
      <w:r w:rsidRPr="006B72EF">
        <w:rPr>
          <w:rFonts w:eastAsia="Times New Roman"/>
          <w:color w:val="0D0D0D"/>
          <w:lang w:eastAsia="en-US"/>
        </w:rPr>
        <w:t xml:space="preserve"> </w:t>
      </w:r>
      <w:r w:rsidR="003D0D08">
        <w:rPr>
          <w:rFonts w:eastAsia="Times New Roman"/>
          <w:color w:val="0D0D0D"/>
          <w:lang w:eastAsia="en-US"/>
        </w:rPr>
        <w:t>as</w:t>
      </w:r>
      <w:r w:rsidRPr="006B72EF">
        <w:rPr>
          <w:rFonts w:eastAsia="Times New Roman"/>
          <w:color w:val="0D0D0D"/>
          <w:lang w:eastAsia="en-US"/>
        </w:rPr>
        <w:t xml:space="preserve"> large collection of data is generated from a single experiment, </w:t>
      </w:r>
      <w:r w:rsidR="003D0D08">
        <w:rPr>
          <w:rFonts w:eastAsia="Times New Roman"/>
          <w:color w:val="0D0D0D"/>
          <w:lang w:eastAsia="en-US"/>
        </w:rPr>
        <w:t xml:space="preserve">therefore </w:t>
      </w:r>
      <w:r w:rsidRPr="006B72EF">
        <w:rPr>
          <w:rFonts w:eastAsia="Times New Roman"/>
          <w:color w:val="0D0D0D"/>
          <w:lang w:eastAsia="en-US"/>
        </w:rPr>
        <w:t>it is essential to utilise proper</w:t>
      </w:r>
      <w:r w:rsidR="003D0D08">
        <w:rPr>
          <w:rFonts w:eastAsia="Times New Roman"/>
          <w:color w:val="0D0D0D"/>
          <w:lang w:eastAsia="en-US"/>
        </w:rPr>
        <w:t xml:space="preserve"> statistical </w:t>
      </w:r>
      <w:r w:rsidR="00882F3C" w:rsidRPr="006B72EF">
        <w:rPr>
          <w:rFonts w:eastAsia="Times New Roman"/>
          <w:color w:val="0D0D0D"/>
          <w:lang w:eastAsia="en-US"/>
        </w:rPr>
        <w:t>set of rules</w:t>
      </w:r>
      <w:r w:rsidRPr="006B72EF">
        <w:rPr>
          <w:rFonts w:eastAsia="Times New Roman"/>
          <w:color w:val="0D0D0D"/>
          <w:lang w:eastAsia="en-US"/>
        </w:rPr>
        <w:t xml:space="preserve"> to identify </w:t>
      </w:r>
      <w:r w:rsidR="00882F3C">
        <w:rPr>
          <w:rFonts w:eastAsia="Times New Roman"/>
          <w:color w:val="0D0D0D"/>
          <w:lang w:eastAsia="en-US"/>
        </w:rPr>
        <w:t xml:space="preserve">accurate </w:t>
      </w:r>
      <w:r w:rsidR="009E13B2">
        <w:rPr>
          <w:rFonts w:eastAsia="Times New Roman"/>
          <w:color w:val="0D0D0D"/>
          <w:lang w:eastAsia="en-US"/>
        </w:rPr>
        <w:t xml:space="preserve">proteomic patterns </w:t>
      </w:r>
      <w:r w:rsidRPr="006B72EF">
        <w:rPr>
          <w:rFonts w:eastAsia="Times New Roman"/>
          <w:color w:val="0D0D0D"/>
          <w:lang w:eastAsia="en-US"/>
        </w:rPr>
        <w:t>capable of predicting response to thalidomide</w:t>
      </w:r>
      <w:r w:rsidR="009E13B2">
        <w:rPr>
          <w:rFonts w:eastAsia="Times New Roman"/>
          <w:color w:val="0D0D0D"/>
          <w:lang w:eastAsia="en-US"/>
        </w:rPr>
        <w:t xml:space="preserve"> therapy</w:t>
      </w:r>
      <w:r w:rsidRPr="006B72EF">
        <w:rPr>
          <w:rFonts w:eastAsia="Times New Roman"/>
          <w:color w:val="0D0D0D"/>
          <w:lang w:eastAsia="en-US"/>
        </w:rPr>
        <w:t xml:space="preserve">.  </w:t>
      </w:r>
      <w:r w:rsidR="003D0D08">
        <w:rPr>
          <w:rFonts w:eastAsia="Times New Roman"/>
          <w:color w:val="0D0D0D"/>
          <w:lang w:eastAsia="en-US"/>
        </w:rPr>
        <w:t xml:space="preserve"> </w:t>
      </w:r>
    </w:p>
    <w:p w:rsidR="006B72EF" w:rsidRDefault="00461ED8" w:rsidP="00645687">
      <w:pPr>
        <w:pStyle w:val="Heading4"/>
      </w:pPr>
      <w:bookmarkStart w:id="1292" w:name="_Toc279658468"/>
      <w:r>
        <w:tab/>
      </w:r>
      <w:bookmarkStart w:id="1293" w:name="_Toc306570691"/>
      <w:bookmarkStart w:id="1294" w:name="_Toc307067753"/>
      <w:bookmarkStart w:id="1295" w:name="_Toc312169324"/>
      <w:bookmarkStart w:id="1296" w:name="_Toc312172251"/>
      <w:bookmarkStart w:id="1297" w:name="_Toc312257800"/>
      <w:r w:rsidR="006B72EF" w:rsidRPr="006B72EF">
        <w:t>Logistic regression (LR)</w:t>
      </w:r>
      <w:bookmarkEnd w:id="1290"/>
      <w:bookmarkEnd w:id="1291"/>
      <w:bookmarkEnd w:id="1292"/>
      <w:bookmarkEnd w:id="1293"/>
      <w:bookmarkEnd w:id="1294"/>
      <w:bookmarkEnd w:id="1295"/>
      <w:bookmarkEnd w:id="1296"/>
      <w:bookmarkEnd w:id="1297"/>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 number of methods have been proposed for cancer classification. These include logistic regression. Logistic regression is a special form of generalised linear model and is usually used when the dependent variable is binary </w:t>
      </w:r>
      <w:r w:rsidR="00915BDD" w:rsidRPr="006B72EF">
        <w:rPr>
          <w:rFonts w:eastAsia="Times New Roman"/>
          <w:color w:val="0D0D0D"/>
          <w:lang w:eastAsia="en-US"/>
        </w:rPr>
        <w:fldChar w:fldCharType="begin"/>
      </w:r>
      <w:r w:rsidR="00915BDD">
        <w:rPr>
          <w:rFonts w:eastAsia="Times New Roman"/>
          <w:color w:val="0D0D0D"/>
          <w:lang w:eastAsia="en-US"/>
        </w:rPr>
        <w:instrText xml:space="preserve"> ADDIN EN.CITE &lt;EndNote&gt;&lt;Cite&gt;&lt;Author&gt;Bhanot&lt;/Author&gt;&lt;Year&gt;2006&lt;/Year&gt;&lt;RecNum&gt;96&lt;/RecNum&gt;&lt;DisplayText&gt;(Bhanot et al., 2006)&lt;/DisplayText&gt;&lt;record&gt;&lt;rec-number&gt;96&lt;/rec-number&gt;&lt;ref-type name="Journal Article"&gt;17&lt;/ref-type&gt;&lt;contributors&gt;&lt;authors&gt;&lt;author&gt;Bhanot, G.&lt;/author&gt;&lt;author&gt;Alexe, G.&lt;/author&gt;&lt;author&gt;Venkataraghavan, B.&lt;/author&gt;&lt;author&gt;Levine, A. J.&lt;/author&gt;&lt;/authors&gt;&lt;/contributors&gt;&lt;auth-address&gt;Center for Systems Biology, Institute for Advanced Study, Princeton, NJ, USA.&lt;/auth-address&gt;&lt;titles&gt;&lt;title&gt;A robust meta-classification strategy for cancer detection from MS data&lt;/title&gt;&lt;secondary-title&gt;Proteomics&lt;/secondary-title&gt;&lt;/titles&gt;&lt;periodical&gt;&lt;full-title&gt;Proteomics&lt;/full-title&gt;&lt;/periodical&gt;&lt;pages&gt;592-604&lt;/pages&gt;&lt;volume&gt;6&lt;/volume&gt;&lt;number&gt;2&lt;/number&gt;&lt;keywords&gt;&lt;keyword&gt;Case-Control Studies&lt;/keyword&gt;&lt;keyword&gt;*Decision Support Techniques&lt;/keyword&gt;&lt;keyword&gt;Diagnosis, Differential&lt;/keyword&gt;&lt;keyword&gt;Humans&lt;/keyword&gt;&lt;keyword&gt;Male&lt;/keyword&gt;&lt;keyword&gt;Prognosis&lt;/keyword&gt;&lt;keyword&gt;Prostate/metabolism&lt;/keyword&gt;&lt;keyword&gt;Prostatic Hyperplasia/*diagnosis&lt;/keyword&gt;&lt;keyword&gt;Prostatic Neoplasms/*classification/*diagnosis&lt;/keyword&gt;&lt;keyword&gt;Proteomics&lt;/keyword&gt;&lt;keyword&gt;Reference Standards&lt;/keyword&gt;&lt;keyword&gt;Sensitivity and Specificity&lt;/keyword&gt;&lt;keyword&gt;Spectrometry, Mass, Matrix-Assisted Laser Desorption-Ionization/*methods&lt;/keyword&gt;&lt;keyword&gt;Tumor Markers, Biological/*metabolism&lt;/keyword&gt;&lt;/keywords&gt;&lt;dates&gt;&lt;year&gt;2006&lt;/year&gt;&lt;pub-dates&gt;&lt;date&gt;Jan&lt;/date&gt;&lt;/pub-dates&gt;&lt;/dates&gt;&lt;accession-num&gt;16342141&lt;/accession-num&gt;&lt;urls&gt;&lt;related-urls&gt;&lt;url&gt;http://www.ncbi.nlm.nih.gov/entrez/query.fcgi?cmd=Retrieve&amp;amp;db=PubMed&amp;amp;dopt=Citation&amp;amp;list_uids=16342141 &lt;/url&gt;&lt;/related-urls&gt;&lt;/urls&gt;&lt;/record&gt;&lt;/Cite&gt;&lt;/EndNote&gt;</w:instrText>
      </w:r>
      <w:r w:rsidR="00915BDD" w:rsidRPr="006B72EF">
        <w:rPr>
          <w:rFonts w:eastAsia="Times New Roman"/>
          <w:color w:val="0D0D0D"/>
          <w:lang w:eastAsia="en-US"/>
        </w:rPr>
        <w:fldChar w:fldCharType="separate"/>
      </w:r>
      <w:r w:rsidR="00915BDD">
        <w:rPr>
          <w:rFonts w:eastAsia="Times New Roman"/>
          <w:noProof/>
          <w:color w:val="0D0D0D"/>
          <w:lang w:eastAsia="en-US"/>
        </w:rPr>
        <w:t>(</w:t>
      </w:r>
      <w:hyperlink w:anchor="_ENREF_43" w:tooltip="Bhanot, 2006 #96" w:history="1">
        <w:r w:rsidR="004A784D">
          <w:rPr>
            <w:rFonts w:eastAsia="Times New Roman"/>
            <w:noProof/>
            <w:color w:val="0D0D0D"/>
            <w:lang w:eastAsia="en-US"/>
          </w:rPr>
          <w:t>Bhanot et al., 2006</w:t>
        </w:r>
      </w:hyperlink>
      <w:r w:rsidR="00915BDD">
        <w:rPr>
          <w:rFonts w:eastAsia="Times New Roman"/>
          <w:noProof/>
          <w:color w:val="0D0D0D"/>
          <w:lang w:eastAsia="en-US"/>
        </w:rPr>
        <w:t>)</w:t>
      </w:r>
      <w:r w:rsidR="00915BDD" w:rsidRPr="006B72EF">
        <w:rPr>
          <w:rFonts w:eastAsia="Times New Roman"/>
          <w:color w:val="0D0D0D"/>
          <w:lang w:eastAsia="en-US"/>
        </w:rPr>
        <w:fldChar w:fldCharType="end"/>
      </w:r>
      <w:r w:rsidR="00915BDD" w:rsidRPr="006B72EF">
        <w:rPr>
          <w:rFonts w:eastAsia="Times New Roman"/>
          <w:color w:val="0D0D0D"/>
          <w:lang w:eastAsia="en-US"/>
        </w:rPr>
        <w:t>.</w:t>
      </w:r>
      <w:r w:rsidR="00593A94">
        <w:rPr>
          <w:rFonts w:eastAsia="Times New Roman"/>
          <w:color w:val="0D0D0D"/>
          <w:lang w:eastAsia="en-US"/>
        </w:rPr>
        <w:t xml:space="preserve"> </w:t>
      </w:r>
      <w:r w:rsidRPr="006B72EF">
        <w:rPr>
          <w:rFonts w:eastAsia="Times New Roman"/>
          <w:color w:val="0D0D0D"/>
          <w:lang w:eastAsia="en-US"/>
        </w:rPr>
        <w:t xml:space="preserve">Logistic regression is a statistical method widely used in the medical sciences to aid in clinical decision making. The </w:t>
      </w:r>
      <w:r w:rsidR="00593A94" w:rsidRPr="006B72EF">
        <w:rPr>
          <w:rFonts w:eastAsia="Times New Roman"/>
          <w:color w:val="0D0D0D"/>
          <w:lang w:eastAsia="en-US"/>
        </w:rPr>
        <w:t>objective of this technique is</w:t>
      </w:r>
      <w:r w:rsidRPr="006B72EF">
        <w:rPr>
          <w:rFonts w:eastAsia="Times New Roman"/>
          <w:color w:val="0D0D0D"/>
          <w:lang w:eastAsia="en-US"/>
        </w:rPr>
        <w:t xml:space="preserve"> to capture an ungenerous, biologically significant association</w:t>
      </w:r>
      <w:r w:rsidR="00915BDD">
        <w:rPr>
          <w:rFonts w:eastAsia="Times New Roman"/>
          <w:color w:val="0D0D0D"/>
          <w:lang w:eastAsia="en-US"/>
        </w:rPr>
        <w:t>.</w:t>
      </w:r>
      <w:r w:rsidR="00593A94" w:rsidRPr="00593A94">
        <w:rPr>
          <w:rFonts w:eastAsia="Times New Roman"/>
          <w:color w:val="0D0D0D"/>
          <w:lang w:eastAsia="en-US"/>
        </w:rPr>
        <w:t xml:space="preserve"> </w:t>
      </w:r>
      <w:r w:rsidR="00593A94">
        <w:rPr>
          <w:rFonts w:eastAsia="Times New Roman"/>
          <w:color w:val="0D0D0D"/>
          <w:lang w:eastAsia="en-US"/>
        </w:rPr>
        <w:t>It is appropriate model, when we</w:t>
      </w:r>
      <w:r w:rsidR="00593A94" w:rsidRPr="006B72EF">
        <w:rPr>
          <w:rFonts w:eastAsia="Times New Roman"/>
          <w:color w:val="0D0D0D"/>
          <w:lang w:eastAsia="en-US"/>
        </w:rPr>
        <w:t xml:space="preserve"> wa</w:t>
      </w:r>
      <w:r w:rsidR="00447F28">
        <w:rPr>
          <w:rFonts w:eastAsia="Times New Roman"/>
          <w:color w:val="0D0D0D"/>
          <w:lang w:eastAsia="en-US"/>
        </w:rPr>
        <w:t xml:space="preserve">nt to classify cancer using </w:t>
      </w:r>
      <w:r w:rsidR="00593A94" w:rsidRPr="006B72EF">
        <w:rPr>
          <w:rFonts w:eastAsia="Times New Roman"/>
          <w:color w:val="0D0D0D"/>
          <w:lang w:eastAsia="en-US"/>
        </w:rPr>
        <w:t>protein profiles</w:t>
      </w:r>
      <w:r w:rsidR="00593A94">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With any predictive model rigorous validation is essential (Bagley et al., 2001; Ransohoff, 2005; Taylor et al., 2008). This allows one to gain an appreciation of future performance i.e. an ability to classify unknown serum samples </w:t>
      </w:r>
      <w:r w:rsidR="00915BDD">
        <w:rPr>
          <w:rFonts w:eastAsia="Times New Roman"/>
          <w:color w:val="0D0D0D"/>
          <w:lang w:eastAsia="en-US"/>
        </w:rPr>
        <w:t>from patients correctly. A</w:t>
      </w:r>
      <w:r w:rsidRPr="006B72EF">
        <w:rPr>
          <w:rFonts w:eastAsia="Times New Roman"/>
          <w:color w:val="0D0D0D"/>
          <w:lang w:eastAsia="en-US"/>
        </w:rPr>
        <w:t xml:space="preserve"> common means of evaluating the suitability of a logistic regression based diagnostic test is known as the receiver operating characteristic curve (ROC curve). </w:t>
      </w:r>
    </w:p>
    <w:p w:rsidR="00F823FF" w:rsidRPr="00F823FF" w:rsidRDefault="00461ED8" w:rsidP="00645687">
      <w:pPr>
        <w:pStyle w:val="Heading4"/>
      </w:pPr>
      <w:bookmarkStart w:id="1298" w:name="_Toc279658469"/>
      <w:r>
        <w:t xml:space="preserve"> </w:t>
      </w:r>
      <w:r>
        <w:tab/>
      </w:r>
      <w:bookmarkStart w:id="1299" w:name="_Toc306570692"/>
      <w:bookmarkStart w:id="1300" w:name="_Toc307067754"/>
      <w:bookmarkStart w:id="1301" w:name="_Toc312169325"/>
      <w:bookmarkStart w:id="1302" w:name="_Toc312172252"/>
      <w:bookmarkStart w:id="1303" w:name="_Toc312257801"/>
      <w:r w:rsidR="006B72EF" w:rsidRPr="006B72EF">
        <w:t>Area under the curve (AUC)</w:t>
      </w:r>
      <w:bookmarkEnd w:id="1298"/>
      <w:bookmarkEnd w:id="1299"/>
      <w:bookmarkEnd w:id="1300"/>
      <w:bookmarkEnd w:id="1301"/>
      <w:bookmarkEnd w:id="1302"/>
      <w:bookmarkEnd w:id="1303"/>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Determining the AUC yields a summary measure of the overall performance of the model. For the comparison of biomarker combinations an AUC of &lt; 0.7 is considered poor, between 0.7 and 0.8 acceptable, 0.8 to 0.9 good and &gt; 0.9 excellent. (</w:t>
      </w:r>
      <w:r w:rsidR="00447F28">
        <w:rPr>
          <w:rFonts w:eastAsia="Times New Roman"/>
          <w:color w:val="0D0D0D"/>
          <w:lang w:eastAsia="en-US"/>
        </w:rPr>
        <w:t>Introduction-Chapter 1 page 99</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our study, initially, LR was used to develop predictive models for each individual differentially expressed protein. The best predictive single proteins from the LR model were B2M and SAA, with AUC values of 0.87 and 0.82, respectively.</w:t>
      </w:r>
    </w:p>
    <w:p w:rsidR="006B72EF" w:rsidRPr="006B72EF" w:rsidRDefault="00593A94" w:rsidP="00057B42">
      <w:pPr>
        <w:spacing w:after="240" w:line="360" w:lineRule="auto"/>
        <w:jc w:val="both"/>
        <w:rPr>
          <w:rFonts w:eastAsia="Times New Roman"/>
          <w:color w:val="0D0D0D"/>
          <w:lang w:eastAsia="en-US"/>
        </w:rPr>
      </w:pPr>
      <w:r>
        <w:rPr>
          <w:rFonts w:eastAsia="Times New Roman"/>
          <w:color w:val="0D0D0D"/>
          <w:lang w:eastAsia="en-US"/>
        </w:rPr>
        <w:t>The remaining</w:t>
      </w:r>
      <w:r w:rsidR="006B72EF" w:rsidRPr="006B72EF">
        <w:rPr>
          <w:rFonts w:eastAsia="Times New Roman"/>
          <w:color w:val="0D0D0D"/>
          <w:lang w:eastAsia="en-US"/>
        </w:rPr>
        <w:t xml:space="preserve"> protein</w:t>
      </w:r>
      <w:r w:rsidR="00A9650D">
        <w:rPr>
          <w:rFonts w:eastAsia="Times New Roman"/>
          <w:color w:val="0D0D0D"/>
          <w:lang w:eastAsia="en-US"/>
        </w:rPr>
        <w:t>s</w:t>
      </w:r>
      <w:r w:rsidR="006B72EF" w:rsidRPr="006B72EF">
        <w:rPr>
          <w:rFonts w:eastAsia="Times New Roman"/>
          <w:color w:val="0D0D0D"/>
          <w:lang w:eastAsia="en-US"/>
        </w:rPr>
        <w:t xml:space="preserve"> </w:t>
      </w:r>
      <w:r>
        <w:rPr>
          <w:rFonts w:eastAsia="Times New Roman"/>
          <w:color w:val="0D0D0D"/>
          <w:lang w:eastAsia="en-US"/>
        </w:rPr>
        <w:t>i.e.</w:t>
      </w:r>
      <w:r w:rsidR="00947510">
        <w:rPr>
          <w:rFonts w:eastAsia="Times New Roman"/>
          <w:color w:val="0D0D0D"/>
          <w:lang w:eastAsia="en-US"/>
        </w:rPr>
        <w:t xml:space="preserve"> </w:t>
      </w:r>
      <w:r>
        <w:rPr>
          <w:rFonts w:eastAsia="Times New Roman"/>
          <w:color w:val="0D0D0D"/>
          <w:lang w:eastAsia="en-US"/>
        </w:rPr>
        <w:t>VDB, B2M, TYR and Hp</w:t>
      </w:r>
      <w:r w:rsidRPr="006B72EF">
        <w:rPr>
          <w:rFonts w:eastAsia="Times New Roman"/>
          <w:color w:val="0D0D0D"/>
          <w:lang w:eastAsia="en-US"/>
        </w:rPr>
        <w:t xml:space="preserve"> </w:t>
      </w:r>
      <w:r>
        <w:rPr>
          <w:rFonts w:eastAsia="Times New Roman"/>
          <w:color w:val="0D0D0D"/>
          <w:lang w:eastAsia="en-US"/>
        </w:rPr>
        <w:t xml:space="preserve">as a single predictive </w:t>
      </w:r>
      <w:r w:rsidR="006B72EF" w:rsidRPr="006B72EF">
        <w:rPr>
          <w:rFonts w:eastAsia="Times New Roman"/>
          <w:color w:val="0D0D0D"/>
          <w:lang w:eastAsia="en-US"/>
        </w:rPr>
        <w:t>model</w:t>
      </w:r>
      <w:r>
        <w:rPr>
          <w:rFonts w:eastAsia="Times New Roman"/>
          <w:color w:val="0D0D0D"/>
          <w:lang w:eastAsia="en-US"/>
        </w:rPr>
        <w:t>,</w:t>
      </w:r>
      <w:r w:rsidR="00A9650D">
        <w:rPr>
          <w:rFonts w:eastAsia="Times New Roman"/>
          <w:color w:val="0D0D0D"/>
          <w:lang w:eastAsia="en-US"/>
        </w:rPr>
        <w:t xml:space="preserve"> </w:t>
      </w:r>
      <w:r w:rsidR="006B72EF" w:rsidRPr="006B72EF">
        <w:rPr>
          <w:rFonts w:eastAsia="Times New Roman"/>
          <w:color w:val="0D0D0D"/>
          <w:lang w:eastAsia="en-US"/>
        </w:rPr>
        <w:t>had AUC values</w:t>
      </w:r>
      <w:r>
        <w:rPr>
          <w:rFonts w:eastAsia="Times New Roman"/>
          <w:color w:val="0D0D0D"/>
          <w:lang w:eastAsia="en-US"/>
        </w:rPr>
        <w:t xml:space="preserve"> of</w:t>
      </w:r>
      <w:r w:rsidR="006B72EF" w:rsidRPr="006B72EF">
        <w:rPr>
          <w:rFonts w:eastAsia="Times New Roman"/>
          <w:color w:val="0D0D0D"/>
          <w:lang w:eastAsia="en-US"/>
        </w:rPr>
        <w:t xml:space="preserve"> less than 0.7, indicating poorer predictive ability (Figure </w:t>
      </w:r>
      <w:r w:rsidR="00A9650D">
        <w:rPr>
          <w:rFonts w:eastAsia="Times New Roman"/>
          <w:color w:val="0D0D0D"/>
          <w:lang w:eastAsia="en-US"/>
        </w:rPr>
        <w:t>3-</w:t>
      </w:r>
      <w:r w:rsidR="00E25C1B">
        <w:rPr>
          <w:rFonts w:eastAsia="Times New Roman"/>
          <w:color w:val="0D0D0D"/>
          <w:lang w:eastAsia="en-US"/>
        </w:rPr>
        <w:t>39</w:t>
      </w:r>
      <w:r w:rsidR="006B72EF" w:rsidRPr="006B72EF">
        <w:rPr>
          <w:rFonts w:eastAsia="Times New Roman"/>
          <w:color w:val="0D0D0D"/>
          <w:lang w:eastAsia="en-US"/>
        </w:rPr>
        <w:t xml:space="preserve">). The predictive capability of models developed based upon combinations of proteins </w:t>
      </w:r>
      <w:r w:rsidR="006B72EF" w:rsidRPr="006B72EF">
        <w:rPr>
          <w:rFonts w:eastAsia="Times New Roman"/>
          <w:color w:val="0D0D0D"/>
          <w:lang w:eastAsia="en-US"/>
        </w:rPr>
        <w:lastRenderedPageBreak/>
        <w:t>was also assessed. LR models were constructed and ROC analysis was carried out on all possible combinations of the differentially expressed proteins. Based on the value of area under the curve, it was found that combination of two or more of the differentially expressed proteins can increase the area under t</w:t>
      </w:r>
      <w:r w:rsidR="00F3672E">
        <w:rPr>
          <w:rFonts w:eastAsia="Times New Roman"/>
          <w:color w:val="0D0D0D"/>
          <w:lang w:eastAsia="en-US"/>
        </w:rPr>
        <w:t>he curve which suggests improved</w:t>
      </w:r>
      <w:r w:rsidR="006B72EF" w:rsidRPr="006B72EF">
        <w:rPr>
          <w:rFonts w:eastAsia="Times New Roman"/>
          <w:color w:val="0D0D0D"/>
          <w:lang w:eastAsia="en-US"/>
        </w:rPr>
        <w:t xml:space="preserve"> capability of the model to predict response to thalidomide based regimen in newly diagnosed multiple myeloma patients (Figure 3</w:t>
      </w:r>
      <w:r w:rsidR="00E25C1B">
        <w:rPr>
          <w:rFonts w:eastAsia="Times New Roman"/>
          <w:color w:val="0D0D0D"/>
          <w:lang w:eastAsia="en-US"/>
        </w:rPr>
        <w:t>-40</w:t>
      </w:r>
      <w:r w:rsidR="006B72EF" w:rsidRPr="006B72EF">
        <w:rPr>
          <w:rFonts w:eastAsia="Times New Roman"/>
          <w:color w:val="0D0D0D"/>
          <w:lang w:eastAsia="en-US"/>
        </w:rPr>
        <w:t>).</w:t>
      </w:r>
    </w:p>
    <w:p w:rsidR="006B72EF" w:rsidRPr="006B72EF" w:rsidRDefault="006B72EF" w:rsidP="00057B42">
      <w:pPr>
        <w:spacing w:after="240" w:line="360" w:lineRule="auto"/>
        <w:ind w:firstLine="357"/>
        <w:rPr>
          <w:rFonts w:eastAsia="Times New Roman"/>
          <w:color w:val="0D0D0D"/>
          <w:lang w:eastAsia="en-US"/>
        </w:rPr>
      </w:pPr>
      <w:r w:rsidRPr="006B72EF">
        <w:rPr>
          <w:rFonts w:eastAsia="Times New Roman"/>
          <w:color w:val="0D0D0D"/>
          <w:lang w:eastAsia="en-US"/>
        </w:rPr>
        <w:br w:type="page"/>
      </w:r>
      <w:r w:rsidR="00F3672E" w:rsidRPr="00F3672E">
        <w:rPr>
          <w:noProof/>
          <w:lang w:eastAsia="en-IE"/>
        </w:rPr>
        <w:lastRenderedPageBreak/>
        <w:drawing>
          <wp:inline distT="0" distB="0" distL="0" distR="0" wp14:anchorId="4CD3930F" wp14:editId="6BBD968A">
            <wp:extent cx="4865135" cy="4212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865135" cy="4212000"/>
                    </a:xfrm>
                    <a:prstGeom prst="rect">
                      <a:avLst/>
                    </a:prstGeom>
                  </pic:spPr>
                </pic:pic>
              </a:graphicData>
            </a:graphic>
          </wp:inline>
        </w:drawing>
      </w:r>
    </w:p>
    <w:p w:rsidR="00461ED8" w:rsidRDefault="006B72EF" w:rsidP="00057B42">
      <w:pPr>
        <w:pBdr>
          <w:bottom w:val="single" w:sz="12" w:space="1" w:color="auto"/>
        </w:pBdr>
        <w:spacing w:after="240" w:line="360" w:lineRule="auto"/>
        <w:jc w:val="both"/>
        <w:rPr>
          <w:rFonts w:eastAsia="Times New Roman"/>
          <w:b/>
          <w:color w:val="0D0D0D"/>
          <w:lang w:eastAsia="en-US"/>
        </w:rPr>
      </w:pPr>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39</w:t>
      </w:r>
      <w:r w:rsidR="008A68DC">
        <w:rPr>
          <w:rFonts w:eastAsia="Times New Roman"/>
          <w:b/>
          <w:color w:val="0D0D0D"/>
          <w:lang w:eastAsia="en-US"/>
        </w:rPr>
        <w:fldChar w:fldCharType="end"/>
      </w:r>
      <w:r w:rsidRPr="006B72EF">
        <w:rPr>
          <w:rFonts w:eastAsia="Times New Roman"/>
          <w:b/>
          <w:color w:val="0D0D0D"/>
          <w:lang w:eastAsia="en-US"/>
        </w:rPr>
        <w:t xml:space="preserve"> </w:t>
      </w:r>
      <w:bookmarkStart w:id="1304" w:name="_Toc274587596"/>
      <w:bookmarkStart w:id="1305" w:name="_Toc279441918"/>
      <w:r w:rsidRPr="006B72EF">
        <w:rPr>
          <w:rFonts w:eastAsia="Times New Roman"/>
          <w:b/>
          <w:color w:val="0D0D0D"/>
          <w:lang w:eastAsia="en-US"/>
        </w:rPr>
        <w:t>Logistic regression analysis used to develop a predictive model for each individual differentially expressed protein. The performance of the models wa</w:t>
      </w:r>
      <w:r w:rsidR="00F3672E">
        <w:rPr>
          <w:rFonts w:eastAsia="Times New Roman"/>
          <w:b/>
          <w:color w:val="0D0D0D"/>
          <w:lang w:eastAsia="en-US"/>
        </w:rPr>
        <w:t>s assessed using ROC curves</w:t>
      </w:r>
      <w:r w:rsidRPr="006B72EF">
        <w:rPr>
          <w:rFonts w:eastAsia="Times New Roman"/>
          <w:b/>
          <w:color w:val="0D0D0D"/>
          <w:lang w:eastAsia="en-US"/>
        </w:rPr>
        <w:t xml:space="preserve"> and the AUC for each in</w:t>
      </w:r>
      <w:r w:rsidR="00F3672E">
        <w:rPr>
          <w:rFonts w:eastAsia="Times New Roman"/>
          <w:b/>
          <w:color w:val="0D0D0D"/>
          <w:lang w:eastAsia="en-US"/>
        </w:rPr>
        <w:t>dividual protein</w:t>
      </w:r>
      <w:r w:rsidRPr="006B72EF">
        <w:rPr>
          <w:rFonts w:eastAsia="Times New Roman"/>
          <w:b/>
          <w:color w:val="0D0D0D"/>
          <w:lang w:eastAsia="en-US"/>
        </w:rPr>
        <w:t>. The best predictive ability for logistic regression model for single proteins was for B2M and SAA, with AUC values of 0.87 and 0.82, respectively. ZAG: Zinc alpha 2-glycoprotein, VDB: Vitamin D binding protein Precursor, SAA: Serum Amyloid A protein, B2M: beta-2-microglobulin, Hp: Haptoglobin.</w:t>
      </w:r>
      <w:bookmarkEnd w:id="1304"/>
      <w:bookmarkEnd w:id="1305"/>
    </w:p>
    <w:p w:rsidR="006B72EF" w:rsidRDefault="006B72EF" w:rsidP="00057B42">
      <w:pPr>
        <w:pBdr>
          <w:bottom w:val="single" w:sz="12" w:space="1" w:color="auto"/>
        </w:pBdr>
        <w:spacing w:after="240" w:line="360" w:lineRule="auto"/>
        <w:jc w:val="both"/>
        <w:rPr>
          <w:rFonts w:eastAsia="Times New Roman"/>
          <w:b/>
          <w:color w:val="0D0D0D"/>
          <w:lang w:eastAsia="en-US"/>
        </w:rPr>
      </w:pPr>
    </w:p>
    <w:p w:rsidR="0073289A" w:rsidRDefault="0073289A" w:rsidP="00057B42">
      <w:pPr>
        <w:spacing w:line="360" w:lineRule="auto"/>
        <w:rPr>
          <w:rFonts w:eastAsia="Times New Roman"/>
          <w:b/>
          <w:color w:val="0D0D0D"/>
          <w:lang w:eastAsia="en-US"/>
        </w:rPr>
      </w:pPr>
      <w:r>
        <w:rPr>
          <w:rFonts w:eastAsia="Times New Roman"/>
          <w:b/>
          <w:color w:val="0D0D0D"/>
          <w:lang w:eastAsia="en-US"/>
        </w:rPr>
        <w:br w:type="page"/>
      </w:r>
    </w:p>
    <w:p w:rsidR="0073289A" w:rsidRDefault="006032C2" w:rsidP="00057B42">
      <w:pPr>
        <w:spacing w:line="360" w:lineRule="auto"/>
        <w:rPr>
          <w:rFonts w:eastAsia="Times New Roman"/>
          <w:b/>
          <w:color w:val="0D0D0D"/>
          <w:lang w:eastAsia="en-US"/>
        </w:rPr>
      </w:pPr>
      <w:r w:rsidRPr="006032C2">
        <w:rPr>
          <w:noProof/>
          <w:lang w:eastAsia="en-IE"/>
        </w:rPr>
        <w:lastRenderedPageBreak/>
        <w:drawing>
          <wp:inline distT="0" distB="0" distL="0" distR="0" wp14:anchorId="63452225" wp14:editId="6E3BC293">
            <wp:extent cx="7414324" cy="4428000"/>
            <wp:effectExtent l="7302" t="0" r="3493" b="3492"/>
            <wp:docPr id="290836" name="Picture 29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rot="16200000">
                      <a:off x="0" y="0"/>
                      <a:ext cx="7414324" cy="4428000"/>
                    </a:xfrm>
                    <a:prstGeom prst="rect">
                      <a:avLst/>
                    </a:prstGeom>
                  </pic:spPr>
                </pic:pic>
              </a:graphicData>
            </a:graphic>
          </wp:inline>
        </w:drawing>
      </w:r>
      <w:r w:rsidRPr="006032C2">
        <w:t xml:space="preserve"> </w:t>
      </w:r>
      <w:r w:rsidR="0073289A">
        <w:rPr>
          <w:rFonts w:eastAsia="Times New Roman"/>
          <w:b/>
          <w:color w:val="0D0D0D"/>
          <w:lang w:eastAsia="en-US"/>
        </w:rPr>
        <w:br w:type="page"/>
      </w:r>
    </w:p>
    <w:p w:rsidR="006B72EF" w:rsidRDefault="006B72EF" w:rsidP="00057B42">
      <w:pPr>
        <w:spacing w:before="240" w:line="360" w:lineRule="auto"/>
        <w:ind w:right="-1"/>
        <w:jc w:val="both"/>
        <w:rPr>
          <w:rFonts w:eastAsia="Times New Roman"/>
          <w:b/>
          <w:bCs/>
          <w:color w:val="000000"/>
          <w:lang w:eastAsia="en-US"/>
        </w:rPr>
      </w:pPr>
      <w:bookmarkStart w:id="1306" w:name="_Toc279441917"/>
      <w:r w:rsidRPr="006B72EF">
        <w:rPr>
          <w:rFonts w:eastAsia="Times New Roman"/>
          <w:b/>
          <w:bCs/>
          <w:color w:val="000000"/>
          <w:lang w:eastAsia="en-US"/>
        </w:rPr>
        <w:lastRenderedPageBreak/>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40</w:t>
      </w:r>
      <w:r w:rsidR="008A68DC">
        <w:rPr>
          <w:rFonts w:eastAsia="Times New Roman"/>
          <w:b/>
          <w:bCs/>
          <w:color w:val="000000"/>
          <w:lang w:eastAsia="en-US"/>
        </w:rPr>
        <w:fldChar w:fldCharType="end"/>
      </w:r>
      <w:r w:rsidRPr="006B72EF">
        <w:rPr>
          <w:rFonts w:eastAsia="Times New Roman"/>
          <w:b/>
          <w:bCs/>
          <w:color w:val="000000"/>
          <w:lang w:eastAsia="en-US"/>
        </w:rPr>
        <w:t xml:space="preserve">  shows ROC curve analysis carried out on all possible combinations of discovered differentially expressed protein biomarkers. Based on the area under the curve, it was found that combination of three or more of these proteins biomarkers can clearly improve the capability of the model to predict response to thalidomide based treatment; with the AUC of ≥ 0.90. ZAG: Zinc alpha 2-glycoprotein, VDB: Vitamin D binding protein Precursor, SAA: Serum Amyloid A protein, B2M: beta-2-microglobulin, Hp: Haptoglobin. The best possible area under th</w:t>
      </w:r>
      <w:r w:rsidR="00F3672E">
        <w:rPr>
          <w:rFonts w:eastAsia="Times New Roman"/>
          <w:b/>
          <w:bCs/>
          <w:color w:val="000000"/>
          <w:lang w:eastAsia="en-US"/>
        </w:rPr>
        <w:t>e curve (AUC) was 0.96 using Hp</w:t>
      </w:r>
      <w:r w:rsidRPr="006B72EF">
        <w:rPr>
          <w:rFonts w:eastAsia="Times New Roman"/>
          <w:b/>
          <w:bCs/>
          <w:color w:val="000000"/>
          <w:lang w:eastAsia="en-US"/>
        </w:rPr>
        <w:t xml:space="preserve">, </w:t>
      </w:r>
      <w:r w:rsidR="00F3672E" w:rsidRPr="006B72EF">
        <w:rPr>
          <w:rFonts w:eastAsia="Times New Roman"/>
          <w:b/>
          <w:bCs/>
          <w:color w:val="000000"/>
          <w:lang w:eastAsia="en-US"/>
        </w:rPr>
        <w:t xml:space="preserve">SAA </w:t>
      </w:r>
      <w:r w:rsidRPr="006B72EF">
        <w:rPr>
          <w:rFonts w:eastAsia="Times New Roman"/>
          <w:b/>
          <w:bCs/>
          <w:color w:val="000000"/>
          <w:lang w:eastAsia="en-US"/>
        </w:rPr>
        <w:t xml:space="preserve">and </w:t>
      </w:r>
      <w:r w:rsidR="00F3672E" w:rsidRPr="006B72EF">
        <w:rPr>
          <w:rFonts w:eastAsia="Times New Roman"/>
          <w:b/>
          <w:bCs/>
          <w:color w:val="000000"/>
          <w:lang w:eastAsia="en-US"/>
        </w:rPr>
        <w:t xml:space="preserve">VDB </w:t>
      </w:r>
      <w:r w:rsidRPr="006B72EF">
        <w:rPr>
          <w:rFonts w:eastAsia="Times New Roman"/>
          <w:b/>
          <w:bCs/>
          <w:color w:val="000000"/>
          <w:lang w:eastAsia="en-US"/>
        </w:rPr>
        <w:t>in combination.</w:t>
      </w:r>
      <w:bookmarkEnd w:id="1306"/>
      <w:r w:rsidRPr="006B72EF">
        <w:rPr>
          <w:rFonts w:eastAsia="Times New Roman"/>
          <w:b/>
          <w:bCs/>
          <w:color w:val="000000"/>
          <w:lang w:eastAsia="en-US"/>
        </w:rPr>
        <w:t xml:space="preserve"> </w:t>
      </w:r>
    </w:p>
    <w:p w:rsidR="00461ED8" w:rsidRDefault="00461ED8" w:rsidP="00057B42">
      <w:pPr>
        <w:pBdr>
          <w:bottom w:val="single" w:sz="12" w:space="1" w:color="auto"/>
        </w:pBdr>
        <w:spacing w:before="240" w:line="360" w:lineRule="auto"/>
        <w:ind w:right="-1"/>
        <w:jc w:val="both"/>
        <w:rPr>
          <w:rFonts w:eastAsia="Times New Roman"/>
          <w:b/>
          <w:bCs/>
          <w:color w:val="000000"/>
          <w:lang w:eastAsia="en-US"/>
        </w:rPr>
      </w:pPr>
    </w:p>
    <w:p w:rsidR="00461ED8" w:rsidRPr="006B72EF" w:rsidRDefault="00461ED8"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Default="006B72EF" w:rsidP="00645687">
      <w:pPr>
        <w:pStyle w:val="Heading3"/>
      </w:pPr>
      <w:r w:rsidRPr="006B72EF">
        <w:br w:type="page"/>
      </w:r>
      <w:bookmarkStart w:id="1307" w:name="_Toc279658470"/>
      <w:bookmarkStart w:id="1308" w:name="_Toc306570693"/>
      <w:bookmarkStart w:id="1309" w:name="_Toc307067755"/>
      <w:r w:rsidR="00760A1D">
        <w:lastRenderedPageBreak/>
        <w:tab/>
      </w:r>
      <w:bookmarkStart w:id="1310" w:name="_Toc312169326"/>
      <w:bookmarkStart w:id="1311" w:name="_Toc312172253"/>
      <w:bookmarkStart w:id="1312" w:name="_Toc312257802"/>
      <w:r w:rsidRPr="006B72EF">
        <w:t>A Leave-one-out-cross-validation</w:t>
      </w:r>
      <w:bookmarkEnd w:id="1307"/>
      <w:bookmarkEnd w:id="1308"/>
      <w:bookmarkEnd w:id="1309"/>
      <w:bookmarkEnd w:id="1310"/>
      <w:bookmarkEnd w:id="1311"/>
      <w:bookmarkEnd w:id="1312"/>
    </w:p>
    <w:p w:rsidR="006B72EF" w:rsidRPr="006B72EF" w:rsidRDefault="00527EEB" w:rsidP="00057B42">
      <w:pPr>
        <w:spacing w:after="240" w:line="360" w:lineRule="auto"/>
        <w:jc w:val="both"/>
        <w:rPr>
          <w:rFonts w:eastAsia="Times New Roman"/>
          <w:color w:val="0D0D0D"/>
          <w:lang w:eastAsia="en-US"/>
        </w:rPr>
      </w:pPr>
      <w:r>
        <w:rPr>
          <w:rFonts w:eastAsia="Times New Roman"/>
          <w:color w:val="0D0D0D"/>
          <w:lang w:eastAsia="en-US"/>
        </w:rPr>
        <w:t>F</w:t>
      </w:r>
      <w:r w:rsidR="006B72EF" w:rsidRPr="006B72EF">
        <w:rPr>
          <w:rFonts w:eastAsia="Times New Roman"/>
          <w:color w:val="0D0D0D"/>
          <w:lang w:eastAsia="en-US"/>
        </w:rPr>
        <w:t xml:space="preserve">urther measure of the predictive potential of these biomarkers to accurately predict response to thalidomide-based therapy, a commonly used more stringent internal validation technique known as LOOCV was </w:t>
      </w:r>
      <w:r>
        <w:rPr>
          <w:rFonts w:eastAsia="Times New Roman"/>
          <w:color w:val="0D0D0D"/>
          <w:lang w:eastAsia="en-US"/>
        </w:rPr>
        <w:t xml:space="preserve">also </w:t>
      </w:r>
      <w:r w:rsidR="006B72EF" w:rsidRPr="006B72EF">
        <w:rPr>
          <w:rFonts w:eastAsia="Times New Roman"/>
          <w:color w:val="0D0D0D"/>
          <w:lang w:eastAsia="en-US"/>
        </w:rPr>
        <w:t>performed.</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 LOOCV indicated an overall predictive accuracy of 84% with associated sensitivity and specificity values </w:t>
      </w:r>
      <w:r w:rsidR="00461ED8">
        <w:rPr>
          <w:rFonts w:eastAsia="Times New Roman"/>
          <w:color w:val="0D0D0D"/>
          <w:lang w:eastAsia="en-US"/>
        </w:rPr>
        <w:t>of 81.8% and 86.2% respectively</w:t>
      </w:r>
      <w:r w:rsidR="008657D3">
        <w:rPr>
          <w:rFonts w:eastAsia="Times New Roman"/>
          <w:color w:val="0D0D0D"/>
          <w:lang w:eastAsia="en-US"/>
        </w:rPr>
        <w:t xml:space="preserve"> (Table 3-7, 3-8, 3-9</w:t>
      </w:r>
      <w:r w:rsidR="00451758">
        <w:rPr>
          <w:rFonts w:eastAsia="Times New Roman"/>
          <w:color w:val="0D0D0D"/>
          <w:lang w:eastAsia="en-US"/>
        </w:rPr>
        <w:t>)</w:t>
      </w:r>
      <w:r w:rsidR="00461ED8">
        <w:rPr>
          <w:rFonts w:eastAsia="Times New Roman"/>
          <w:color w:val="0D0D0D"/>
          <w:lang w:eastAsia="en-US"/>
        </w:rPr>
        <w:t>.</w:t>
      </w:r>
    </w:p>
    <w:p w:rsidR="00760A1D" w:rsidRPr="00645550" w:rsidRDefault="00760A1D" w:rsidP="00645687">
      <w:pPr>
        <w:pStyle w:val="Heading4"/>
      </w:pPr>
      <w:bookmarkStart w:id="1313" w:name="_Toc274586843"/>
      <w:bookmarkStart w:id="1314" w:name="_Toc279658472"/>
      <w:r>
        <w:tab/>
      </w:r>
      <w:bookmarkStart w:id="1315" w:name="_Toc306570695"/>
      <w:bookmarkStart w:id="1316" w:name="_Toc307067757"/>
      <w:bookmarkStart w:id="1317" w:name="_Toc312169327"/>
      <w:bookmarkStart w:id="1318" w:name="_Toc312172254"/>
      <w:bookmarkStart w:id="1319" w:name="_Toc312257803"/>
      <w:r w:rsidRPr="00645550">
        <w:t>Calculation of non-response probability</w:t>
      </w:r>
      <w:bookmarkEnd w:id="1313"/>
      <w:r w:rsidRPr="00645550">
        <w:t xml:space="preserve"> using discovered biomarkers</w:t>
      </w:r>
      <w:bookmarkEnd w:id="1314"/>
      <w:bookmarkEnd w:id="1315"/>
      <w:bookmarkEnd w:id="1316"/>
      <w:bookmarkEnd w:id="1317"/>
      <w:bookmarkEnd w:id="1318"/>
      <w:bookmarkEnd w:id="1319"/>
    </w:p>
    <w:p w:rsidR="00760A1D" w:rsidRPr="006B72EF" w:rsidRDefault="00760A1D" w:rsidP="008657D3">
      <w:pPr>
        <w:spacing w:before="240" w:after="240" w:line="360" w:lineRule="auto"/>
        <w:jc w:val="both"/>
        <w:rPr>
          <w:rFonts w:eastAsia="Times New Roman"/>
          <w:color w:val="0D0D0D"/>
          <w:lang w:eastAsia="en-US"/>
        </w:rPr>
      </w:pPr>
      <w:r w:rsidRPr="006B72EF">
        <w:rPr>
          <w:rFonts w:eastAsia="Times New Roman"/>
          <w:color w:val="0D0D0D"/>
          <w:lang w:eastAsia="en-US"/>
        </w:rPr>
        <w:t>The equation below allows for the calculation of the probability (</w:t>
      </w:r>
      <w:r w:rsidRPr="008657D3">
        <w:rPr>
          <w:rFonts w:eastAsia="Times New Roman"/>
          <w:color w:val="0D0D0D"/>
          <w:lang w:eastAsia="en-US"/>
        </w:rPr>
        <w:t>p</w:t>
      </w:r>
      <w:r w:rsidRPr="006B72EF">
        <w:rPr>
          <w:rFonts w:eastAsia="Times New Roman"/>
          <w:color w:val="0D0D0D"/>
          <w:lang w:eastAsia="en-US"/>
        </w:rPr>
        <w:t>) of a patient being a non-responder based on the serum concentrations of ZAG, Hp and VDB as determined using ELISAs. Each protein concentration in µg/ml is first multiplied by the regression coefficient (derived from the fitted model) as per the equation below.</w:t>
      </w:r>
    </w:p>
    <w:p w:rsidR="00760A1D" w:rsidRPr="006B72EF"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If the resulting value of p is below 0.5, response to thalidomide is predicted and if the value is above 0.5 non-responses to thalidomide is predicted.</w:t>
      </w:r>
    </w:p>
    <w:p w:rsidR="00760A1D" w:rsidRPr="006B72EF"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As additional patient data is accumulated from future randomized clinical trials, the values of the regression coefficients may be altered.</w:t>
      </w:r>
    </w:p>
    <w:p w:rsidR="00760A1D" w:rsidRPr="006B72EF" w:rsidRDefault="00760A1D" w:rsidP="00057B42">
      <w:pPr>
        <w:spacing w:after="240" w:line="360" w:lineRule="auto"/>
        <w:jc w:val="both"/>
        <w:rPr>
          <w:rFonts w:eastAsia="Times New Roman"/>
          <w:color w:val="0D0D0D"/>
          <w:lang w:eastAsia="en-US"/>
        </w:rPr>
      </w:pPr>
    </w:p>
    <w:p w:rsidR="00760A1D" w:rsidRPr="006B72EF" w:rsidRDefault="00760A1D" w:rsidP="00057B42">
      <w:pPr>
        <w:keepNext/>
        <w:spacing w:after="240" w:line="360" w:lineRule="auto"/>
        <w:jc w:val="both"/>
        <w:rPr>
          <w:rFonts w:eastAsia="Times New Roman"/>
          <w:color w:val="0D0D0D"/>
          <w:lang w:eastAsia="en-US"/>
        </w:rPr>
      </w:pPr>
      <w:r>
        <w:rPr>
          <w:rFonts w:eastAsia="Times New Roman"/>
          <w:noProof/>
          <w:color w:val="0D0D0D"/>
          <w:sz w:val="16"/>
          <w:szCs w:val="16"/>
          <w:lang w:eastAsia="en-IE"/>
        </w:rPr>
        <w:drawing>
          <wp:inline distT="0" distB="0" distL="0" distR="0" wp14:anchorId="114963A4" wp14:editId="47804AB7">
            <wp:extent cx="5201920" cy="629920"/>
            <wp:effectExtent l="0" t="0" r="0" b="0"/>
            <wp:docPr id="64"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01920" cy="629920"/>
                    </a:xfrm>
                    <a:prstGeom prst="rect">
                      <a:avLst/>
                    </a:prstGeom>
                    <a:noFill/>
                    <a:ln>
                      <a:noFill/>
                    </a:ln>
                  </pic:spPr>
                </pic:pic>
              </a:graphicData>
            </a:graphic>
          </wp:inline>
        </w:drawing>
      </w:r>
    </w:p>
    <w:p w:rsidR="005810EB" w:rsidRDefault="00645550" w:rsidP="00057B42">
      <w:pPr>
        <w:pBdr>
          <w:bottom w:val="single" w:sz="12" w:space="1" w:color="auto"/>
        </w:pBdr>
        <w:spacing w:before="240" w:line="360" w:lineRule="auto"/>
        <w:ind w:right="-1"/>
        <w:jc w:val="both"/>
        <w:rPr>
          <w:rFonts w:eastAsia="Times New Roman"/>
          <w:b/>
          <w:bCs/>
          <w:color w:val="000000"/>
          <w:lang w:eastAsia="en-US"/>
        </w:rPr>
      </w:pPr>
      <w:r>
        <w:rPr>
          <w:rFonts w:eastAsia="Times New Roman"/>
          <w:b/>
          <w:bCs/>
          <w:color w:val="000000"/>
          <w:lang w:eastAsia="en-US"/>
        </w:rPr>
        <w:t xml:space="preserve">Equation </w:t>
      </w:r>
      <w:r w:rsidR="00760A1D">
        <w:rPr>
          <w:rFonts w:eastAsia="Times New Roman"/>
          <w:b/>
          <w:bCs/>
          <w:color w:val="000000"/>
          <w:lang w:eastAsia="en-US"/>
        </w:rPr>
        <w:t>3.</w:t>
      </w:r>
      <w:r w:rsidR="00760A1D" w:rsidRPr="006B72EF">
        <w:rPr>
          <w:rFonts w:eastAsia="Times New Roman"/>
          <w:b/>
          <w:bCs/>
          <w:color w:val="000000"/>
          <w:lang w:eastAsia="en-US"/>
        </w:rPr>
        <w:fldChar w:fldCharType="begin"/>
      </w:r>
      <w:r w:rsidR="00760A1D" w:rsidRPr="006B72EF">
        <w:rPr>
          <w:rFonts w:eastAsia="Times New Roman"/>
          <w:b/>
          <w:bCs/>
          <w:color w:val="000000"/>
          <w:lang w:eastAsia="en-US"/>
        </w:rPr>
        <w:instrText xml:space="preserve"> SEQ Equation \* ARABIC </w:instrText>
      </w:r>
      <w:r w:rsidR="00760A1D" w:rsidRPr="006B72EF">
        <w:rPr>
          <w:rFonts w:eastAsia="Times New Roman"/>
          <w:b/>
          <w:bCs/>
          <w:color w:val="000000"/>
          <w:lang w:eastAsia="en-US"/>
        </w:rPr>
        <w:fldChar w:fldCharType="separate"/>
      </w:r>
      <w:r w:rsidR="0081644B">
        <w:rPr>
          <w:rFonts w:eastAsia="Times New Roman"/>
          <w:b/>
          <w:bCs/>
          <w:noProof/>
          <w:color w:val="000000"/>
          <w:lang w:eastAsia="en-US"/>
        </w:rPr>
        <w:t>1</w:t>
      </w:r>
      <w:r w:rsidR="00760A1D" w:rsidRPr="006B72EF">
        <w:rPr>
          <w:rFonts w:eastAsia="Times New Roman"/>
          <w:b/>
          <w:bCs/>
          <w:noProof/>
          <w:color w:val="000000"/>
          <w:lang w:eastAsia="en-US"/>
        </w:rPr>
        <w:fldChar w:fldCharType="end"/>
      </w:r>
      <w:r w:rsidR="00760A1D" w:rsidRPr="006B72EF">
        <w:rPr>
          <w:rFonts w:eastAsia="Times New Roman"/>
          <w:b/>
          <w:bCs/>
          <w:color w:val="000000"/>
          <w:lang w:eastAsia="en-US"/>
        </w:rPr>
        <w:t xml:space="preserve"> can calculate the probability (p) of a patient being a non-responder based on the serum concentrations of ZAG, Hp and VDB in MM patients using commercially available ELISAs kit.</w:t>
      </w:r>
    </w:p>
    <w:p w:rsidR="00760A1D" w:rsidRDefault="00760A1D" w:rsidP="00057B42">
      <w:pPr>
        <w:pBdr>
          <w:bottom w:val="single" w:sz="12" w:space="1" w:color="auto"/>
        </w:pBdr>
        <w:spacing w:before="240" w:line="360" w:lineRule="auto"/>
        <w:ind w:right="-1"/>
        <w:jc w:val="both"/>
        <w:rPr>
          <w:rFonts w:eastAsia="Times New Roman"/>
          <w:b/>
          <w:bCs/>
          <w:color w:val="000000"/>
          <w:lang w:eastAsia="en-US"/>
        </w:rPr>
      </w:pPr>
    </w:p>
    <w:p w:rsidR="005810EB" w:rsidRDefault="005810EB" w:rsidP="00057B42">
      <w:pPr>
        <w:spacing w:before="240" w:line="360" w:lineRule="auto"/>
        <w:ind w:right="-1"/>
        <w:jc w:val="both"/>
        <w:rPr>
          <w:rFonts w:eastAsia="Times New Roman"/>
          <w:b/>
          <w:bCs/>
          <w:color w:val="000000"/>
          <w:lang w:eastAsia="en-US"/>
        </w:rPr>
      </w:pPr>
    </w:p>
    <w:p w:rsidR="00760A1D" w:rsidRDefault="00760A1D" w:rsidP="00645687">
      <w:pPr>
        <w:pStyle w:val="Heading4"/>
      </w:pPr>
      <w:bookmarkStart w:id="1320" w:name="_Toc279658471"/>
      <w:r>
        <w:lastRenderedPageBreak/>
        <w:tab/>
      </w:r>
      <w:bookmarkStart w:id="1321" w:name="_Toc306570694"/>
      <w:bookmarkStart w:id="1322" w:name="_Toc307067756"/>
      <w:bookmarkStart w:id="1323" w:name="_Toc312169328"/>
      <w:bookmarkStart w:id="1324" w:name="_Toc312172255"/>
      <w:bookmarkStart w:id="1325" w:name="_Toc312257804"/>
      <w:r w:rsidRPr="006B72EF">
        <w:t>Other successful combinations</w:t>
      </w:r>
      <w:bookmarkEnd w:id="1320"/>
      <w:bookmarkEnd w:id="1321"/>
      <w:bookmarkEnd w:id="1322"/>
      <w:bookmarkEnd w:id="1323"/>
      <w:bookmarkEnd w:id="1324"/>
      <w:bookmarkEnd w:id="1325"/>
    </w:p>
    <w:p w:rsidR="003C1A17" w:rsidRPr="003C1A17" w:rsidRDefault="003C1A17" w:rsidP="00057B42">
      <w:pPr>
        <w:spacing w:line="360" w:lineRule="auto"/>
        <w:rPr>
          <w:lang w:eastAsia="en-US"/>
        </w:rPr>
      </w:pPr>
    </w:p>
    <w:p w:rsidR="00760A1D" w:rsidRPr="006B72EF"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The other successful combinations of biomarkers from this analysis for predicting response to thalidomide based therapy were found to be following</w:t>
      </w:r>
      <w:r>
        <w:rPr>
          <w:rFonts w:eastAsia="Times New Roman"/>
          <w:color w:val="0D0D0D"/>
          <w:lang w:eastAsia="en-US"/>
        </w:rPr>
        <w:t xml:space="preserve"> (Figure 3-35).</w:t>
      </w:r>
    </w:p>
    <w:p w:rsidR="00760A1D" w:rsidRPr="006B72EF"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Combination of three proteins i.e. serum Hp, SAA and VDB have AUC=0.96 </w:t>
      </w:r>
      <w:r>
        <w:rPr>
          <w:rFonts w:eastAsia="Times New Roman"/>
          <w:color w:val="0D0D0D"/>
          <w:lang w:eastAsia="en-US"/>
        </w:rPr>
        <w:t>with LOOCV=84.31, and AIC=35.26.</w:t>
      </w:r>
    </w:p>
    <w:p w:rsidR="00760A1D"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Combination of four proteins i.e. ZAG, B2M, SAA and VDB have AUC=0.96,</w:t>
      </w:r>
      <w:r>
        <w:rPr>
          <w:rFonts w:eastAsia="Times New Roman"/>
          <w:color w:val="0D0D0D"/>
          <w:lang w:eastAsia="en-US"/>
        </w:rPr>
        <w:t xml:space="preserve"> with LOOCV=84.31 and AIC=37.02.</w:t>
      </w:r>
    </w:p>
    <w:p w:rsidR="00760A1D" w:rsidRPr="006B72EF" w:rsidRDefault="00760A1D"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 Finally combination of three proteins i.e. B2M, SAA and VDB have AUC=0.94 with LOOCV=84.31 and AIC=36.59.</w:t>
      </w:r>
    </w:p>
    <w:p w:rsidR="00760A1D" w:rsidRPr="006B72EF" w:rsidRDefault="00760A1D" w:rsidP="00057B42">
      <w:pPr>
        <w:spacing w:after="240" w:line="360" w:lineRule="auto"/>
        <w:jc w:val="both"/>
        <w:rPr>
          <w:rFonts w:eastAsia="Times New Roman"/>
          <w:color w:val="0D0D0D"/>
          <w:lang w:eastAsia="en-US"/>
        </w:rPr>
      </w:pPr>
    </w:p>
    <w:p w:rsidR="00760A1D" w:rsidRPr="006B72EF" w:rsidRDefault="00760A1D" w:rsidP="00057B42">
      <w:pPr>
        <w:spacing w:after="240" w:line="360" w:lineRule="auto"/>
        <w:jc w:val="both"/>
        <w:rPr>
          <w:rFonts w:eastAsia="Times New Roman"/>
          <w:color w:val="0D0D0D"/>
          <w:lang w:eastAsia="en-US"/>
        </w:rPr>
      </w:pPr>
    </w:p>
    <w:p w:rsidR="00760A1D" w:rsidRDefault="00760A1D" w:rsidP="00057B42">
      <w:pPr>
        <w:spacing w:after="240" w:line="360" w:lineRule="auto"/>
        <w:jc w:val="both"/>
        <w:rPr>
          <w:rFonts w:eastAsia="Times New Roman"/>
          <w:color w:val="0D0D0D"/>
          <w:lang w:eastAsia="en-US"/>
        </w:rPr>
      </w:pPr>
    </w:p>
    <w:p w:rsidR="00424953" w:rsidRDefault="00424953" w:rsidP="00057B42">
      <w:pPr>
        <w:spacing w:after="240" w:line="360" w:lineRule="auto"/>
        <w:jc w:val="both"/>
        <w:rPr>
          <w:rFonts w:eastAsia="Times New Roman"/>
          <w:color w:val="0D0D0D"/>
          <w:lang w:eastAsia="en-US"/>
        </w:rPr>
      </w:pPr>
    </w:p>
    <w:p w:rsidR="00424953" w:rsidRPr="006B72EF" w:rsidRDefault="00424953" w:rsidP="00057B42">
      <w:pPr>
        <w:spacing w:after="240" w:line="360" w:lineRule="auto"/>
        <w:jc w:val="both"/>
        <w:rPr>
          <w:rFonts w:eastAsia="Times New Roman"/>
          <w:color w:val="0D0D0D"/>
          <w:lang w:eastAsia="en-US"/>
        </w:rPr>
      </w:pPr>
    </w:p>
    <w:p w:rsidR="00760A1D" w:rsidRPr="006B72EF" w:rsidRDefault="00F9271D" w:rsidP="00057B42">
      <w:pPr>
        <w:spacing w:after="240" w:line="360" w:lineRule="auto"/>
        <w:jc w:val="both"/>
        <w:rPr>
          <w:rFonts w:eastAsia="Times New Roman"/>
          <w:color w:val="0D0D0D"/>
          <w:lang w:eastAsia="en-US"/>
        </w:rPr>
      </w:pPr>
      <w:r w:rsidRPr="00F9271D">
        <w:rPr>
          <w:noProof/>
          <w:lang w:eastAsia="en-IE"/>
        </w:rPr>
        <w:lastRenderedPageBreak/>
        <w:drawing>
          <wp:inline distT="0" distB="0" distL="0" distR="0" wp14:anchorId="2B3F48D3" wp14:editId="35D9A0F1">
            <wp:extent cx="5183505" cy="3892307"/>
            <wp:effectExtent l="0" t="0" r="0" b="0"/>
            <wp:docPr id="291122" name="Picture 29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83505" cy="3892307"/>
                    </a:xfrm>
                    <a:prstGeom prst="rect">
                      <a:avLst/>
                    </a:prstGeom>
                    <a:noFill/>
                    <a:ln>
                      <a:noFill/>
                    </a:ln>
                  </pic:spPr>
                </pic:pic>
              </a:graphicData>
            </a:graphic>
          </wp:inline>
        </w:drawing>
      </w:r>
    </w:p>
    <w:p w:rsidR="00760A1D" w:rsidRDefault="00760A1D" w:rsidP="00057B42">
      <w:pPr>
        <w:spacing w:after="240" w:line="360" w:lineRule="auto"/>
        <w:jc w:val="both"/>
        <w:rPr>
          <w:rFonts w:eastAsia="Times New Roman"/>
          <w:b/>
          <w:color w:val="0D0D0D"/>
          <w:lang w:eastAsia="en-US"/>
        </w:rPr>
      </w:pPr>
      <w:bookmarkStart w:id="1326" w:name="_Toc279441919"/>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41</w:t>
      </w:r>
      <w:r w:rsidR="008A68DC">
        <w:rPr>
          <w:rFonts w:eastAsia="Times New Roman"/>
          <w:b/>
          <w:color w:val="0D0D0D"/>
          <w:lang w:eastAsia="en-US"/>
        </w:rPr>
        <w:fldChar w:fldCharType="end"/>
      </w:r>
      <w:r>
        <w:rPr>
          <w:rFonts w:eastAsia="Times New Roman"/>
          <w:b/>
          <w:color w:val="0D0D0D"/>
          <w:lang w:eastAsia="en-US"/>
        </w:rPr>
        <w:t xml:space="preserve"> S</w:t>
      </w:r>
      <w:r w:rsidRPr="006B72EF">
        <w:rPr>
          <w:rFonts w:eastAsia="Times New Roman"/>
          <w:b/>
          <w:color w:val="0D0D0D"/>
          <w:lang w:eastAsia="en-US"/>
        </w:rPr>
        <w:t>hows that the best possible area under the curve (AUC) was 0.96 using ZAG, VDB and SAA in combination. A more stringent Leave-one-out-cross-validation (LOOCV) indicated an overall predictive accuracy of 84% with associated sensitivity and specificity values of 81.8% and 86.2% respectively.</w:t>
      </w:r>
      <w:bookmarkEnd w:id="1326"/>
    </w:p>
    <w:p w:rsidR="00760A1D" w:rsidRDefault="00760A1D" w:rsidP="00057B42">
      <w:pPr>
        <w:pBdr>
          <w:bottom w:val="single" w:sz="12" w:space="1" w:color="auto"/>
        </w:pBdr>
        <w:spacing w:after="240" w:line="360" w:lineRule="auto"/>
        <w:jc w:val="both"/>
        <w:rPr>
          <w:rFonts w:eastAsia="Times New Roman"/>
          <w:b/>
          <w:color w:val="0D0D0D"/>
          <w:lang w:eastAsia="en-US"/>
        </w:rPr>
      </w:pPr>
    </w:p>
    <w:p w:rsidR="00760A1D" w:rsidRPr="006B72EF" w:rsidRDefault="00760A1D" w:rsidP="00057B42">
      <w:pPr>
        <w:spacing w:after="240" w:line="360" w:lineRule="auto"/>
        <w:jc w:val="both"/>
        <w:rPr>
          <w:rFonts w:eastAsia="Times New Roman"/>
          <w:b/>
          <w:color w:val="0D0D0D"/>
          <w:lang w:eastAsia="en-US"/>
        </w:rPr>
      </w:pPr>
    </w:p>
    <w:p w:rsidR="00760A1D" w:rsidRPr="006B72EF" w:rsidRDefault="00760A1D" w:rsidP="00645687">
      <w:pPr>
        <w:pStyle w:val="Heading4"/>
        <w:rPr>
          <w:rFonts w:eastAsia="Times New Roman"/>
          <w:color w:val="0D0D0D"/>
        </w:rPr>
      </w:pPr>
      <w:r w:rsidRPr="006B72EF">
        <w:br w:type="page"/>
      </w:r>
    </w:p>
    <w:p w:rsidR="003711F5" w:rsidRDefault="003711F5" w:rsidP="00057B42">
      <w:pPr>
        <w:keepNext/>
        <w:spacing w:line="360" w:lineRule="auto"/>
      </w:pPr>
      <w:r w:rsidRPr="003711F5">
        <w:rPr>
          <w:noProof/>
          <w:lang w:eastAsia="en-IE"/>
        </w:rPr>
        <w:lastRenderedPageBreak/>
        <w:drawing>
          <wp:inline distT="0" distB="0" distL="0" distR="0" wp14:anchorId="372782AB" wp14:editId="01CCA893">
            <wp:extent cx="5183505" cy="5669839"/>
            <wp:effectExtent l="0" t="0" r="0" b="7620"/>
            <wp:docPr id="290824" name="Picture 29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183505" cy="5669839"/>
                    </a:xfrm>
                    <a:prstGeom prst="rect">
                      <a:avLst/>
                    </a:prstGeom>
                  </pic:spPr>
                </pic:pic>
              </a:graphicData>
            </a:graphic>
          </wp:inline>
        </w:drawing>
      </w:r>
    </w:p>
    <w:p w:rsidR="003711F5" w:rsidRDefault="003711F5" w:rsidP="00057B42">
      <w:pPr>
        <w:pStyle w:val="Caption"/>
      </w:pPr>
    </w:p>
    <w:p w:rsidR="003711F5" w:rsidRDefault="003711F5" w:rsidP="00057B42">
      <w:pPr>
        <w:pStyle w:val="Caption"/>
        <w:pBdr>
          <w:bottom w:val="single" w:sz="12" w:space="1" w:color="auto"/>
        </w:pBdr>
        <w:jc w:val="both"/>
      </w:pPr>
    </w:p>
    <w:p w:rsidR="003711F5" w:rsidRDefault="003711F5" w:rsidP="00057B42">
      <w:pPr>
        <w:pStyle w:val="Caption"/>
        <w:pBdr>
          <w:bottom w:val="single" w:sz="12" w:space="1" w:color="auto"/>
        </w:pBdr>
        <w:jc w:val="both"/>
      </w:pPr>
      <w:r>
        <w:t xml:space="preserve">Table </w:t>
      </w:r>
      <w:fldSimple w:instr=" STYLEREF 1 \s ">
        <w:r w:rsidR="0081644B">
          <w:rPr>
            <w:noProof/>
          </w:rPr>
          <w:t>3</w:t>
        </w:r>
      </w:fldSimple>
      <w:r w:rsidR="00B55EFC">
        <w:noBreakHyphen/>
      </w:r>
      <w:fldSimple w:instr=" SEQ Table \* ARABIC \s 1 ">
        <w:r w:rsidR="0081644B">
          <w:rPr>
            <w:noProof/>
          </w:rPr>
          <w:t>7</w:t>
        </w:r>
      </w:fldSimple>
      <w:r>
        <w:t xml:space="preserve"> </w:t>
      </w:r>
      <w:r w:rsidR="00D7041F">
        <w:t>shows</w:t>
      </w:r>
      <w:r w:rsidRPr="003711F5">
        <w:t xml:space="preserve"> the clinical</w:t>
      </w:r>
      <w:r>
        <w:t>ly</w:t>
      </w:r>
      <w:r w:rsidRPr="003711F5">
        <w:t xml:space="preserve"> </w:t>
      </w:r>
      <w:r>
        <w:t>responders</w:t>
      </w:r>
      <w:r w:rsidRPr="003711F5">
        <w:t xml:space="preserve"> patients</w:t>
      </w:r>
      <w:r>
        <w:t xml:space="preserve"> based on</w:t>
      </w:r>
      <w:r w:rsidRPr="003711F5">
        <w:t xml:space="preserve"> Day-100 restaging established on IMWG (International Myeloma Working Group) uniform response criteria for MM</w:t>
      </w:r>
      <w:r>
        <w:t xml:space="preserve"> also including patients</w:t>
      </w:r>
      <w:r w:rsidRPr="003711F5">
        <w:t xml:space="preserve"> age, sex, clinical stage based on ISS (International Staging System), The last two columns summarize the leave-one-out cross validation (LOOCV) analysis. If the resulting </w:t>
      </w:r>
      <w:r>
        <w:t>LOOCV value</w:t>
      </w:r>
      <w:r w:rsidRPr="003711F5">
        <w:t xml:space="preserve"> is below 0.5, </w:t>
      </w:r>
      <w:r w:rsidR="00760A1D">
        <w:t>the</w:t>
      </w:r>
      <w:r>
        <w:t xml:space="preserve"> </w:t>
      </w:r>
      <w:r w:rsidR="00760A1D">
        <w:t>model has</w:t>
      </w:r>
      <w:r>
        <w:t xml:space="preserve"> </w:t>
      </w:r>
      <w:r w:rsidRPr="003711F5">
        <w:t xml:space="preserve">predicted </w:t>
      </w:r>
      <w:r>
        <w:t>responsive</w:t>
      </w:r>
      <w:r w:rsidRPr="003711F5">
        <w:t xml:space="preserve"> to thalidomide and if the value is above 0.5 non-responses to thalidomide based regimen was predicted. </w:t>
      </w:r>
      <w:r>
        <w:t xml:space="preserve">Abbreviations; </w:t>
      </w:r>
      <w:r w:rsidRPr="003711F5">
        <w:t>R: Responders to thalidomide-based therapy, M: male, F: female.</w:t>
      </w:r>
    </w:p>
    <w:p w:rsidR="003711F5" w:rsidRDefault="003711F5" w:rsidP="00057B42">
      <w:pPr>
        <w:pStyle w:val="Caption"/>
        <w:pBdr>
          <w:bottom w:val="single" w:sz="12" w:space="1" w:color="auto"/>
        </w:pBdr>
        <w:jc w:val="both"/>
      </w:pPr>
    </w:p>
    <w:p w:rsidR="00131212" w:rsidRDefault="00131212" w:rsidP="00057B42">
      <w:pPr>
        <w:keepNext/>
        <w:spacing w:line="360" w:lineRule="auto"/>
      </w:pPr>
      <w:r w:rsidRPr="00131212">
        <w:rPr>
          <w:noProof/>
          <w:lang w:eastAsia="en-IE"/>
        </w:rPr>
        <w:lastRenderedPageBreak/>
        <w:drawing>
          <wp:inline distT="0" distB="0" distL="0" distR="0" wp14:anchorId="236BC9B3" wp14:editId="792597A4">
            <wp:extent cx="5183505" cy="4393792"/>
            <wp:effectExtent l="0" t="0" r="0" b="6985"/>
            <wp:docPr id="290825" name="Picture 29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183505" cy="4393792"/>
                    </a:xfrm>
                    <a:prstGeom prst="rect">
                      <a:avLst/>
                    </a:prstGeom>
                  </pic:spPr>
                </pic:pic>
              </a:graphicData>
            </a:graphic>
          </wp:inline>
        </w:drawing>
      </w:r>
    </w:p>
    <w:p w:rsidR="00131212" w:rsidRDefault="00131212" w:rsidP="00057B42">
      <w:pPr>
        <w:pStyle w:val="Caption"/>
      </w:pPr>
    </w:p>
    <w:p w:rsidR="00131212" w:rsidRDefault="00131212" w:rsidP="00057B42">
      <w:pPr>
        <w:pStyle w:val="Caption"/>
      </w:pPr>
    </w:p>
    <w:p w:rsidR="00131212" w:rsidRDefault="00131212" w:rsidP="00057B42">
      <w:pPr>
        <w:pStyle w:val="Caption"/>
        <w:pBdr>
          <w:bottom w:val="single" w:sz="12" w:space="1" w:color="auto"/>
        </w:pBdr>
        <w:jc w:val="both"/>
      </w:pPr>
      <w:r>
        <w:t xml:space="preserve">Table </w:t>
      </w:r>
      <w:fldSimple w:instr=" STYLEREF 1 \s ">
        <w:r w:rsidR="0081644B">
          <w:rPr>
            <w:noProof/>
          </w:rPr>
          <w:t>3</w:t>
        </w:r>
      </w:fldSimple>
      <w:r w:rsidR="00B55EFC">
        <w:noBreakHyphen/>
      </w:r>
      <w:fldSimple w:instr=" SEQ Table \* ARABIC \s 1 ">
        <w:r w:rsidR="0081644B">
          <w:rPr>
            <w:noProof/>
          </w:rPr>
          <w:t>8</w:t>
        </w:r>
      </w:fldSimple>
      <w:r>
        <w:t xml:space="preserve"> </w:t>
      </w:r>
      <w:r w:rsidR="00D7041F">
        <w:t xml:space="preserve">shows </w:t>
      </w:r>
      <w:r w:rsidRPr="003711F5">
        <w:t>the clinical</w:t>
      </w:r>
      <w:r>
        <w:t>ly</w:t>
      </w:r>
      <w:r w:rsidRPr="003711F5">
        <w:t xml:space="preserve"> </w:t>
      </w:r>
      <w:r>
        <w:t>non-responders</w:t>
      </w:r>
      <w:r w:rsidRPr="003711F5">
        <w:t xml:space="preserve"> patients</w:t>
      </w:r>
      <w:r>
        <w:t xml:space="preserve"> based on</w:t>
      </w:r>
      <w:r w:rsidRPr="003711F5">
        <w:t xml:space="preserve"> Day-100 restaging established on IMWG (International Myeloma Working Group) uniform response criteria for MM</w:t>
      </w:r>
      <w:r>
        <w:t xml:space="preserve"> also including patients</w:t>
      </w:r>
      <w:r w:rsidRPr="003711F5">
        <w:t xml:space="preserve"> age, sex, clinical stage based on ISS (International Staging System), The last two columns summarize the leave-one-out cross validation (LOOCV) analysis. If the resulting </w:t>
      </w:r>
      <w:r>
        <w:t>LOOCV value</w:t>
      </w:r>
      <w:r w:rsidRPr="003711F5">
        <w:t xml:space="preserve"> is below 0.5, </w:t>
      </w:r>
      <w:r w:rsidR="00760A1D">
        <w:t>the</w:t>
      </w:r>
      <w:r>
        <w:t xml:space="preserve"> </w:t>
      </w:r>
      <w:r w:rsidR="00760A1D">
        <w:t>model has</w:t>
      </w:r>
      <w:r>
        <w:t xml:space="preserve"> </w:t>
      </w:r>
      <w:r w:rsidRPr="003711F5">
        <w:t xml:space="preserve">predicted </w:t>
      </w:r>
      <w:r>
        <w:t>responsive</w:t>
      </w:r>
      <w:r w:rsidRPr="003711F5">
        <w:t xml:space="preserve"> to thalidomide and if the value is above 0.5 non-responses to thalidomide based regimen was predicted. </w:t>
      </w:r>
      <w:r>
        <w:t xml:space="preserve">Abbreviations; </w:t>
      </w:r>
      <w:r w:rsidRPr="003711F5">
        <w:t>NR: Non-responders to thalidomide-based therapy, M: male, F: female.</w:t>
      </w:r>
    </w:p>
    <w:p w:rsidR="00131212" w:rsidRDefault="00131212" w:rsidP="00057B42">
      <w:pPr>
        <w:pStyle w:val="Caption"/>
        <w:pBdr>
          <w:bottom w:val="single" w:sz="12" w:space="1" w:color="auto"/>
        </w:pBdr>
        <w:jc w:val="both"/>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32376797" wp14:editId="128DCCD2">
            <wp:extent cx="5236210" cy="7738110"/>
            <wp:effectExtent l="0" t="0" r="2540" b="0"/>
            <wp:docPr id="65"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36210" cy="7738110"/>
                    </a:xfrm>
                    <a:prstGeom prst="rect">
                      <a:avLst/>
                    </a:prstGeom>
                    <a:noFill/>
                    <a:ln>
                      <a:noFill/>
                    </a:ln>
                  </pic:spPr>
                </pic:pic>
              </a:graphicData>
            </a:graphic>
          </wp:inline>
        </w:drawing>
      </w:r>
    </w:p>
    <w:p w:rsidR="006B72EF" w:rsidRPr="006B72EF" w:rsidRDefault="006B72EF" w:rsidP="00057B42">
      <w:pPr>
        <w:spacing w:before="240" w:line="360" w:lineRule="auto"/>
        <w:ind w:right="-1"/>
        <w:jc w:val="both"/>
        <w:rPr>
          <w:rFonts w:eastAsia="Times New Roman"/>
          <w:b/>
          <w:bCs/>
          <w:color w:val="000000"/>
          <w:lang w:eastAsia="en-US"/>
        </w:rPr>
      </w:pPr>
    </w:p>
    <w:p w:rsidR="006B72EF" w:rsidRPr="006B72EF" w:rsidRDefault="006B72EF" w:rsidP="00057B42">
      <w:pPr>
        <w:spacing w:before="240" w:line="360" w:lineRule="auto"/>
        <w:ind w:right="-1"/>
        <w:jc w:val="both"/>
        <w:rPr>
          <w:rFonts w:eastAsia="Times New Roman"/>
          <w:b/>
          <w:bCs/>
          <w:color w:val="000000"/>
          <w:lang w:eastAsia="en-US"/>
        </w:rPr>
      </w:pPr>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lastRenderedPageBreak/>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9</w:t>
      </w:r>
      <w:r w:rsidR="00B55EFC">
        <w:rPr>
          <w:rFonts w:eastAsia="Times New Roman"/>
          <w:b/>
          <w:bCs/>
          <w:color w:val="000000"/>
          <w:lang w:eastAsia="en-US"/>
        </w:rPr>
        <w:fldChar w:fldCharType="end"/>
      </w:r>
      <w:r w:rsidRPr="006B72EF">
        <w:rPr>
          <w:rFonts w:eastAsia="Times New Roman"/>
          <w:b/>
          <w:bCs/>
          <w:color w:val="000000"/>
          <w:lang w:eastAsia="en-US"/>
        </w:rPr>
        <w:t xml:space="preserve"> </w:t>
      </w:r>
      <w:bookmarkStart w:id="1327" w:name="_Toc274587629"/>
      <w:r w:rsidR="00D7041F">
        <w:rPr>
          <w:rFonts w:eastAsia="Times New Roman"/>
          <w:b/>
          <w:bCs/>
          <w:color w:val="000000"/>
          <w:lang w:eastAsia="en-US"/>
        </w:rPr>
        <w:t>shows</w:t>
      </w:r>
      <w:r w:rsidRPr="006B72EF">
        <w:rPr>
          <w:rFonts w:eastAsia="Times New Roman"/>
          <w:b/>
          <w:bCs/>
          <w:color w:val="000000"/>
          <w:lang w:eastAsia="en-US"/>
        </w:rPr>
        <w:t xml:space="preserve"> the clinical details of the patients included in this study, including their age, sex, clinical stage based on ISS (International Staging System), Day-100 restaging based on IMWG (International Myeloma Working Group) uniform response criteria for MM and clinical classification of response to thalidomide. The last two columns summarize the leave-one-out cross validation (LOOCV) analysis. If the resulting value of p is below 0.5, response to thalidomide was predicted and if the value is above 0.5 non-responses to thalidomide based regimen was predicted. R: Responders to thalidomide-based therapy, NR: Non-responders to thalidomide-based therapy, M: male, F: female</w:t>
      </w:r>
      <w:bookmarkEnd w:id="1327"/>
      <w:r w:rsidR="00461ED8">
        <w:rPr>
          <w:rFonts w:eastAsia="Times New Roman"/>
          <w:b/>
          <w:bCs/>
          <w:color w:val="000000"/>
          <w:lang w:eastAsia="en-US"/>
        </w:rPr>
        <w:t>.</w:t>
      </w:r>
    </w:p>
    <w:p w:rsidR="00461ED8" w:rsidRDefault="00461ED8" w:rsidP="00057B42">
      <w:pPr>
        <w:pBdr>
          <w:bottom w:val="single" w:sz="12" w:space="1" w:color="auto"/>
        </w:pBdr>
        <w:spacing w:before="240" w:line="360" w:lineRule="auto"/>
        <w:ind w:right="-1"/>
        <w:jc w:val="both"/>
        <w:rPr>
          <w:rFonts w:eastAsia="Times New Roman"/>
          <w:b/>
          <w:bCs/>
          <w:color w:val="000000"/>
          <w:lang w:eastAsia="en-US"/>
        </w:rPr>
      </w:pPr>
    </w:p>
    <w:p w:rsidR="00461ED8" w:rsidRPr="006B72EF" w:rsidRDefault="00461ED8" w:rsidP="00057B42">
      <w:pPr>
        <w:spacing w:before="240" w:line="360" w:lineRule="auto"/>
        <w:ind w:right="-1"/>
        <w:jc w:val="both"/>
        <w:rPr>
          <w:rFonts w:eastAsia="Times New Roman"/>
          <w:b/>
          <w:bCs/>
          <w:color w:val="000000"/>
          <w:lang w:eastAsia="en-US"/>
        </w:rPr>
      </w:pPr>
    </w:p>
    <w:p w:rsidR="006B72EF" w:rsidRPr="006B72EF" w:rsidRDefault="006B72EF" w:rsidP="00645687">
      <w:pPr>
        <w:pStyle w:val="Heading3"/>
      </w:pPr>
      <w:r w:rsidRPr="006B72EF">
        <w:br w:type="page"/>
      </w:r>
      <w:bookmarkStart w:id="1328" w:name="_Toc274736200"/>
      <w:bookmarkStart w:id="1329" w:name="_Toc279658473"/>
      <w:bookmarkStart w:id="1330" w:name="_Toc306570696"/>
      <w:bookmarkStart w:id="1331" w:name="_Toc307067758"/>
      <w:r w:rsidR="00F9271D">
        <w:lastRenderedPageBreak/>
        <w:tab/>
      </w:r>
      <w:bookmarkStart w:id="1332" w:name="_Toc312169329"/>
      <w:bookmarkStart w:id="1333" w:name="_Toc312172256"/>
      <w:bookmarkStart w:id="1334" w:name="_Toc312257805"/>
      <w:r w:rsidRPr="006B72EF">
        <w:t>Non-response probability using other independent variables</w:t>
      </w:r>
      <w:bookmarkEnd w:id="1328"/>
      <w:bookmarkEnd w:id="1329"/>
      <w:bookmarkEnd w:id="1330"/>
      <w:bookmarkEnd w:id="1331"/>
      <w:bookmarkEnd w:id="1332"/>
      <w:bookmarkEnd w:id="1333"/>
      <w:bookmarkEnd w:id="1334"/>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Previous studies found a range of prognostic factors in Multiple myeloma at diagnosis can influence prognosis and final outcome, such as:</w:t>
      </w:r>
    </w:p>
    <w:p w:rsidR="006B72EF" w:rsidRPr="006B72EF" w:rsidRDefault="006B72EF" w:rsidP="00057B42">
      <w:pPr>
        <w:numPr>
          <w:ilvl w:val="0"/>
          <w:numId w:val="17"/>
        </w:numPr>
        <w:spacing w:after="240" w:line="360" w:lineRule="auto"/>
        <w:contextualSpacing/>
        <w:jc w:val="both"/>
        <w:rPr>
          <w:rFonts w:eastAsia="Times New Roman"/>
          <w:color w:val="0D0D0D"/>
          <w:lang w:eastAsia="en-US"/>
        </w:rPr>
      </w:pPr>
      <w:r w:rsidRPr="006B72EF">
        <w:rPr>
          <w:rFonts w:eastAsia="Times New Roman"/>
          <w:color w:val="0D0D0D"/>
          <w:lang w:eastAsia="en-US"/>
        </w:rPr>
        <w:t xml:space="preserve">Serum C reactive protein </w:t>
      </w:r>
    </w:p>
    <w:p w:rsidR="006B72EF" w:rsidRPr="006B72EF" w:rsidRDefault="006B72EF" w:rsidP="00057B42">
      <w:pPr>
        <w:numPr>
          <w:ilvl w:val="0"/>
          <w:numId w:val="17"/>
        </w:numPr>
        <w:spacing w:after="240" w:line="360" w:lineRule="auto"/>
        <w:contextualSpacing/>
        <w:jc w:val="both"/>
        <w:rPr>
          <w:rFonts w:eastAsia="Times New Roman"/>
          <w:color w:val="0D0D0D"/>
          <w:lang w:eastAsia="en-US"/>
        </w:rPr>
      </w:pPr>
      <w:r w:rsidRPr="006B72EF">
        <w:rPr>
          <w:rFonts w:eastAsia="Times New Roman"/>
          <w:color w:val="0D0D0D"/>
          <w:lang w:eastAsia="en-US"/>
        </w:rPr>
        <w:t xml:space="preserve">Patients age </w:t>
      </w:r>
    </w:p>
    <w:p w:rsidR="006B72EF" w:rsidRPr="006B72EF" w:rsidRDefault="006B72EF" w:rsidP="00057B42">
      <w:pPr>
        <w:numPr>
          <w:ilvl w:val="0"/>
          <w:numId w:val="17"/>
        </w:numPr>
        <w:spacing w:after="240" w:line="360" w:lineRule="auto"/>
        <w:contextualSpacing/>
        <w:jc w:val="both"/>
        <w:rPr>
          <w:rFonts w:eastAsia="Times New Roman"/>
          <w:color w:val="0D0D0D"/>
          <w:lang w:eastAsia="en-US"/>
        </w:rPr>
      </w:pPr>
      <w:r w:rsidRPr="006B72EF">
        <w:rPr>
          <w:rFonts w:eastAsia="Times New Roman"/>
          <w:color w:val="0D0D0D"/>
          <w:lang w:eastAsia="en-US"/>
        </w:rPr>
        <w:t xml:space="preserve">Haemoglobin </w:t>
      </w:r>
    </w:p>
    <w:p w:rsidR="006B72EF" w:rsidRDefault="006B72EF" w:rsidP="00057B42">
      <w:pPr>
        <w:spacing w:before="240" w:after="240" w:line="360" w:lineRule="auto"/>
        <w:jc w:val="both"/>
        <w:rPr>
          <w:rFonts w:eastAsia="Times New Roman"/>
          <w:color w:val="0D0D0D"/>
          <w:lang w:eastAsia="en-US"/>
        </w:rPr>
      </w:pPr>
      <w:r w:rsidRPr="006B72EF">
        <w:rPr>
          <w:rFonts w:eastAsia="Times New Roman"/>
          <w:color w:val="0D0D0D"/>
          <w:lang w:eastAsia="en-US"/>
        </w:rPr>
        <w:t xml:space="preserve">In our study, each of these independent variables was added to previously </w:t>
      </w:r>
      <w:r w:rsidR="004D4F5E" w:rsidRPr="006B72EF">
        <w:rPr>
          <w:rFonts w:eastAsia="Times New Roman"/>
          <w:color w:val="0D0D0D"/>
          <w:lang w:eastAsia="en-US"/>
        </w:rPr>
        <w:t>construct</w:t>
      </w:r>
      <w:r w:rsidR="004D4F5E">
        <w:rPr>
          <w:rFonts w:eastAsia="Times New Roman"/>
          <w:color w:val="0D0D0D"/>
          <w:lang w:eastAsia="en-US"/>
        </w:rPr>
        <w:t>ed</w:t>
      </w:r>
      <w:r w:rsidRPr="006B72EF">
        <w:rPr>
          <w:rFonts w:eastAsia="Times New Roman"/>
          <w:color w:val="0D0D0D"/>
          <w:lang w:eastAsia="en-US"/>
        </w:rPr>
        <w:t xml:space="preserve"> predi</w:t>
      </w:r>
      <w:r w:rsidR="00316C22">
        <w:rPr>
          <w:rFonts w:eastAsia="Times New Roman"/>
          <w:color w:val="0D0D0D"/>
          <w:lang w:eastAsia="en-US"/>
        </w:rPr>
        <w:t>ctive model to determine if</w:t>
      </w:r>
      <w:r w:rsidRPr="006B72EF">
        <w:rPr>
          <w:rFonts w:eastAsia="Times New Roman"/>
          <w:color w:val="0D0D0D"/>
          <w:lang w:eastAsia="en-US"/>
        </w:rPr>
        <w:t xml:space="preserve"> this addition can improve the ability of this model to predict response to thalidomide based therapy.</w:t>
      </w:r>
    </w:p>
    <w:p w:rsidR="006B72EF" w:rsidRDefault="00461ED8" w:rsidP="00645687">
      <w:pPr>
        <w:pStyle w:val="Heading4"/>
      </w:pPr>
      <w:bookmarkStart w:id="1335" w:name="_Toc274586844"/>
      <w:bookmarkStart w:id="1336" w:name="_Toc274736201"/>
      <w:r>
        <w:tab/>
      </w:r>
      <w:bookmarkStart w:id="1337" w:name="_Toc306570697"/>
      <w:bookmarkStart w:id="1338" w:name="_Toc307067759"/>
      <w:bookmarkStart w:id="1339" w:name="_Toc312169330"/>
      <w:bookmarkStart w:id="1340" w:name="_Toc312172257"/>
      <w:bookmarkStart w:id="1341" w:name="_Toc312257806"/>
      <w:r w:rsidR="006B72EF" w:rsidRPr="006B72EF">
        <w:t>Serum C reactive protein (CRP)</w:t>
      </w:r>
      <w:bookmarkEnd w:id="1335"/>
      <w:r w:rsidR="006B72EF" w:rsidRPr="006B72EF">
        <w:t xml:space="preserve"> at diagnosis</w:t>
      </w:r>
      <w:bookmarkEnd w:id="1336"/>
      <w:bookmarkEnd w:id="1337"/>
      <w:bookmarkEnd w:id="1338"/>
      <w:bookmarkEnd w:id="1339"/>
      <w:bookmarkEnd w:id="1340"/>
      <w:bookmarkEnd w:id="1341"/>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Active myeloma disease is significantly more common among patients with biologic evidence of inflammation, as compared with myeloma patients without biologic inflammation </w:t>
      </w:r>
      <w:r w:rsidRPr="006B72EF">
        <w:rPr>
          <w:rFonts w:eastAsia="Times New Roman"/>
          <w:color w:val="0D0D0D"/>
          <w:lang w:eastAsia="en-US"/>
        </w:rPr>
        <w:fldChar w:fldCharType="begin">
          <w:fldData xml:space="preserve">PEVuZE5vdGU+PENpdGU+PEF1dGhvcj5EdWJvc3Q8L0F1dGhvcj48WWVhcj4xOTkxPC9ZZWFyPjxS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</w:fldData>
        </w:fldChar>
      </w:r>
      <w:r w:rsidR="003C0ABB">
        <w:rPr>
          <w:rFonts w:eastAsia="Times New Roman"/>
          <w:color w:val="0D0D0D"/>
          <w:lang w:eastAsia="en-US"/>
        </w:rPr>
        <w:instrText xml:space="preserve"> ADDIN EN.CITE </w:instrText>
      </w:r>
      <w:r w:rsidR="003C0ABB">
        <w:rPr>
          <w:rFonts w:eastAsia="Times New Roman"/>
          <w:color w:val="0D0D0D"/>
          <w:lang w:eastAsia="en-US"/>
        </w:rPr>
        <w:fldChar w:fldCharType="begin">
          <w:fldData xml:space="preserve">PEVuZE5vdGU+PENpdGU+PEF1dGhvcj5EdWJvc3Q8L0F1dGhvcj48WWVhcj4xOTkxPC9ZZWFyPjxS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</w:fldData>
        </w:fldChar>
      </w:r>
      <w:r w:rsidR="003C0ABB">
        <w:rPr>
          <w:rFonts w:eastAsia="Times New Roman"/>
          <w:color w:val="0D0D0D"/>
          <w:lang w:eastAsia="en-US"/>
        </w:rPr>
        <w:instrText xml:space="preserve"> ADDIN EN.CITE.DATA </w:instrText>
      </w:r>
      <w:r w:rsidR="003C0ABB">
        <w:rPr>
          <w:rFonts w:eastAsia="Times New Roman"/>
          <w:color w:val="0D0D0D"/>
          <w:lang w:eastAsia="en-US"/>
        </w:rPr>
      </w:r>
      <w:r w:rsidR="003C0ABB">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109" w:tooltip="Dubost, 1991 #5872" w:history="1">
        <w:r w:rsidR="004A784D">
          <w:rPr>
            <w:rFonts w:eastAsia="Times New Roman"/>
            <w:noProof/>
            <w:color w:val="0D0D0D"/>
            <w:lang w:eastAsia="en-US"/>
          </w:rPr>
          <w:t>Dubost et al., 1991</w:t>
        </w:r>
      </w:hyperlink>
      <w:r w:rsidR="006F41FE">
        <w:rPr>
          <w:rFonts w:eastAsia="Times New Roman"/>
          <w:noProof/>
          <w:color w:val="0D0D0D"/>
          <w:lang w:eastAsia="en-US"/>
        </w:rPr>
        <w:t xml:space="preserve">, </w:t>
      </w:r>
      <w:hyperlink w:anchor="_ENREF_11" w:tooltip="Alexandrakis, 2003 #5868" w:history="1">
        <w:r w:rsidR="004A784D">
          <w:rPr>
            <w:rFonts w:eastAsia="Times New Roman"/>
            <w:noProof/>
            <w:color w:val="0D0D0D"/>
            <w:lang w:eastAsia="en-US"/>
          </w:rPr>
          <w:t>Alexandrakis et al., 2003</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Several of the acute phase proteins including CRP are believed to predict prognos</w:t>
      </w:r>
      <w:r w:rsidR="004A4A48">
        <w:rPr>
          <w:rFonts w:eastAsia="Times New Roman"/>
          <w:color w:val="0D0D0D"/>
          <w:lang w:eastAsia="en-US"/>
        </w:rPr>
        <w:t>is and influence survival (C</w:t>
      </w:r>
      <w:r w:rsidRPr="006B72EF">
        <w:rPr>
          <w:rFonts w:eastAsia="Times New Roman"/>
          <w:color w:val="0D0D0D"/>
          <w:lang w:eastAsia="en-US"/>
        </w:rPr>
        <w:t>hapter 1; introduction)</w:t>
      </w:r>
      <w:r w:rsidR="00424953">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 recent study suggested that serum CRP level can predict the final outcome of patients with MM receiving an anthracycline/thalidomide–based regimen </w:t>
      </w:r>
      <w:r w:rsidRPr="006B72EF">
        <w:rPr>
          <w:rFonts w:eastAsia="Times New Roman"/>
          <w:color w:val="0D0D0D"/>
          <w:lang w:eastAsia="en-US"/>
        </w:rPr>
        <w:fldChar w:fldCharType="begin">
          <w:fldData xml:space="preserve">PEVuZE5vdGU+PENpdGU+PEF1dGhvcj5PZmZpZGFuaTwvQXV0aG9yPjxZZWFyPjIwMDg8L1llYXI+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</w:fldData>
        </w:fldChar>
      </w:r>
      <w:r w:rsidR="006F41FE">
        <w:rPr>
          <w:rFonts w:eastAsia="Times New Roman"/>
          <w:color w:val="0D0D0D"/>
          <w:lang w:eastAsia="en-US"/>
        </w:rPr>
        <w:instrText xml:space="preserve"> ADDIN EN.CITE </w:instrText>
      </w:r>
      <w:r w:rsidR="006F41FE">
        <w:rPr>
          <w:rFonts w:eastAsia="Times New Roman"/>
          <w:color w:val="0D0D0D"/>
          <w:lang w:eastAsia="en-US"/>
        </w:rPr>
        <w:fldChar w:fldCharType="begin">
          <w:fldData xml:space="preserve">PEVuZE5vdGU+PENpdGU+PEF1dGhvcj5PZmZpZGFuaTwvQXV0aG9yPjxZZWFyPjIwMDg8L1llYXI+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</w:fldData>
        </w:fldChar>
      </w:r>
      <w:r w:rsidR="006F41FE">
        <w:rPr>
          <w:rFonts w:eastAsia="Times New Roman"/>
          <w:color w:val="0D0D0D"/>
          <w:lang w:eastAsia="en-US"/>
        </w:rPr>
        <w:instrText xml:space="preserve"> ADDIN EN.CITE.DATA </w:instrText>
      </w:r>
      <w:r w:rsidR="006F41FE">
        <w:rPr>
          <w:rFonts w:eastAsia="Times New Roman"/>
          <w:color w:val="0D0D0D"/>
          <w:lang w:eastAsia="en-US"/>
        </w:rPr>
      </w:r>
      <w:r w:rsidR="006F41FE">
        <w:rPr>
          <w:rFonts w:eastAsia="Times New Roman"/>
          <w:color w:val="0D0D0D"/>
          <w:lang w:eastAsia="en-US"/>
        </w:rPr>
        <w:fldChar w:fldCharType="end"/>
      </w:r>
      <w:r w:rsidRPr="006B72EF">
        <w:rPr>
          <w:rFonts w:eastAsia="Times New Roman"/>
          <w:color w:val="0D0D0D"/>
          <w:lang w:eastAsia="en-US"/>
        </w:rPr>
      </w:r>
      <w:r w:rsidRPr="006B72EF">
        <w:rPr>
          <w:rFonts w:eastAsia="Times New Roman"/>
          <w:color w:val="0D0D0D"/>
          <w:lang w:eastAsia="en-US"/>
        </w:rPr>
        <w:fldChar w:fldCharType="separate"/>
      </w:r>
      <w:r w:rsidR="006F41FE">
        <w:rPr>
          <w:rFonts w:eastAsia="Times New Roman"/>
          <w:noProof/>
          <w:color w:val="0D0D0D"/>
          <w:lang w:eastAsia="en-US"/>
        </w:rPr>
        <w:t>(</w:t>
      </w:r>
      <w:hyperlink w:anchor="_ENREF_296" w:tooltip="Offidani, 2008 #7" w:history="1">
        <w:r w:rsidR="004A784D">
          <w:rPr>
            <w:rFonts w:eastAsia="Times New Roman"/>
            <w:noProof/>
            <w:color w:val="0D0D0D"/>
            <w:lang w:eastAsia="en-US"/>
          </w:rPr>
          <w:t>Offidani et al., 2008</w:t>
        </w:r>
      </w:hyperlink>
      <w:r w:rsidR="006F41FE">
        <w:rPr>
          <w:rFonts w:eastAsia="Times New Roman"/>
          <w:noProof/>
          <w:color w:val="0D0D0D"/>
          <w:lang w:eastAsia="en-US"/>
        </w:rPr>
        <w:t>)</w:t>
      </w:r>
      <w:r w:rsidRPr="006B72EF">
        <w:rPr>
          <w:rFonts w:eastAsia="Times New Roman"/>
          <w:color w:val="0D0D0D"/>
          <w:lang w:eastAsia="en-US"/>
        </w:rPr>
        <w:fldChar w:fldCharType="end"/>
      </w:r>
      <w:r w:rsidR="00424953">
        <w:rPr>
          <w:rFonts w:eastAsia="Times New Roman"/>
          <w:color w:val="0D0D0D"/>
          <w:lang w:eastAsia="en-US"/>
        </w:rPr>
        <w:t>.</w:t>
      </w:r>
    </w:p>
    <w:p w:rsidR="006B72EF" w:rsidRDefault="00424953" w:rsidP="00057B42">
      <w:pPr>
        <w:pStyle w:val="Heading5"/>
        <w:spacing w:line="360" w:lineRule="auto"/>
      </w:pPr>
      <w:bookmarkStart w:id="1342" w:name="_Toc274586845"/>
      <w:bookmarkStart w:id="1343" w:name="_Toc274736202"/>
      <w:r>
        <w:tab/>
      </w:r>
      <w:r w:rsidR="006B72EF" w:rsidRPr="006B72EF">
        <w:t>CRP ELISAs assay</w:t>
      </w:r>
      <w:bookmarkEnd w:id="1342"/>
      <w:bookmarkEnd w:id="1343"/>
    </w:p>
    <w:p w:rsidR="006B72EF" w:rsidRDefault="006B72EF" w:rsidP="00057B42">
      <w:pPr>
        <w:spacing w:before="240" w:after="240" w:line="360" w:lineRule="auto"/>
        <w:jc w:val="both"/>
        <w:rPr>
          <w:rFonts w:eastAsia="Times New Roman"/>
          <w:color w:val="0D0D0D"/>
          <w:lang w:eastAsia="en-US"/>
        </w:rPr>
      </w:pPr>
      <w:r w:rsidRPr="006B72EF">
        <w:rPr>
          <w:rFonts w:eastAsia="Times New Roman"/>
          <w:color w:val="0D0D0D"/>
          <w:lang w:eastAsia="en-US"/>
        </w:rPr>
        <w:t>In our analysis, the patients serum CRP level at diagnosis was also assessed using ELISA based assay. Patients CRP at diagnosis had a mean value of 10.4 +/- 17.7 µg/ml in responders compared to 12.1 +/- 23.6 µg/ml in non-responders to thalidomide based regimen (</w:t>
      </w:r>
      <w:r w:rsidR="0010315E" w:rsidRPr="0010315E">
        <w:rPr>
          <w:rFonts w:eastAsia="Times New Roman"/>
          <w:i/>
          <w:color w:val="0D0D0D"/>
          <w:lang w:eastAsia="en-US"/>
        </w:rPr>
        <w:t>p=</w:t>
      </w:r>
      <w:r w:rsidRPr="006B72EF">
        <w:rPr>
          <w:rFonts w:eastAsia="Times New Roman"/>
          <w:color w:val="0D0D0D"/>
          <w:lang w:eastAsia="en-US"/>
        </w:rPr>
        <w:t xml:space="preserve">0.77) (Table </w:t>
      </w:r>
      <w:r w:rsidR="00527C08">
        <w:rPr>
          <w:rFonts w:eastAsia="Times New Roman"/>
          <w:color w:val="0D0D0D"/>
          <w:lang w:eastAsia="en-US"/>
        </w:rPr>
        <w:t>3-</w:t>
      </w:r>
      <w:r w:rsidR="008657D3">
        <w:rPr>
          <w:rFonts w:eastAsia="Times New Roman"/>
          <w:color w:val="0D0D0D"/>
          <w:lang w:eastAsia="en-US"/>
        </w:rPr>
        <w:t>10</w:t>
      </w:r>
      <w:r w:rsidRPr="006B72EF">
        <w:rPr>
          <w:rFonts w:eastAsia="Times New Roman"/>
          <w:color w:val="0D0D0D"/>
          <w:lang w:eastAsia="en-US"/>
        </w:rPr>
        <w:t xml:space="preserve">). </w:t>
      </w:r>
    </w:p>
    <w:p w:rsidR="006B72EF" w:rsidRDefault="00645550" w:rsidP="00057B42">
      <w:pPr>
        <w:pStyle w:val="Heading5"/>
        <w:spacing w:line="360" w:lineRule="auto"/>
      </w:pPr>
      <w:bookmarkStart w:id="1344" w:name="_Toc274736203"/>
      <w:r>
        <w:tab/>
      </w:r>
      <w:r w:rsidR="006B72EF" w:rsidRPr="006B72EF">
        <w:t>CRP serum concentration and ROC curves</w:t>
      </w:r>
      <w:bookmarkEnd w:id="1344"/>
    </w:p>
    <w:p w:rsidR="006B72EF" w:rsidRPr="006B72EF" w:rsidRDefault="006B72EF" w:rsidP="00057B42">
      <w:pPr>
        <w:spacing w:before="240" w:after="240" w:line="360" w:lineRule="auto"/>
        <w:jc w:val="both"/>
        <w:rPr>
          <w:rFonts w:eastAsia="Times New Roman"/>
          <w:color w:val="0D0D0D"/>
          <w:lang w:eastAsia="en-US"/>
        </w:rPr>
      </w:pPr>
      <w:r w:rsidRPr="006B72EF">
        <w:rPr>
          <w:rFonts w:eastAsia="Times New Roman"/>
          <w:color w:val="0D0D0D"/>
          <w:lang w:eastAsia="en-US"/>
        </w:rPr>
        <w:t>ROC curves were generated from the serum CRP, ELISA data and showed an AUC 0.40 with sensitivity of</w:t>
      </w:r>
      <w:r w:rsidR="00572C3E">
        <w:rPr>
          <w:rFonts w:eastAsia="Times New Roman"/>
          <w:color w:val="0D0D0D"/>
          <w:lang w:eastAsia="en-US"/>
        </w:rPr>
        <w:t xml:space="preserve"> 59.1 and specificity of 65.5 (F</w:t>
      </w:r>
      <w:r w:rsidRPr="006B72EF">
        <w:rPr>
          <w:rFonts w:eastAsia="Times New Roman"/>
          <w:color w:val="0D0D0D"/>
          <w:lang w:eastAsia="en-US"/>
        </w:rPr>
        <w:t xml:space="preserve">igure </w:t>
      </w:r>
      <w:r w:rsidR="002E26E8">
        <w:rPr>
          <w:rFonts w:eastAsia="Times New Roman"/>
          <w:color w:val="0D0D0D"/>
          <w:lang w:eastAsia="en-US"/>
        </w:rPr>
        <w:t>3-</w:t>
      </w:r>
      <w:r w:rsidR="008657D3">
        <w:rPr>
          <w:rFonts w:eastAsia="Times New Roman"/>
          <w:color w:val="0D0D0D"/>
          <w:lang w:eastAsia="en-US"/>
        </w:rPr>
        <w:t>42</w:t>
      </w:r>
      <w:r w:rsidRPr="006B72EF">
        <w:rPr>
          <w:rFonts w:eastAsia="Times New Roman"/>
          <w:color w:val="0D0D0D"/>
          <w:lang w:eastAsia="en-US"/>
        </w:rPr>
        <w:t>). This data signifies that CRP has no discriminatory value for predicting response to thalidomide.</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lastRenderedPageBreak/>
        <w:t xml:space="preserve"> In further analysis, the addition of serum CRP concent</w:t>
      </w:r>
      <w:r w:rsidR="00527C08">
        <w:rPr>
          <w:rFonts w:eastAsia="Times New Roman"/>
          <w:color w:val="0D0D0D"/>
          <w:lang w:eastAsia="en-US"/>
        </w:rPr>
        <w:t xml:space="preserve">ration to our predictive model </w:t>
      </w:r>
      <w:r w:rsidRPr="006B72EF">
        <w:rPr>
          <w:rFonts w:eastAsia="Times New Roman"/>
          <w:color w:val="0D0D0D"/>
          <w:lang w:eastAsia="en-US"/>
        </w:rPr>
        <w:t xml:space="preserve">did not improve its </w:t>
      </w:r>
      <w:r w:rsidR="00527C08" w:rsidRPr="006B72EF">
        <w:rPr>
          <w:rFonts w:eastAsia="Times New Roman"/>
          <w:color w:val="0D0D0D"/>
          <w:lang w:eastAsia="en-US"/>
        </w:rPr>
        <w:t>analytical</w:t>
      </w:r>
      <w:r w:rsidRPr="006B72EF">
        <w:rPr>
          <w:rFonts w:eastAsia="Times New Roman"/>
          <w:color w:val="0D0D0D"/>
          <w:lang w:eastAsia="en-US"/>
        </w:rPr>
        <w:t xml:space="preserve"> capability for predicting response to thalidomide based therapy.</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F9271D" w:rsidP="008657D3">
      <w:pPr>
        <w:keepNext/>
        <w:spacing w:after="240" w:line="360" w:lineRule="auto"/>
        <w:jc w:val="center"/>
        <w:rPr>
          <w:rFonts w:eastAsia="Times New Roman"/>
          <w:color w:val="0D0D0D"/>
          <w:lang w:eastAsia="en-US"/>
        </w:rPr>
      </w:pPr>
      <w:r w:rsidRPr="00F9271D">
        <w:rPr>
          <w:noProof/>
          <w:lang w:eastAsia="en-IE"/>
        </w:rPr>
        <w:drawing>
          <wp:inline distT="0" distB="0" distL="0" distR="0" wp14:anchorId="1270B7DF" wp14:editId="094AA960">
            <wp:extent cx="4233535" cy="5400000"/>
            <wp:effectExtent l="0" t="0" r="0" b="0"/>
            <wp:docPr id="291123" name="Picture 29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233535" cy="5400000"/>
                    </a:xfrm>
                    <a:prstGeom prst="rect">
                      <a:avLst/>
                    </a:prstGeom>
                  </pic:spPr>
                </pic:pic>
              </a:graphicData>
            </a:graphic>
          </wp:inline>
        </w:drawing>
      </w:r>
    </w:p>
    <w:p w:rsidR="00E53409" w:rsidRDefault="006B72EF" w:rsidP="00057B42">
      <w:pPr>
        <w:pBdr>
          <w:bottom w:val="single" w:sz="12" w:space="1" w:color="auto"/>
        </w:pBd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10</w:t>
      </w:r>
      <w:r w:rsidR="00B55EFC">
        <w:rPr>
          <w:rFonts w:eastAsia="Times New Roman"/>
          <w:b/>
          <w:bCs/>
          <w:color w:val="000000"/>
          <w:lang w:eastAsia="en-US"/>
        </w:rPr>
        <w:fldChar w:fldCharType="end"/>
      </w:r>
      <w:r w:rsidRPr="006B72EF">
        <w:rPr>
          <w:rFonts w:eastAsia="Times New Roman"/>
          <w:b/>
          <w:bCs/>
          <w:color w:val="000000"/>
          <w:lang w:eastAsia="en-US"/>
        </w:rPr>
        <w:t xml:space="preserve"> </w:t>
      </w:r>
      <w:bookmarkStart w:id="1345" w:name="_Toc274587630"/>
      <w:r w:rsidR="00572C3E">
        <w:rPr>
          <w:rFonts w:eastAsia="Times New Roman"/>
          <w:b/>
          <w:bCs/>
          <w:color w:val="000000"/>
          <w:lang w:eastAsia="en-US"/>
        </w:rPr>
        <w:t>shows the CRP values</w:t>
      </w:r>
      <w:r w:rsidRPr="006B72EF">
        <w:rPr>
          <w:rFonts w:eastAsia="Times New Roman"/>
          <w:b/>
          <w:bCs/>
          <w:color w:val="000000"/>
          <w:lang w:eastAsia="en-US"/>
        </w:rPr>
        <w:t xml:space="preserve"> </w:t>
      </w:r>
      <w:r w:rsidR="00572C3E">
        <w:rPr>
          <w:rFonts w:eastAsia="Times New Roman"/>
          <w:b/>
          <w:bCs/>
          <w:color w:val="000000"/>
          <w:lang w:eastAsia="en-US"/>
        </w:rPr>
        <w:t xml:space="preserve">measured using </w:t>
      </w:r>
      <w:r w:rsidRPr="006B72EF">
        <w:rPr>
          <w:rFonts w:eastAsia="Times New Roman"/>
          <w:b/>
          <w:bCs/>
          <w:color w:val="000000"/>
          <w:lang w:eastAsia="en-US"/>
        </w:rPr>
        <w:t>ELISA based assay in multiple myeloma patients at diagnosis. The mean value for serum CRP was 10.4 +/- 17.7 µg/ml in responders patients, as compared to the mean value of 12.1 +/- 23.6 µg/ml in non-responders to thalidomide based treatment (</w:t>
      </w:r>
      <w:r w:rsidR="0010315E" w:rsidRPr="0010315E">
        <w:rPr>
          <w:rFonts w:eastAsia="Times New Roman"/>
          <w:b/>
          <w:bCs/>
          <w:i/>
          <w:color w:val="000000"/>
          <w:lang w:eastAsia="en-US"/>
        </w:rPr>
        <w:t>p=</w:t>
      </w:r>
      <w:r w:rsidRPr="006B72EF">
        <w:rPr>
          <w:rFonts w:eastAsia="Times New Roman"/>
          <w:b/>
          <w:bCs/>
          <w:color w:val="000000"/>
          <w:lang w:eastAsia="en-US"/>
        </w:rPr>
        <w:t xml:space="preserve">0.77).  </w:t>
      </w:r>
      <w:bookmarkEnd w:id="1345"/>
      <w:r w:rsidRPr="006B72EF">
        <w:rPr>
          <w:rFonts w:eastAsia="Times New Roman"/>
          <w:b/>
          <w:bCs/>
          <w:color w:val="000000"/>
          <w:lang w:eastAsia="en-US"/>
        </w:rPr>
        <w:t xml:space="preserve">Abbreviations; CRP: C reactive protein. </w:t>
      </w:r>
    </w:p>
    <w:p w:rsidR="00321273" w:rsidRDefault="00321273"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105086AB" wp14:editId="7C4B09D6">
            <wp:extent cx="5166995" cy="5081270"/>
            <wp:effectExtent l="0" t="0" r="0" b="5080"/>
            <wp:docPr id="67" name="Picture 2" descr="Description: C:\Users\Raj\Documents\DCU\PhD\PhD\Thesis\review\Final Thesis\Results\CRP 1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Raj\Documents\DCU\PhD\PhD\Thesis\review\Final Thesis\Results\CRP 12-10-10.JPG"/>
                    <pic:cNvPicPr>
                      <a:picLocks noChangeAspect="1" noChangeArrowheads="1"/>
                    </pic:cNvPicPr>
                  </pic:nvPicPr>
                  <pic:blipFill>
                    <a:blip r:embed="rId93">
                      <a:extLst>
                        <a:ext uri="{28A0092B-C50C-407E-A947-70E740481C1C}">
                          <a14:useLocalDpi xmlns:a14="http://schemas.microsoft.com/office/drawing/2010/main" val="0"/>
                        </a:ext>
                      </a:extLst>
                    </a:blip>
                    <a:srcRect l="7520" r="7184"/>
                    <a:stretch>
                      <a:fillRect/>
                    </a:stretch>
                  </pic:blipFill>
                  <pic:spPr bwMode="auto">
                    <a:xfrm>
                      <a:off x="0" y="0"/>
                      <a:ext cx="5166995" cy="5081270"/>
                    </a:xfrm>
                    <a:prstGeom prst="rect">
                      <a:avLst/>
                    </a:prstGeom>
                    <a:noFill/>
                    <a:ln>
                      <a:noFill/>
                    </a:ln>
                  </pic:spPr>
                </pic:pic>
              </a:graphicData>
            </a:graphic>
          </wp:inline>
        </w:drawing>
      </w:r>
    </w:p>
    <w:p w:rsidR="006B72EF" w:rsidRDefault="006B72EF" w:rsidP="00057B42">
      <w:pPr>
        <w:pBdr>
          <w:bottom w:val="single" w:sz="12" w:space="1" w:color="auto"/>
        </w:pBdr>
        <w:spacing w:after="240" w:line="360" w:lineRule="auto"/>
        <w:jc w:val="both"/>
        <w:rPr>
          <w:rFonts w:eastAsia="Times New Roman"/>
          <w:b/>
          <w:color w:val="0D0D0D"/>
          <w:lang w:eastAsia="en-US"/>
        </w:rPr>
      </w:pPr>
      <w:bookmarkStart w:id="1346" w:name="_Toc279441920"/>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42</w:t>
      </w:r>
      <w:r w:rsidR="008A68DC">
        <w:rPr>
          <w:rFonts w:eastAsia="Times New Roman"/>
          <w:b/>
          <w:color w:val="0D0D0D"/>
          <w:lang w:eastAsia="en-US"/>
        </w:rPr>
        <w:fldChar w:fldCharType="end"/>
      </w:r>
      <w:r w:rsidRPr="006B72EF">
        <w:rPr>
          <w:rFonts w:eastAsia="Times New Roman"/>
          <w:b/>
          <w:color w:val="0D0D0D"/>
          <w:lang w:eastAsia="en-US"/>
        </w:rPr>
        <w:t xml:space="preserve"> the ROC curve was generated from the CRP, ELISA values, showed an AUC of 0.40 with a sensitivity of 59.1 and specificity of 65.5. This data signifies that CRP has no discriminatory value for predicting response to thalidomide based therapy. In our study, CRP was also added to the previously constructed predictive model and did not improve the capability of </w:t>
      </w:r>
      <w:r w:rsidR="00572C3E">
        <w:rPr>
          <w:rFonts w:eastAsia="Times New Roman"/>
          <w:b/>
          <w:color w:val="0D0D0D"/>
          <w:lang w:eastAsia="en-US"/>
        </w:rPr>
        <w:t xml:space="preserve">the </w:t>
      </w:r>
      <w:r w:rsidRPr="006B72EF">
        <w:rPr>
          <w:rFonts w:eastAsia="Times New Roman"/>
          <w:b/>
          <w:color w:val="0D0D0D"/>
          <w:lang w:eastAsia="en-US"/>
        </w:rPr>
        <w:t>model to predict response to thalidomide based therapy.</w:t>
      </w:r>
      <w:bookmarkEnd w:id="1346"/>
    </w:p>
    <w:p w:rsidR="00F823FF" w:rsidRDefault="00F823FF" w:rsidP="00057B42">
      <w:pPr>
        <w:pBdr>
          <w:bottom w:val="single" w:sz="12" w:space="1" w:color="auto"/>
        </w:pBdr>
        <w:spacing w:after="240" w:line="360" w:lineRule="auto"/>
        <w:jc w:val="both"/>
        <w:rPr>
          <w:rFonts w:eastAsia="Times New Roman"/>
          <w:b/>
          <w:color w:val="0D0D0D"/>
          <w:lang w:eastAsia="en-US"/>
        </w:rPr>
      </w:pPr>
    </w:p>
    <w:p w:rsidR="00963ADC" w:rsidRDefault="00963ADC" w:rsidP="00057B42">
      <w:pPr>
        <w:spacing w:after="240" w:line="360" w:lineRule="auto"/>
        <w:jc w:val="both"/>
        <w:rPr>
          <w:rFonts w:eastAsia="Times New Roman"/>
          <w:b/>
          <w:color w:val="0D0D0D"/>
          <w:lang w:eastAsia="en-US"/>
        </w:rPr>
      </w:pPr>
    </w:p>
    <w:p w:rsidR="006B72EF" w:rsidRDefault="00963ADC" w:rsidP="00645687">
      <w:pPr>
        <w:pStyle w:val="Heading4"/>
      </w:pPr>
      <w:bookmarkStart w:id="1347" w:name="_Toc274736204"/>
      <w:r>
        <w:lastRenderedPageBreak/>
        <w:tab/>
      </w:r>
      <w:bookmarkStart w:id="1348" w:name="_Toc306570698"/>
      <w:bookmarkStart w:id="1349" w:name="_Toc307067760"/>
      <w:bookmarkStart w:id="1350" w:name="_Toc312169331"/>
      <w:bookmarkStart w:id="1351" w:name="_Toc312172258"/>
      <w:bookmarkStart w:id="1352" w:name="_Toc312257807"/>
      <w:r w:rsidR="006B72EF" w:rsidRPr="006B72EF">
        <w:t>Patients age at diagnosis and the predictive model</w:t>
      </w:r>
      <w:bookmarkEnd w:id="1347"/>
      <w:bookmarkEnd w:id="1348"/>
      <w:bookmarkEnd w:id="1349"/>
      <w:bookmarkEnd w:id="1350"/>
      <w:bookmarkEnd w:id="1351"/>
      <w:bookmarkEnd w:id="1352"/>
    </w:p>
    <w:p w:rsidR="006B72EF" w:rsidRPr="006B72EF" w:rsidRDefault="006B72EF" w:rsidP="008657D3">
      <w:pPr>
        <w:spacing w:before="240" w:after="240" w:line="360" w:lineRule="auto"/>
        <w:jc w:val="both"/>
        <w:rPr>
          <w:rFonts w:eastAsia="Times New Roman"/>
          <w:color w:val="0D0D0D"/>
          <w:lang w:eastAsia="en-US"/>
        </w:rPr>
      </w:pPr>
      <w:r w:rsidRPr="006B72EF">
        <w:rPr>
          <w:rFonts w:eastAsia="Times New Roman"/>
          <w:color w:val="0D0D0D"/>
          <w:lang w:eastAsia="en-US"/>
        </w:rPr>
        <w:t>Multiple myeloma is an age-related malignant plasma cell disorder. The median age of patients at diagnosis is about 65 years. In most studies advanced age has been reported to be a negative prognostic factor in some studies (chapter 1 introduction).</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our study</w:t>
      </w:r>
      <w:r w:rsidR="00BD671F">
        <w:rPr>
          <w:rFonts w:eastAsia="Times New Roman"/>
          <w:color w:val="0D0D0D"/>
          <w:lang w:eastAsia="en-US"/>
        </w:rPr>
        <w:t xml:space="preserve">, the </w:t>
      </w:r>
      <w:r w:rsidRPr="006B72EF">
        <w:rPr>
          <w:rFonts w:eastAsia="Times New Roman"/>
          <w:color w:val="0D0D0D"/>
          <w:lang w:eastAsia="en-US"/>
        </w:rPr>
        <w:t>patients age was added to the predictive model.  Leave-one-out cross-validation was performed and results showed that patients age at diagnosis despite being an important prognostic factor in multiple myeloma, did not improve</w:t>
      </w:r>
      <w:r w:rsidR="00095524">
        <w:rPr>
          <w:rFonts w:eastAsia="Times New Roman"/>
          <w:color w:val="0D0D0D"/>
          <w:lang w:eastAsia="en-US"/>
        </w:rPr>
        <w:t xml:space="preserve"> the</w:t>
      </w:r>
      <w:r w:rsidRPr="006B72EF">
        <w:rPr>
          <w:rFonts w:eastAsia="Times New Roman"/>
          <w:color w:val="0D0D0D"/>
          <w:lang w:eastAsia="en-US"/>
        </w:rPr>
        <w:t xml:space="preserve"> predictive </w:t>
      </w:r>
      <w:r w:rsidR="00095524">
        <w:rPr>
          <w:rFonts w:eastAsia="Times New Roman"/>
          <w:color w:val="0D0D0D"/>
          <w:lang w:eastAsia="en-US"/>
        </w:rPr>
        <w:t>capability of our model. Table 3</w:t>
      </w:r>
      <w:r w:rsidR="008657D3">
        <w:rPr>
          <w:rFonts w:eastAsia="Times New Roman"/>
          <w:color w:val="0D0D0D"/>
          <w:lang w:eastAsia="en-US"/>
        </w:rPr>
        <w:t>-11</w:t>
      </w:r>
      <w:r w:rsidRPr="006B72EF">
        <w:rPr>
          <w:rFonts w:eastAsia="Times New Roman"/>
          <w:color w:val="0D0D0D"/>
          <w:lang w:eastAsia="en-US"/>
        </w:rPr>
        <w:t xml:space="preserve"> shows LOOCV in combination with the patients age. The second last column is showing new model based on the thre</w:t>
      </w:r>
      <w:r w:rsidR="00776575">
        <w:rPr>
          <w:rFonts w:eastAsia="Times New Roman"/>
          <w:color w:val="0D0D0D"/>
          <w:lang w:eastAsia="en-US"/>
        </w:rPr>
        <w:t>e best predictive protein (</w:t>
      </w:r>
      <w:r w:rsidRPr="006B72EF">
        <w:rPr>
          <w:rFonts w:eastAsia="Times New Roman"/>
          <w:color w:val="0D0D0D"/>
          <w:lang w:eastAsia="en-US"/>
        </w:rPr>
        <w:t>Hp</w:t>
      </w:r>
      <w:r w:rsidR="00776575">
        <w:rPr>
          <w:rFonts w:eastAsia="Times New Roman"/>
          <w:color w:val="0D0D0D"/>
          <w:lang w:eastAsia="en-US"/>
        </w:rPr>
        <w:t>, SAA</w:t>
      </w:r>
      <w:r w:rsidRPr="006B72EF">
        <w:rPr>
          <w:rFonts w:eastAsia="Times New Roman"/>
          <w:color w:val="0D0D0D"/>
          <w:lang w:eastAsia="en-US"/>
        </w:rPr>
        <w:t xml:space="preserve"> and VDB) in combination with the patients age as compare to the o</w:t>
      </w:r>
      <w:r w:rsidR="00095524">
        <w:rPr>
          <w:rFonts w:eastAsia="Times New Roman"/>
          <w:color w:val="0D0D0D"/>
          <w:lang w:eastAsia="en-US"/>
        </w:rPr>
        <w:t>riginal predictive model</w:t>
      </w:r>
      <w:r w:rsidRPr="006B72EF">
        <w:rPr>
          <w:rFonts w:eastAsia="Times New Roman"/>
          <w:color w:val="0D0D0D"/>
          <w:lang w:eastAsia="en-US"/>
        </w:rPr>
        <w:t xml:space="preserve">. </w:t>
      </w:r>
    </w:p>
    <w:p w:rsidR="006B72EF" w:rsidRDefault="002E6DBC" w:rsidP="00057B42">
      <w:pPr>
        <w:pStyle w:val="Heading5"/>
        <w:spacing w:line="360" w:lineRule="auto"/>
      </w:pPr>
      <w:bookmarkStart w:id="1353" w:name="_Toc274736205"/>
      <w:r>
        <w:tab/>
      </w:r>
      <w:r w:rsidR="006B72EF" w:rsidRPr="006B72EF">
        <w:t>Patients age and ROC curve</w:t>
      </w:r>
      <w:bookmarkEnd w:id="1353"/>
    </w:p>
    <w:p w:rsidR="006B72EF" w:rsidRPr="006B72EF" w:rsidRDefault="006B72EF" w:rsidP="008657D3">
      <w:pPr>
        <w:spacing w:before="240" w:after="240" w:line="360" w:lineRule="auto"/>
        <w:jc w:val="both"/>
        <w:rPr>
          <w:rFonts w:eastAsia="Times New Roman"/>
          <w:color w:val="0D0D0D"/>
          <w:lang w:eastAsia="en-US"/>
        </w:rPr>
      </w:pPr>
      <w:r w:rsidRPr="006B72EF">
        <w:rPr>
          <w:rFonts w:eastAsia="Times New Roman"/>
          <w:color w:val="0D0D0D"/>
          <w:lang w:eastAsia="en-US"/>
        </w:rPr>
        <w:t xml:space="preserve">The ROC curve generated from ELISA value of three proteins biomarkers in combination </w:t>
      </w:r>
      <w:r w:rsidR="00776575">
        <w:rPr>
          <w:rFonts w:eastAsia="Times New Roman"/>
          <w:color w:val="0D0D0D"/>
          <w:lang w:eastAsia="en-US"/>
        </w:rPr>
        <w:t>(</w:t>
      </w:r>
      <w:r w:rsidR="00776575" w:rsidRPr="006B72EF">
        <w:rPr>
          <w:rFonts w:eastAsia="Times New Roman"/>
          <w:color w:val="0D0D0D"/>
          <w:lang w:eastAsia="en-US"/>
        </w:rPr>
        <w:t>Hp</w:t>
      </w:r>
      <w:r w:rsidR="00776575">
        <w:rPr>
          <w:rFonts w:eastAsia="Times New Roman"/>
          <w:color w:val="0D0D0D"/>
          <w:lang w:eastAsia="en-US"/>
        </w:rPr>
        <w:t>, SAA</w:t>
      </w:r>
      <w:r w:rsidR="00776575" w:rsidRPr="006B72EF">
        <w:rPr>
          <w:rFonts w:eastAsia="Times New Roman"/>
          <w:color w:val="0D0D0D"/>
          <w:lang w:eastAsia="en-US"/>
        </w:rPr>
        <w:t xml:space="preserve"> and VDB) </w:t>
      </w:r>
      <w:r w:rsidRPr="006B72EF">
        <w:rPr>
          <w:rFonts w:eastAsia="Times New Roman"/>
          <w:color w:val="0D0D0D"/>
          <w:lang w:eastAsia="en-US"/>
        </w:rPr>
        <w:t>with Patients Age yields AUC of 0.95.  The addition of patients’ age did not improve the area under the curve (AUC), which measures the overall performance of the predictive model. The ROC curve generated from 3 proteins without patients age yielded AUC of 0.96 (Figure</w:t>
      </w:r>
      <w:r w:rsidR="008657D3">
        <w:rPr>
          <w:rFonts w:eastAsia="Times New Roman"/>
          <w:color w:val="0D0D0D"/>
          <w:lang w:eastAsia="en-US"/>
        </w:rPr>
        <w:t xml:space="preserve"> 3- 43</w:t>
      </w:r>
      <w:r w:rsidRPr="006B72EF">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2E6DBC" w:rsidP="00057B42">
      <w:pPr>
        <w:keepNext/>
        <w:spacing w:after="240" w:line="360" w:lineRule="auto"/>
        <w:jc w:val="center"/>
        <w:rPr>
          <w:rFonts w:eastAsia="Times New Roman"/>
          <w:color w:val="0D0D0D"/>
          <w:lang w:eastAsia="en-US"/>
        </w:rPr>
      </w:pPr>
      <w:r w:rsidRPr="002E6DBC">
        <w:rPr>
          <w:noProof/>
          <w:lang w:eastAsia="en-IE"/>
        </w:rPr>
        <w:lastRenderedPageBreak/>
        <w:drawing>
          <wp:inline distT="0" distB="0" distL="0" distR="0" wp14:anchorId="3C9E3188" wp14:editId="1BDF0ACC">
            <wp:extent cx="4580953" cy="7819048"/>
            <wp:effectExtent l="0" t="0" r="0" b="0"/>
            <wp:docPr id="290831" name="Picture 29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580953" cy="7819048"/>
                    </a:xfrm>
                    <a:prstGeom prst="rect">
                      <a:avLst/>
                    </a:prstGeom>
                  </pic:spPr>
                </pic:pic>
              </a:graphicData>
            </a:graphic>
          </wp:inline>
        </w:drawing>
      </w:r>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11</w:t>
      </w:r>
      <w:r w:rsidR="00B55EFC">
        <w:rPr>
          <w:rFonts w:eastAsia="Times New Roman"/>
          <w:b/>
          <w:bCs/>
          <w:color w:val="000000"/>
          <w:lang w:eastAsia="en-US"/>
        </w:rPr>
        <w:fldChar w:fldCharType="end"/>
      </w:r>
      <w:r w:rsidRPr="006B72EF">
        <w:rPr>
          <w:rFonts w:eastAsia="Times New Roman"/>
          <w:b/>
          <w:bCs/>
          <w:color w:val="000000"/>
          <w:lang w:eastAsia="en-US"/>
        </w:rPr>
        <w:t xml:space="preserve"> shows that the addition of multiple myeloma patients age at diagnosis to the previously constructed predictive model did not improve the capability of model to predict response to thalidomide based therapy.</w:t>
      </w:r>
      <w:r w:rsidR="00830F91">
        <w:rPr>
          <w:rFonts w:eastAsia="Times New Roman"/>
          <w:b/>
          <w:bCs/>
          <w:color w:val="000000"/>
          <w:lang w:eastAsia="en-US"/>
        </w:rPr>
        <w:t xml:space="preserve"> </w:t>
      </w:r>
      <w:r w:rsidR="00830F91" w:rsidRPr="00830F91">
        <w:rPr>
          <w:rFonts w:eastAsia="Times New Roman"/>
          <w:b/>
          <w:bCs/>
          <w:color w:val="000000"/>
          <w:lang w:eastAsia="en-US"/>
        </w:rPr>
        <w:lastRenderedPageBreak/>
        <w:t>Abbreviations; R: responders to thalidomide-based therapy</w:t>
      </w:r>
      <w:r w:rsidR="00830F91">
        <w:rPr>
          <w:rFonts w:eastAsia="Times New Roman"/>
          <w:b/>
          <w:bCs/>
          <w:color w:val="000000"/>
          <w:lang w:eastAsia="en-US"/>
        </w:rPr>
        <w:t>,</w:t>
      </w:r>
      <w:r w:rsidR="00830F91" w:rsidRPr="00830F91">
        <w:rPr>
          <w:rFonts w:eastAsia="Times New Roman"/>
          <w:b/>
          <w:bCs/>
          <w:color w:val="000000"/>
          <w:lang w:eastAsia="en-US"/>
        </w:rPr>
        <w:t xml:space="preserve"> NR: Non-responders to thalidomide-based therapy</w:t>
      </w:r>
      <w:r w:rsidR="00830F91">
        <w:rPr>
          <w:rFonts w:eastAsia="Times New Roman"/>
          <w:b/>
          <w:bCs/>
          <w:color w:val="000000"/>
          <w:lang w:eastAsia="en-US"/>
        </w:rPr>
        <w:t>.</w:t>
      </w:r>
    </w:p>
    <w:p w:rsidR="00963ADC" w:rsidRDefault="00963ADC" w:rsidP="00057B42">
      <w:pPr>
        <w:pBdr>
          <w:bottom w:val="single" w:sz="12" w:space="1" w:color="auto"/>
        </w:pBdr>
        <w:spacing w:before="240" w:line="360" w:lineRule="auto"/>
        <w:ind w:right="-1"/>
        <w:jc w:val="both"/>
        <w:rPr>
          <w:rFonts w:eastAsia="Times New Roman"/>
          <w:b/>
          <w:bCs/>
          <w:color w:val="000000"/>
          <w:lang w:eastAsia="en-US"/>
        </w:rPr>
      </w:pPr>
    </w:p>
    <w:p w:rsidR="002E6DBC" w:rsidRDefault="002E6DBC" w:rsidP="00057B42">
      <w:pPr>
        <w:spacing w:line="360" w:lineRule="auto"/>
        <w:rPr>
          <w:rFonts w:eastAsia="Times New Roman"/>
          <w:noProof/>
          <w:color w:val="0D0D0D"/>
          <w:lang w:eastAsia="en-IE"/>
        </w:rPr>
      </w:pPr>
      <w:r>
        <w:rPr>
          <w:rFonts w:eastAsia="Times New Roman"/>
          <w:noProof/>
          <w:color w:val="0D0D0D"/>
          <w:lang w:eastAsia="en-IE"/>
        </w:rPr>
        <w:br w:type="page"/>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56ADE629" wp14:editId="6863999E">
            <wp:extent cx="5486400" cy="5115560"/>
            <wp:effectExtent l="0" t="0" r="0" b="0"/>
            <wp:docPr id="69"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5115560"/>
                    </a:xfrm>
                    <a:prstGeom prst="rect">
                      <a:avLst/>
                    </a:prstGeom>
                    <a:noFill/>
                    <a:ln>
                      <a:noFill/>
                    </a:ln>
                  </pic:spPr>
                </pic:pic>
              </a:graphicData>
            </a:graphic>
          </wp:inline>
        </w:drawing>
      </w:r>
    </w:p>
    <w:p w:rsidR="006B72EF" w:rsidRDefault="006B72EF" w:rsidP="00057B42">
      <w:pPr>
        <w:pBdr>
          <w:bottom w:val="single" w:sz="12" w:space="1" w:color="auto"/>
        </w:pBdr>
        <w:spacing w:after="240" w:line="360" w:lineRule="auto"/>
        <w:jc w:val="both"/>
        <w:rPr>
          <w:rFonts w:eastAsia="Times New Roman"/>
          <w:b/>
          <w:color w:val="0D0D0D"/>
          <w:lang w:eastAsia="en-US"/>
        </w:rPr>
      </w:pPr>
      <w:bookmarkStart w:id="1354" w:name="_Toc279441921"/>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43</w:t>
      </w:r>
      <w:r w:rsidR="008A68DC">
        <w:rPr>
          <w:rFonts w:eastAsia="Times New Roman"/>
          <w:b/>
          <w:color w:val="0D0D0D"/>
          <w:lang w:eastAsia="en-US"/>
        </w:rPr>
        <w:fldChar w:fldCharType="end"/>
      </w:r>
      <w:r w:rsidRPr="006B72EF">
        <w:rPr>
          <w:rFonts w:eastAsia="Times New Roman"/>
          <w:b/>
          <w:color w:val="0D0D0D"/>
          <w:lang w:eastAsia="en-US"/>
        </w:rPr>
        <w:t xml:space="preserve"> the ROC curve generated from the 3 best possible com</w:t>
      </w:r>
      <w:r w:rsidR="00776575">
        <w:rPr>
          <w:rFonts w:eastAsia="Times New Roman"/>
          <w:b/>
          <w:color w:val="0D0D0D"/>
          <w:lang w:eastAsia="en-US"/>
        </w:rPr>
        <w:t xml:space="preserve">bination of proteins, i.e. </w:t>
      </w:r>
      <w:r w:rsidRPr="006B72EF">
        <w:rPr>
          <w:rFonts w:eastAsia="Times New Roman"/>
          <w:b/>
          <w:color w:val="0D0D0D"/>
          <w:lang w:eastAsia="en-US"/>
        </w:rPr>
        <w:t>Hp</w:t>
      </w:r>
      <w:r w:rsidR="00776575">
        <w:rPr>
          <w:rFonts w:eastAsia="Times New Roman"/>
          <w:b/>
          <w:color w:val="0D0D0D"/>
          <w:lang w:eastAsia="en-US"/>
        </w:rPr>
        <w:t>, SAA</w:t>
      </w:r>
      <w:r w:rsidRPr="006B72EF">
        <w:rPr>
          <w:rFonts w:eastAsia="Times New Roman"/>
          <w:b/>
          <w:color w:val="0D0D0D"/>
          <w:lang w:eastAsia="en-US"/>
        </w:rPr>
        <w:t xml:space="preserve"> and VDB with the Age of multiple myeloma patients yield an AUC of 0.95. This is compared to the ROC curve generated from three pr</w:t>
      </w:r>
      <w:r w:rsidR="00C63304">
        <w:rPr>
          <w:rFonts w:eastAsia="Times New Roman"/>
          <w:b/>
          <w:color w:val="0D0D0D"/>
          <w:lang w:eastAsia="en-US"/>
        </w:rPr>
        <w:t xml:space="preserve">oteins without patients’ age; which </w:t>
      </w:r>
      <w:r w:rsidRPr="006B72EF">
        <w:rPr>
          <w:rFonts w:eastAsia="Times New Roman"/>
          <w:b/>
          <w:color w:val="0D0D0D"/>
          <w:lang w:eastAsia="en-US"/>
        </w:rPr>
        <w:t>yielded an AUC of 0.96. This demonstrates no overall improvement in the performance of the predictive model.</w:t>
      </w:r>
      <w:bookmarkEnd w:id="1354"/>
    </w:p>
    <w:p w:rsidR="00963ADC" w:rsidRDefault="00963ADC" w:rsidP="00057B42">
      <w:pPr>
        <w:pBdr>
          <w:bottom w:val="single" w:sz="12" w:space="1" w:color="auto"/>
        </w:pBdr>
        <w:spacing w:after="240" w:line="360" w:lineRule="auto"/>
        <w:jc w:val="both"/>
        <w:rPr>
          <w:rFonts w:eastAsia="Times New Roman"/>
          <w:b/>
          <w:color w:val="0D0D0D"/>
          <w:lang w:eastAsia="en-US"/>
        </w:rPr>
      </w:pPr>
    </w:p>
    <w:p w:rsidR="00963ADC" w:rsidRDefault="00963ADC" w:rsidP="00057B42">
      <w:pPr>
        <w:spacing w:after="240" w:line="360" w:lineRule="auto"/>
        <w:jc w:val="both"/>
        <w:rPr>
          <w:rFonts w:eastAsia="Times New Roman"/>
          <w:b/>
          <w:color w:val="0D0D0D"/>
          <w:lang w:eastAsia="en-US"/>
        </w:rPr>
      </w:pPr>
    </w:p>
    <w:p w:rsidR="00424953" w:rsidRDefault="00424953" w:rsidP="00057B42">
      <w:pPr>
        <w:spacing w:after="240" w:line="360" w:lineRule="auto"/>
        <w:jc w:val="both"/>
        <w:rPr>
          <w:rFonts w:eastAsia="Times New Roman"/>
          <w:b/>
          <w:color w:val="0D0D0D"/>
          <w:lang w:eastAsia="en-US"/>
        </w:rPr>
      </w:pPr>
    </w:p>
    <w:p w:rsidR="006B72EF" w:rsidRDefault="00963ADC" w:rsidP="00645687">
      <w:pPr>
        <w:pStyle w:val="Heading4"/>
      </w:pPr>
      <w:bookmarkStart w:id="1355" w:name="_Toc274736206"/>
      <w:r>
        <w:lastRenderedPageBreak/>
        <w:tab/>
      </w:r>
      <w:bookmarkStart w:id="1356" w:name="_Toc306570699"/>
      <w:bookmarkStart w:id="1357" w:name="_Toc307067761"/>
      <w:bookmarkStart w:id="1358" w:name="_Toc312169332"/>
      <w:bookmarkStart w:id="1359" w:name="_Toc312172259"/>
      <w:bookmarkStart w:id="1360" w:name="_Toc312257808"/>
      <w:r w:rsidR="006B72EF" w:rsidRPr="006B72EF">
        <w:t>Patients haemoglobin level at diagnosis and the predictive model</w:t>
      </w:r>
      <w:bookmarkEnd w:id="1355"/>
      <w:bookmarkEnd w:id="1356"/>
      <w:bookmarkEnd w:id="1357"/>
      <w:bookmarkEnd w:id="1358"/>
      <w:bookmarkEnd w:id="1359"/>
      <w:bookmarkEnd w:id="1360"/>
    </w:p>
    <w:p w:rsidR="002676E3" w:rsidRPr="002676E3" w:rsidRDefault="002676E3" w:rsidP="002676E3">
      <w:pPr>
        <w:rPr>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Anaemia is a frequent problem </w:t>
      </w:r>
      <w:r w:rsidR="00776575">
        <w:rPr>
          <w:rFonts w:eastAsia="Times New Roman"/>
          <w:color w:val="0D0D0D"/>
          <w:lang w:eastAsia="en-US"/>
        </w:rPr>
        <w:t xml:space="preserve">that </w:t>
      </w:r>
      <w:r w:rsidR="00EB34FE">
        <w:rPr>
          <w:rFonts w:eastAsia="Times New Roman"/>
          <w:color w:val="0D0D0D"/>
          <w:lang w:eastAsia="en-US"/>
        </w:rPr>
        <w:t xml:space="preserve">occurs in patients </w:t>
      </w:r>
      <w:r w:rsidRPr="006B72EF">
        <w:rPr>
          <w:rFonts w:eastAsia="Times New Roman"/>
          <w:color w:val="0D0D0D"/>
          <w:lang w:eastAsia="en-US"/>
        </w:rPr>
        <w:t xml:space="preserve">with </w:t>
      </w:r>
      <w:r w:rsidR="00EB34FE">
        <w:rPr>
          <w:rFonts w:eastAsia="Times New Roman"/>
          <w:color w:val="0D0D0D"/>
          <w:lang w:eastAsia="en-US"/>
        </w:rPr>
        <w:t xml:space="preserve">MM. </w:t>
      </w:r>
      <w:r w:rsidRPr="006B72EF">
        <w:rPr>
          <w:rFonts w:eastAsia="Times New Roman"/>
          <w:color w:val="0D0D0D"/>
          <w:lang w:eastAsia="en-US"/>
        </w:rPr>
        <w:t xml:space="preserve">Low haemoglobin level </w:t>
      </w:r>
      <w:r w:rsidR="00EB34FE">
        <w:rPr>
          <w:rFonts w:eastAsia="Times New Roman"/>
          <w:color w:val="0D0D0D"/>
          <w:lang w:eastAsia="en-US"/>
        </w:rPr>
        <w:t xml:space="preserve">have </w:t>
      </w:r>
      <w:r w:rsidRPr="006B72EF">
        <w:rPr>
          <w:rFonts w:eastAsia="Times New Roman"/>
          <w:color w:val="0D0D0D"/>
          <w:lang w:eastAsia="en-US"/>
        </w:rPr>
        <w:t>been associated with the negative prognosis in multiple myeloma patients</w:t>
      </w:r>
      <w:r w:rsidR="00EB34FE">
        <w:rPr>
          <w:rFonts w:eastAsia="Times New Roman"/>
          <w:color w:val="0D0D0D"/>
          <w:lang w:eastAsia="en-US"/>
        </w:rPr>
        <w:t>. (</w:t>
      </w:r>
      <w:r w:rsidR="00DC74BE">
        <w:rPr>
          <w:rFonts w:eastAsia="Times New Roman"/>
          <w:color w:val="0D0D0D"/>
          <w:lang w:eastAsia="en-US"/>
        </w:rPr>
        <w:t>Introduction-Chapter 1</w:t>
      </w:r>
      <w:r w:rsidR="00EB34FE">
        <w:rPr>
          <w:rFonts w:eastAsia="Times New Roman"/>
          <w:color w:val="0D0D0D"/>
          <w:lang w:eastAsia="en-US"/>
        </w:rPr>
        <w:t>, page</w:t>
      </w:r>
      <w:r w:rsidR="008657D3">
        <w:rPr>
          <w:rFonts w:eastAsia="Times New Roman"/>
          <w:color w:val="0D0D0D"/>
          <w:lang w:eastAsia="en-US"/>
        </w:rPr>
        <w:t xml:space="preserve"> 39</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our study the patients haemoglobin level at diagnosis was added to the predictive model.  Leave-one-out cross-validation was performed and results showed that patients haemoglobin level at diagnosis does not improve </w:t>
      </w:r>
      <w:r w:rsidR="00CF3303">
        <w:rPr>
          <w:rFonts w:eastAsia="Times New Roman"/>
          <w:color w:val="0D0D0D"/>
          <w:lang w:eastAsia="en-US"/>
        </w:rPr>
        <w:t xml:space="preserve">the </w:t>
      </w:r>
      <w:r w:rsidRPr="006B72EF">
        <w:rPr>
          <w:rFonts w:eastAsia="Times New Roman"/>
          <w:color w:val="0D0D0D"/>
          <w:lang w:eastAsia="en-US"/>
        </w:rPr>
        <w:t>predictive cap</w:t>
      </w:r>
      <w:r w:rsidR="00D7041F">
        <w:rPr>
          <w:rFonts w:eastAsia="Times New Roman"/>
          <w:color w:val="0D0D0D"/>
          <w:lang w:eastAsia="en-US"/>
        </w:rPr>
        <w:t>ability of our model. In T</w:t>
      </w:r>
      <w:r w:rsidR="00EB34FE">
        <w:rPr>
          <w:rFonts w:eastAsia="Times New Roman"/>
          <w:color w:val="0D0D0D"/>
          <w:lang w:eastAsia="en-US"/>
        </w:rPr>
        <w:t>able 3</w:t>
      </w:r>
      <w:r w:rsidRPr="006B72EF">
        <w:rPr>
          <w:rFonts w:eastAsia="Times New Roman"/>
          <w:color w:val="0D0D0D"/>
          <w:lang w:eastAsia="en-US"/>
        </w:rPr>
        <w:t>-15 the middle column shows the three best predictive proteins (Hp</w:t>
      </w:r>
      <w:r w:rsidR="008657D3">
        <w:rPr>
          <w:rFonts w:eastAsia="Times New Roman"/>
          <w:color w:val="0D0D0D"/>
          <w:lang w:eastAsia="en-US"/>
        </w:rPr>
        <w:t>, SAA</w:t>
      </w:r>
      <w:r w:rsidRPr="006B72EF">
        <w:rPr>
          <w:rFonts w:eastAsia="Times New Roman"/>
          <w:color w:val="0D0D0D"/>
          <w:lang w:eastAsia="en-US"/>
        </w:rPr>
        <w:t xml:space="preserve"> and VDB) in combination with the patients haemoglobin level. Leave-one-out-cross-validation (LOOCV) indicated an overall predictive accuracy of 84%. This demonstrates no overall improvement in the performance of the predictive model (Table </w:t>
      </w:r>
      <w:r w:rsidR="00F823FF">
        <w:rPr>
          <w:rFonts w:eastAsia="Times New Roman"/>
          <w:color w:val="0D0D0D"/>
          <w:lang w:eastAsia="en-US"/>
        </w:rPr>
        <w:t>3-</w:t>
      </w:r>
      <w:r w:rsidRPr="006B72EF">
        <w:rPr>
          <w:rFonts w:eastAsia="Times New Roman"/>
          <w:color w:val="0D0D0D"/>
          <w:lang w:eastAsia="en-US"/>
        </w:rPr>
        <w:t>1</w:t>
      </w:r>
      <w:r w:rsidR="008657D3">
        <w:rPr>
          <w:rFonts w:eastAsia="Times New Roman"/>
          <w:color w:val="0D0D0D"/>
          <w:lang w:eastAsia="en-US"/>
        </w:rPr>
        <w:t>2</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9A031D" w:rsidP="00057B42">
      <w:pPr>
        <w:keepNext/>
        <w:spacing w:after="240" w:line="360" w:lineRule="auto"/>
        <w:jc w:val="center"/>
        <w:rPr>
          <w:rFonts w:eastAsia="Times New Roman"/>
          <w:color w:val="0D0D0D"/>
          <w:lang w:eastAsia="en-US"/>
        </w:rPr>
      </w:pPr>
      <w:r w:rsidRPr="009A031D">
        <w:rPr>
          <w:noProof/>
          <w:lang w:eastAsia="en-IE"/>
        </w:rPr>
        <w:lastRenderedPageBreak/>
        <w:drawing>
          <wp:inline distT="0" distB="0" distL="0" distR="0" wp14:anchorId="0985E0A8" wp14:editId="70084CDE">
            <wp:extent cx="5183505" cy="41221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183505" cy="4122174"/>
                    </a:xfrm>
                    <a:prstGeom prst="rect">
                      <a:avLst/>
                    </a:prstGeom>
                  </pic:spPr>
                </pic:pic>
              </a:graphicData>
            </a:graphic>
          </wp:inline>
        </w:drawing>
      </w:r>
    </w:p>
    <w:p w:rsidR="00830F91" w:rsidRDefault="006B72EF" w:rsidP="00057B42">
      <w:pPr>
        <w:pBdr>
          <w:bottom w:val="single" w:sz="12" w:space="1" w:color="auto"/>
        </w:pBd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12</w:t>
      </w:r>
      <w:r w:rsidR="00B55EFC">
        <w:rPr>
          <w:rFonts w:eastAsia="Times New Roman"/>
          <w:b/>
          <w:bCs/>
          <w:color w:val="000000"/>
          <w:lang w:eastAsia="en-US"/>
        </w:rPr>
        <w:fldChar w:fldCharType="end"/>
      </w:r>
      <w:r w:rsidRPr="006B72EF">
        <w:rPr>
          <w:rFonts w:eastAsia="Times New Roman"/>
          <w:b/>
          <w:bCs/>
          <w:color w:val="000000"/>
          <w:lang w:eastAsia="en-US"/>
        </w:rPr>
        <w:t xml:space="preserve"> </w:t>
      </w:r>
      <w:r w:rsidR="00606432">
        <w:rPr>
          <w:rFonts w:eastAsia="Times New Roman"/>
          <w:b/>
          <w:bCs/>
          <w:color w:val="000000"/>
          <w:lang w:eastAsia="en-US"/>
        </w:rPr>
        <w:t xml:space="preserve">shows clinically </w:t>
      </w:r>
      <w:r w:rsidR="00606432" w:rsidRPr="00606432">
        <w:rPr>
          <w:rFonts w:eastAsia="Times New Roman"/>
          <w:b/>
          <w:bCs/>
          <w:color w:val="000000"/>
          <w:lang w:eastAsia="en-US"/>
        </w:rPr>
        <w:t>responders patients. Column 3 is the leave-one-out cross-validation (LOOCV) results based on the</w:t>
      </w:r>
      <w:r w:rsidR="00606432">
        <w:rPr>
          <w:rFonts w:eastAsia="Times New Roman"/>
          <w:b/>
          <w:bCs/>
          <w:color w:val="000000"/>
          <w:lang w:eastAsia="en-US"/>
        </w:rPr>
        <w:t xml:space="preserve"> combination of Hp</w:t>
      </w:r>
      <w:r w:rsidR="008657D3">
        <w:rPr>
          <w:rFonts w:eastAsia="Times New Roman"/>
          <w:b/>
          <w:bCs/>
          <w:color w:val="000000"/>
          <w:lang w:eastAsia="en-US"/>
        </w:rPr>
        <w:t>, SAA</w:t>
      </w:r>
      <w:r w:rsidR="00606432">
        <w:rPr>
          <w:rFonts w:eastAsia="Times New Roman"/>
          <w:b/>
          <w:bCs/>
          <w:color w:val="000000"/>
          <w:lang w:eastAsia="en-US"/>
        </w:rPr>
        <w:t xml:space="preserve"> and VDB</w:t>
      </w:r>
      <w:r w:rsidR="00606432" w:rsidRPr="00606432">
        <w:rPr>
          <w:rFonts w:eastAsia="Times New Roman"/>
          <w:b/>
          <w:bCs/>
          <w:color w:val="000000"/>
          <w:lang w:eastAsia="en-US"/>
        </w:rPr>
        <w:t xml:space="preserve"> ELISA value</w:t>
      </w:r>
      <w:r w:rsidR="008657D3">
        <w:rPr>
          <w:rFonts w:eastAsia="Times New Roman"/>
          <w:b/>
          <w:bCs/>
          <w:color w:val="000000"/>
          <w:lang w:eastAsia="en-US"/>
        </w:rPr>
        <w:t>s</w:t>
      </w:r>
      <w:r w:rsidR="00606432" w:rsidRPr="00606432">
        <w:rPr>
          <w:rFonts w:eastAsia="Times New Roman"/>
          <w:b/>
          <w:bCs/>
          <w:color w:val="000000"/>
          <w:lang w:eastAsia="en-US"/>
        </w:rPr>
        <w:t xml:space="preserve"> and Column 2 is the leave-one-out cross-validation (LOOCV) results based on the combination of ZAG, Hp and VDB, ELISA value and patients haemoglobin level. The column 4 is prediction of response to thalidomide based on the original constructed model. The column five is when patients haemoglobin level at diagnosis </w:t>
      </w:r>
      <w:r w:rsidR="004D56C5" w:rsidRPr="00606432">
        <w:rPr>
          <w:rFonts w:eastAsia="Times New Roman"/>
          <w:b/>
          <w:bCs/>
          <w:color w:val="000000"/>
          <w:lang w:eastAsia="en-US"/>
        </w:rPr>
        <w:t>was</w:t>
      </w:r>
      <w:r w:rsidR="00606432" w:rsidRPr="00606432">
        <w:rPr>
          <w:rFonts w:eastAsia="Times New Roman"/>
          <w:b/>
          <w:bCs/>
          <w:color w:val="000000"/>
          <w:lang w:eastAsia="en-US"/>
        </w:rPr>
        <w:t xml:space="preserve"> added to the</w:t>
      </w:r>
      <w:r w:rsidR="00606432">
        <w:rPr>
          <w:rFonts w:eastAsia="Times New Roman"/>
          <w:b/>
          <w:bCs/>
          <w:color w:val="000000"/>
          <w:lang w:eastAsia="en-US"/>
        </w:rPr>
        <w:t xml:space="preserve"> </w:t>
      </w:r>
      <w:r w:rsidR="00606432" w:rsidRPr="00606432">
        <w:rPr>
          <w:rFonts w:eastAsia="Times New Roman"/>
          <w:b/>
          <w:bCs/>
          <w:color w:val="000000"/>
          <w:lang w:eastAsia="en-US"/>
        </w:rPr>
        <w:t>original predictive model. The overall final LOOCV indicated a predictive value of 84%. This result indicates that there is no overall improvement in the performance of the predictive model.</w:t>
      </w:r>
      <w:r w:rsidR="00830F91">
        <w:rPr>
          <w:rFonts w:eastAsia="Times New Roman"/>
          <w:b/>
          <w:bCs/>
          <w:color w:val="000000"/>
          <w:lang w:eastAsia="en-US"/>
        </w:rPr>
        <w:t xml:space="preserve"> </w:t>
      </w:r>
      <w:r w:rsidR="00830F91" w:rsidRPr="00830F91">
        <w:rPr>
          <w:rFonts w:eastAsia="Times New Roman"/>
          <w:b/>
          <w:bCs/>
          <w:color w:val="000000"/>
          <w:lang w:eastAsia="en-US"/>
        </w:rPr>
        <w:t>Abbreviations; R: responders to thalidomide-based therapy</w:t>
      </w:r>
      <w:r w:rsidR="00830F91">
        <w:rPr>
          <w:rFonts w:eastAsia="Times New Roman"/>
          <w:b/>
          <w:bCs/>
          <w:color w:val="000000"/>
          <w:lang w:eastAsia="en-US"/>
        </w:rPr>
        <w:t>,</w:t>
      </w:r>
      <w:r w:rsidR="00830F91" w:rsidRPr="00830F91">
        <w:rPr>
          <w:rFonts w:eastAsia="Times New Roman"/>
          <w:b/>
          <w:bCs/>
          <w:color w:val="000000"/>
          <w:lang w:eastAsia="en-US"/>
        </w:rPr>
        <w:t xml:space="preserve"> NR: Non-responders to thalidomide-based therapy</w:t>
      </w:r>
      <w:r w:rsidR="00830F91">
        <w:rPr>
          <w:rFonts w:eastAsia="Times New Roman"/>
          <w:b/>
          <w:bCs/>
          <w:color w:val="000000"/>
          <w:lang w:eastAsia="en-US"/>
        </w:rPr>
        <w:t>.</w:t>
      </w:r>
    </w:p>
    <w:p w:rsidR="00830F91" w:rsidRDefault="00830F91" w:rsidP="00057B42">
      <w:pPr>
        <w:pBdr>
          <w:bottom w:val="single" w:sz="12" w:space="1" w:color="auto"/>
        </w:pBdr>
        <w:spacing w:before="240" w:line="360" w:lineRule="auto"/>
        <w:ind w:right="-1"/>
        <w:jc w:val="both"/>
        <w:rPr>
          <w:rFonts w:eastAsia="Times New Roman"/>
          <w:b/>
          <w:bCs/>
          <w:color w:val="000000"/>
          <w:lang w:eastAsia="en-US"/>
        </w:rPr>
      </w:pPr>
    </w:p>
    <w:p w:rsidR="00606432" w:rsidRDefault="00606432" w:rsidP="00057B42">
      <w:pPr>
        <w:keepNext/>
        <w:spacing w:before="240" w:line="360" w:lineRule="auto"/>
        <w:ind w:right="-1"/>
        <w:jc w:val="both"/>
      </w:pPr>
      <w:r w:rsidRPr="00606432">
        <w:rPr>
          <w:noProof/>
          <w:lang w:eastAsia="en-IE"/>
        </w:rPr>
        <w:lastRenderedPageBreak/>
        <w:drawing>
          <wp:inline distT="0" distB="0" distL="0" distR="0" wp14:anchorId="0979D790" wp14:editId="224F6CFB">
            <wp:extent cx="5183505" cy="33368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183505" cy="3336885"/>
                    </a:xfrm>
                    <a:prstGeom prst="rect">
                      <a:avLst/>
                    </a:prstGeom>
                  </pic:spPr>
                </pic:pic>
              </a:graphicData>
            </a:graphic>
          </wp:inline>
        </w:drawing>
      </w:r>
    </w:p>
    <w:p w:rsidR="00606432" w:rsidRDefault="00606432" w:rsidP="00057B42">
      <w:pPr>
        <w:keepNext/>
        <w:spacing w:before="240" w:line="360" w:lineRule="auto"/>
        <w:ind w:right="-1"/>
        <w:jc w:val="both"/>
      </w:pPr>
    </w:p>
    <w:p w:rsidR="00606432" w:rsidRDefault="00606432" w:rsidP="00057B42">
      <w:pPr>
        <w:pStyle w:val="Caption"/>
        <w:jc w:val="both"/>
      </w:pPr>
      <w:r>
        <w:t xml:space="preserve">Table </w:t>
      </w:r>
      <w:fldSimple w:instr=" STYLEREF 1 \s ">
        <w:r w:rsidR="0081644B">
          <w:rPr>
            <w:noProof/>
          </w:rPr>
          <w:t>3</w:t>
        </w:r>
      </w:fldSimple>
      <w:r w:rsidR="00B55EFC">
        <w:noBreakHyphen/>
      </w:r>
      <w:fldSimple w:instr=" SEQ Table \* ARABIC \s 1 ">
        <w:r w:rsidR="0081644B">
          <w:rPr>
            <w:noProof/>
          </w:rPr>
          <w:t>13</w:t>
        </w:r>
      </w:fldSimple>
      <w:r>
        <w:t xml:space="preserve"> </w:t>
      </w:r>
      <w:r w:rsidRPr="00606432">
        <w:t xml:space="preserve">shows clinically </w:t>
      </w:r>
      <w:r>
        <w:t>non</w:t>
      </w:r>
      <w:r w:rsidR="00830F91">
        <w:t>-</w:t>
      </w:r>
      <w:r>
        <w:t>responders patients. Column 3 is</w:t>
      </w:r>
      <w:r w:rsidRPr="00606432">
        <w:t xml:space="preserve"> the leave-one-out cross-validation (LOOCV) results based on the</w:t>
      </w:r>
      <w:r>
        <w:t xml:space="preserve"> combination of ZAG, Hp and VDB</w:t>
      </w:r>
      <w:r w:rsidRPr="00606432">
        <w:t xml:space="preserve"> ELISA value</w:t>
      </w:r>
      <w:r>
        <w:t xml:space="preserve"> and Column 2 is</w:t>
      </w:r>
      <w:r w:rsidRPr="00606432">
        <w:t xml:space="preserve"> the leave-one-out cross-validation (LOOCV) results based on the combination of Hp</w:t>
      </w:r>
      <w:r w:rsidR="008657D3">
        <w:t>, SAA</w:t>
      </w:r>
      <w:r w:rsidRPr="00606432">
        <w:t xml:space="preserve"> and VDB, ELISA value</w:t>
      </w:r>
      <w:r>
        <w:t xml:space="preserve"> and patients haemoglobin level</w:t>
      </w:r>
      <w:r w:rsidRPr="00606432">
        <w:t xml:space="preserve">. The column 4 is </w:t>
      </w:r>
      <w:r>
        <w:t xml:space="preserve">prediction of response to thalidomide based on the </w:t>
      </w:r>
      <w:r w:rsidRPr="00606432">
        <w:t xml:space="preserve">original constructed model. The column five is when patients </w:t>
      </w:r>
      <w:r>
        <w:t>h</w:t>
      </w:r>
      <w:r w:rsidRPr="00606432">
        <w:t xml:space="preserve">aemoglobin level at diagnosis </w:t>
      </w:r>
      <w:r w:rsidR="004D56C5">
        <w:t>was</w:t>
      </w:r>
      <w:r w:rsidRPr="00606432">
        <w:t xml:space="preserve"> added</w:t>
      </w:r>
      <w:r>
        <w:t xml:space="preserve"> to the original predictive model</w:t>
      </w:r>
      <w:r w:rsidRPr="00606432">
        <w:t xml:space="preserve">. The overall </w:t>
      </w:r>
      <w:r>
        <w:t xml:space="preserve">final </w:t>
      </w:r>
      <w:r w:rsidRPr="00606432">
        <w:t>LOOCV indicated a predictive value of 84%. This result indicates that there is no overall improvement in the performance of the predictive model.</w:t>
      </w:r>
      <w:r w:rsidR="00830F91">
        <w:t xml:space="preserve"> </w:t>
      </w:r>
      <w:r w:rsidR="00830F91" w:rsidRPr="00830F91">
        <w:t>Abbreviations; R: responders to thalidomide-based therapy, NR: Non-responde</w:t>
      </w:r>
      <w:r w:rsidR="00830F91">
        <w:t xml:space="preserve">rs to thalidomide-based therapy, Hb: haemoglobin. </w:t>
      </w:r>
    </w:p>
    <w:p w:rsidR="00606432" w:rsidRDefault="00606432" w:rsidP="00057B42">
      <w:pPr>
        <w:pBdr>
          <w:bottom w:val="single" w:sz="12" w:space="1" w:color="auto"/>
        </w:pBdr>
        <w:spacing w:line="360" w:lineRule="auto"/>
      </w:pPr>
    </w:p>
    <w:p w:rsidR="00606432" w:rsidRDefault="00606432" w:rsidP="00057B42">
      <w:pPr>
        <w:spacing w:line="360" w:lineRule="auto"/>
      </w:pPr>
    </w:p>
    <w:p w:rsidR="00424953" w:rsidRDefault="00424953" w:rsidP="00057B42">
      <w:pPr>
        <w:spacing w:line="360" w:lineRule="auto"/>
      </w:pPr>
    </w:p>
    <w:p w:rsidR="00424953" w:rsidRDefault="00424953" w:rsidP="00057B42">
      <w:pPr>
        <w:spacing w:line="360" w:lineRule="auto"/>
      </w:pPr>
    </w:p>
    <w:p w:rsidR="00424953" w:rsidRDefault="00424953" w:rsidP="00057B42">
      <w:pPr>
        <w:spacing w:line="360" w:lineRule="auto"/>
      </w:pPr>
    </w:p>
    <w:p w:rsidR="00424953" w:rsidRPr="00606432" w:rsidRDefault="00424953" w:rsidP="00057B42">
      <w:pPr>
        <w:spacing w:line="360" w:lineRule="auto"/>
      </w:pPr>
    </w:p>
    <w:p w:rsidR="006B72EF" w:rsidRDefault="006B72EF" w:rsidP="00645687">
      <w:pPr>
        <w:pStyle w:val="Heading4"/>
      </w:pPr>
      <w:bookmarkStart w:id="1361" w:name="_Toc274586846"/>
      <w:bookmarkStart w:id="1362" w:name="_Toc274736207"/>
      <w:r w:rsidRPr="006B72EF">
        <w:lastRenderedPageBreak/>
        <w:tab/>
      </w:r>
      <w:bookmarkStart w:id="1363" w:name="_Toc279658474"/>
      <w:bookmarkStart w:id="1364" w:name="_Toc306570700"/>
      <w:bookmarkStart w:id="1365" w:name="_Toc307067762"/>
      <w:bookmarkStart w:id="1366" w:name="_Toc312169333"/>
      <w:bookmarkStart w:id="1367" w:name="_Toc312172260"/>
      <w:bookmarkStart w:id="1368" w:name="_Toc312257809"/>
      <w:r w:rsidRPr="006B72EF">
        <w:t>Patients clinical follow-up</w:t>
      </w:r>
      <w:bookmarkEnd w:id="1361"/>
      <w:bookmarkEnd w:id="1362"/>
      <w:bookmarkEnd w:id="1363"/>
      <w:bookmarkEnd w:id="1364"/>
      <w:bookmarkEnd w:id="1365"/>
      <w:bookmarkEnd w:id="1366"/>
      <w:bookmarkEnd w:id="1367"/>
      <w:bookmarkEnd w:id="1368"/>
    </w:p>
    <w:p w:rsidR="006B72EF" w:rsidRDefault="006B72EF" w:rsidP="008657D3">
      <w:pPr>
        <w:spacing w:before="240" w:after="240" w:line="360" w:lineRule="auto"/>
        <w:jc w:val="both"/>
        <w:rPr>
          <w:rFonts w:eastAsia="Times New Roman"/>
          <w:color w:val="0D0D0D"/>
          <w:lang w:eastAsia="en-US"/>
        </w:rPr>
      </w:pPr>
      <w:bookmarkStart w:id="1369" w:name="_Toc274586847"/>
      <w:bookmarkStart w:id="1370" w:name="_Toc274736208"/>
      <w:r w:rsidRPr="006B72EF">
        <w:rPr>
          <w:rFonts w:eastAsia="Times New Roman"/>
          <w:color w:val="0D0D0D"/>
          <w:lang w:eastAsia="en-US"/>
        </w:rPr>
        <w:t xml:space="preserve">All our patients were regularly followed up in </w:t>
      </w:r>
      <w:r w:rsidR="0045045A">
        <w:rPr>
          <w:rFonts w:eastAsia="Times New Roman"/>
          <w:color w:val="0D0D0D"/>
          <w:lang w:eastAsia="en-US"/>
        </w:rPr>
        <w:t xml:space="preserve">the </w:t>
      </w:r>
      <w:r w:rsidRPr="006B72EF">
        <w:rPr>
          <w:rFonts w:eastAsia="Times New Roman"/>
          <w:color w:val="0D0D0D"/>
          <w:lang w:eastAsia="en-US"/>
        </w:rPr>
        <w:t xml:space="preserve">haematology department of Mater University Hospital on </w:t>
      </w:r>
      <w:r w:rsidR="0045045A">
        <w:rPr>
          <w:rFonts w:eastAsia="Times New Roman"/>
          <w:color w:val="0D0D0D"/>
          <w:lang w:eastAsia="en-US"/>
        </w:rPr>
        <w:t xml:space="preserve">a </w:t>
      </w:r>
      <w:r w:rsidRPr="006B72EF">
        <w:rPr>
          <w:rFonts w:eastAsia="Times New Roman"/>
          <w:color w:val="0D0D0D"/>
          <w:lang w:eastAsia="en-US"/>
        </w:rPr>
        <w:t>monthly basis.</w:t>
      </w:r>
    </w:p>
    <w:p w:rsidR="006B72EF" w:rsidRDefault="003D7ADB" w:rsidP="00057B42">
      <w:pPr>
        <w:pStyle w:val="Heading5"/>
        <w:spacing w:line="360" w:lineRule="auto"/>
      </w:pPr>
      <w:bookmarkStart w:id="1371" w:name="_Toc279658475"/>
      <w:r>
        <w:tab/>
      </w:r>
      <w:r w:rsidR="006B72EF" w:rsidRPr="006B72EF">
        <w:t>Non-responders to thalidomide based regimen</w:t>
      </w:r>
      <w:bookmarkEnd w:id="1369"/>
      <w:bookmarkEnd w:id="1370"/>
      <w:bookmarkEnd w:id="1371"/>
    </w:p>
    <w:p w:rsidR="006B72EF" w:rsidRPr="006B72EF" w:rsidRDefault="006B72EF" w:rsidP="008657D3">
      <w:pPr>
        <w:spacing w:before="240" w:after="240" w:line="360" w:lineRule="auto"/>
        <w:jc w:val="both"/>
        <w:rPr>
          <w:rFonts w:eastAsia="Times New Roman"/>
          <w:color w:val="0D0D0D"/>
          <w:lang w:eastAsia="en-US"/>
        </w:rPr>
      </w:pPr>
      <w:r w:rsidRPr="006B72EF">
        <w:rPr>
          <w:rFonts w:eastAsia="Times New Roman"/>
          <w:color w:val="0D0D0D"/>
          <w:lang w:eastAsia="en-US"/>
        </w:rPr>
        <w:t>We considered the possibility that the non-responders patients were simply patients with multiple myeloma that would be refractory to all therapies including novel agents.</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our study, of </w:t>
      </w:r>
      <w:r w:rsidR="0045045A">
        <w:rPr>
          <w:rFonts w:eastAsia="Times New Roman"/>
          <w:color w:val="0D0D0D"/>
          <w:lang w:eastAsia="en-US"/>
        </w:rPr>
        <w:t xml:space="preserve">the </w:t>
      </w:r>
      <w:r w:rsidRPr="006B72EF">
        <w:rPr>
          <w:rFonts w:eastAsia="Times New Roman"/>
          <w:color w:val="0D0D0D"/>
          <w:lang w:eastAsia="en-US"/>
        </w:rPr>
        <w:t xml:space="preserve">22 non-responders to thalidomide, 16 successfully achieved ‘complete response’ or ‘very good partial response’ using other therapies including bortezomib and lenalidomide (Table </w:t>
      </w:r>
      <w:r w:rsidR="0045045A">
        <w:rPr>
          <w:rFonts w:eastAsia="Times New Roman"/>
          <w:color w:val="0D0D0D"/>
          <w:lang w:eastAsia="en-US"/>
        </w:rPr>
        <w:t>3-</w:t>
      </w:r>
      <w:r w:rsidRPr="006B72EF">
        <w:rPr>
          <w:rFonts w:eastAsia="Times New Roman"/>
          <w:color w:val="0D0D0D"/>
          <w:lang w:eastAsia="en-US"/>
        </w:rPr>
        <w:t>16).</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This suggests that the biomarker profile is predictive of thalidomide respons</w:t>
      </w:r>
      <w:r w:rsidR="008657D3">
        <w:rPr>
          <w:rFonts w:eastAsia="Times New Roman"/>
          <w:color w:val="0D0D0D"/>
          <w:lang w:eastAsia="en-US"/>
        </w:rPr>
        <w:t xml:space="preserve">e at diagnosis rather than </w:t>
      </w:r>
      <w:r w:rsidRPr="006B72EF">
        <w:rPr>
          <w:rFonts w:eastAsia="Times New Roman"/>
          <w:color w:val="0D0D0D"/>
          <w:lang w:eastAsia="en-US"/>
        </w:rPr>
        <w:t xml:space="preserve">the non-responders </w:t>
      </w:r>
      <w:r w:rsidR="0045045A">
        <w:rPr>
          <w:rFonts w:eastAsia="Times New Roman"/>
          <w:color w:val="0D0D0D"/>
          <w:lang w:eastAsia="en-US"/>
        </w:rPr>
        <w:t xml:space="preserve">who </w:t>
      </w:r>
      <w:r w:rsidRPr="006B72EF">
        <w:rPr>
          <w:rFonts w:eastAsia="Times New Roman"/>
          <w:color w:val="0D0D0D"/>
          <w:lang w:eastAsia="en-US"/>
        </w:rPr>
        <w:t>were simply patients with refractory multiple myeloma to all therapies.</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Furthermore, these data suggest that, had the non-responsive patients received an alternative to thalidomide as induction therapy, a significant response could have been obtained. The ISS, based on serum B2M and albumin levels, is a predictor of overall survival in MM patients. The end point in our study was </w:t>
      </w:r>
      <w:r w:rsidR="007B339D">
        <w:rPr>
          <w:rFonts w:eastAsia="Times New Roman"/>
          <w:color w:val="0D0D0D"/>
          <w:lang w:eastAsia="en-US"/>
        </w:rPr>
        <w:t xml:space="preserve">to determine the </w:t>
      </w:r>
      <w:r w:rsidRPr="006B72EF">
        <w:rPr>
          <w:rFonts w:eastAsia="Times New Roman"/>
          <w:color w:val="0D0D0D"/>
          <w:lang w:eastAsia="en-US"/>
        </w:rPr>
        <w:t xml:space="preserve">response to thalidomide </w:t>
      </w:r>
      <w:r w:rsidR="007B339D">
        <w:rPr>
          <w:rFonts w:eastAsia="Times New Roman"/>
          <w:color w:val="0D0D0D"/>
          <w:lang w:eastAsia="en-US"/>
        </w:rPr>
        <w:t xml:space="preserve">at diagnosis, </w:t>
      </w:r>
      <w:r w:rsidRPr="006B72EF">
        <w:rPr>
          <w:rFonts w:eastAsia="Times New Roman"/>
          <w:color w:val="0D0D0D"/>
          <w:lang w:eastAsia="en-US"/>
        </w:rPr>
        <w:t xml:space="preserve">in contrast to </w:t>
      </w:r>
      <w:r w:rsidR="007B339D">
        <w:rPr>
          <w:rFonts w:eastAsia="Times New Roman"/>
          <w:color w:val="0D0D0D"/>
          <w:lang w:eastAsia="en-US"/>
        </w:rPr>
        <w:t xml:space="preserve">overall </w:t>
      </w:r>
      <w:r w:rsidRPr="006B72EF">
        <w:rPr>
          <w:rFonts w:eastAsia="Times New Roman"/>
          <w:color w:val="0D0D0D"/>
          <w:lang w:eastAsia="en-US"/>
        </w:rPr>
        <w:t>survival (as applied to the ISS) and we found no correlation between ISS values and response rate to thalidomide.</w:t>
      </w:r>
    </w:p>
    <w:p w:rsidR="00F823FF" w:rsidRPr="006B72EF" w:rsidRDefault="00F823FF" w:rsidP="00057B42">
      <w:pPr>
        <w:spacing w:after="240" w:line="360" w:lineRule="auto"/>
        <w:jc w:val="both"/>
        <w:rPr>
          <w:rFonts w:eastAsia="Times New Roman"/>
          <w:color w:val="0D0D0D"/>
          <w:lang w:eastAsia="en-US"/>
        </w:rPr>
      </w:pPr>
    </w:p>
    <w:p w:rsidR="006B72EF" w:rsidRDefault="00F823FF" w:rsidP="00057B42">
      <w:pPr>
        <w:pStyle w:val="Heading5"/>
        <w:spacing w:line="360" w:lineRule="auto"/>
      </w:pPr>
      <w:bookmarkStart w:id="1372" w:name="_Toc274586848"/>
      <w:bookmarkStart w:id="1373" w:name="_Toc274736209"/>
      <w:bookmarkStart w:id="1374" w:name="_Toc279658476"/>
      <w:r>
        <w:br w:type="page"/>
      </w:r>
      <w:r>
        <w:lastRenderedPageBreak/>
        <w:t xml:space="preserve"> </w:t>
      </w:r>
      <w:r w:rsidR="00321273">
        <w:tab/>
      </w:r>
      <w:r w:rsidR="006B72EF" w:rsidRPr="006B72EF">
        <w:t>Responders to thalidomide based regimen</w:t>
      </w:r>
      <w:bookmarkEnd w:id="1372"/>
      <w:bookmarkEnd w:id="1373"/>
      <w:bookmarkEnd w:id="1374"/>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our study </w:t>
      </w:r>
      <w:r w:rsidR="00137C18">
        <w:rPr>
          <w:rFonts w:eastAsia="Times New Roman"/>
          <w:color w:val="0D0D0D"/>
          <w:lang w:eastAsia="en-US"/>
        </w:rPr>
        <w:t xml:space="preserve">the </w:t>
      </w:r>
      <w:r w:rsidRPr="006B72EF">
        <w:rPr>
          <w:rFonts w:eastAsia="Times New Roman"/>
          <w:color w:val="0D0D0D"/>
          <w:lang w:eastAsia="en-US"/>
        </w:rPr>
        <w:t xml:space="preserve">median follow up of responding patients were 18 months. Time to progression (TTP) was defined as the time from the start of </w:t>
      </w:r>
      <w:r w:rsidR="00137C18">
        <w:rPr>
          <w:rFonts w:eastAsia="Times New Roman"/>
          <w:color w:val="0D0D0D"/>
          <w:lang w:eastAsia="en-US"/>
        </w:rPr>
        <w:t xml:space="preserve">the </w:t>
      </w:r>
      <w:r w:rsidRPr="006B72EF">
        <w:rPr>
          <w:rFonts w:eastAsia="Times New Roman"/>
          <w:color w:val="0D0D0D"/>
          <w:lang w:eastAsia="en-US"/>
        </w:rPr>
        <w:t>thalidomide based regimen to the date of documented progression.</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Of the 2</w:t>
      </w:r>
      <w:r w:rsidR="00137C18">
        <w:rPr>
          <w:rFonts w:eastAsia="Times New Roman"/>
          <w:color w:val="0D0D0D"/>
          <w:lang w:eastAsia="en-US"/>
        </w:rPr>
        <w:t>9 responder</w:t>
      </w:r>
      <w:r w:rsidRPr="006B72EF">
        <w:rPr>
          <w:rFonts w:eastAsia="Times New Roman"/>
          <w:color w:val="0D0D0D"/>
          <w:lang w:eastAsia="en-US"/>
        </w:rPr>
        <w:t xml:space="preserve"> patients 8 eventually relapsed with median time to progression of 15 months (range 11- 18 months). However, at this stage, median TTP has not been reached for this group as 21 patients remain in CR or VGPR (Table</w:t>
      </w:r>
      <w:r w:rsidR="00137C18">
        <w:rPr>
          <w:rFonts w:eastAsia="Times New Roman"/>
          <w:color w:val="0D0D0D"/>
          <w:lang w:eastAsia="en-US"/>
        </w:rPr>
        <w:t xml:space="preserve"> 3-</w:t>
      </w:r>
      <w:r w:rsidR="00F75C1A">
        <w:rPr>
          <w:rFonts w:eastAsia="Times New Roman"/>
          <w:color w:val="0D0D0D"/>
          <w:lang w:eastAsia="en-US"/>
        </w:rPr>
        <w:t>14 and 3-15</w:t>
      </w:r>
      <w:r w:rsidRPr="006B72EF">
        <w:rPr>
          <w:rFonts w:eastAsia="Times New Roman"/>
          <w:color w:val="0D0D0D"/>
          <w:lang w:eastAsia="en-US"/>
        </w:rPr>
        <w:t>)</w:t>
      </w:r>
      <w:r w:rsidR="00137C18">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br w:type="page"/>
      </w:r>
      <w:r w:rsidR="00805BB0" w:rsidRPr="00805BB0">
        <w:rPr>
          <w:noProof/>
          <w:lang w:eastAsia="en-IE"/>
        </w:rPr>
        <w:lastRenderedPageBreak/>
        <w:drawing>
          <wp:inline distT="0" distB="0" distL="0" distR="0" wp14:anchorId="4F2108CD" wp14:editId="415B748B">
            <wp:extent cx="5183505" cy="4899963"/>
            <wp:effectExtent l="0" t="0" r="0" b="0"/>
            <wp:docPr id="290823" name="Picture 29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183505" cy="4899963"/>
                    </a:xfrm>
                    <a:prstGeom prst="rect">
                      <a:avLst/>
                    </a:prstGeom>
                  </pic:spPr>
                </pic:pic>
              </a:graphicData>
            </a:graphic>
          </wp:inline>
        </w:drawing>
      </w:r>
    </w:p>
    <w:p w:rsidR="006B72EF" w:rsidRPr="006B72EF" w:rsidRDefault="006B72EF" w:rsidP="00057B42">
      <w:pPr>
        <w:spacing w:before="240" w:line="360" w:lineRule="auto"/>
        <w:ind w:right="-1"/>
        <w:jc w:val="both"/>
        <w:rPr>
          <w:rFonts w:eastAsia="Times New Roman"/>
          <w:b/>
          <w:bCs/>
          <w:color w:val="000000"/>
          <w:lang w:eastAsia="en-US"/>
        </w:rPr>
      </w:pPr>
    </w:p>
    <w:p w:rsidR="006B72EF" w:rsidRDefault="006B72EF"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14</w:t>
      </w:r>
      <w:r w:rsidR="00B55EFC">
        <w:rPr>
          <w:rFonts w:eastAsia="Times New Roman"/>
          <w:b/>
          <w:bCs/>
          <w:color w:val="000000"/>
          <w:lang w:eastAsia="en-US"/>
        </w:rPr>
        <w:fldChar w:fldCharType="end"/>
      </w:r>
      <w:r w:rsidRPr="006B72EF">
        <w:rPr>
          <w:rFonts w:eastAsia="Times New Roman"/>
          <w:b/>
          <w:bCs/>
          <w:color w:val="000000"/>
          <w:lang w:eastAsia="en-US"/>
        </w:rPr>
        <w:t xml:space="preserve"> </w:t>
      </w:r>
      <w:bookmarkStart w:id="1375" w:name="_Toc274587631"/>
      <w:r w:rsidRPr="006B72EF">
        <w:rPr>
          <w:rFonts w:eastAsia="Times New Roman"/>
          <w:b/>
          <w:bCs/>
          <w:color w:val="000000"/>
          <w:lang w:eastAsia="en-US"/>
        </w:rPr>
        <w:t xml:space="preserve">outlines </w:t>
      </w:r>
      <w:r w:rsidR="00805BB0">
        <w:rPr>
          <w:rFonts w:eastAsia="Times New Roman"/>
          <w:b/>
          <w:bCs/>
          <w:color w:val="000000"/>
          <w:lang w:eastAsia="en-US"/>
        </w:rPr>
        <w:t xml:space="preserve">the clinical details of the </w:t>
      </w:r>
      <w:r w:rsidRPr="006B72EF">
        <w:rPr>
          <w:rFonts w:eastAsia="Times New Roman"/>
          <w:b/>
          <w:bCs/>
          <w:color w:val="000000"/>
          <w:lang w:eastAsia="en-US"/>
        </w:rPr>
        <w:t>responder patients included in this study, including their age, sex, clinical stage based on ISS (International Staging System), Day-100 restaging based on IMWG (International Myeloma Working Group) uniform response criteria for multiple myeloma and clinical classification of response to thalidomide. Furthermore, included in this table are details for thal</w:t>
      </w:r>
      <w:r w:rsidR="00BF5DEE">
        <w:rPr>
          <w:rFonts w:eastAsia="Times New Roman"/>
          <w:b/>
          <w:bCs/>
          <w:color w:val="000000"/>
          <w:lang w:eastAsia="en-US"/>
        </w:rPr>
        <w:t>idomide-based induction regimen</w:t>
      </w:r>
      <w:r w:rsidRPr="006B72EF">
        <w:rPr>
          <w:rFonts w:eastAsia="Times New Roman"/>
          <w:b/>
          <w:bCs/>
          <w:color w:val="000000"/>
          <w:lang w:eastAsia="en-US"/>
        </w:rPr>
        <w:t>, second line treatment, duration of follow-up in months and the current clinical status. Abbreviations: SD: stable disease, PD: progressive disease, IMWG: International Myeloma Working Group, NR: Non-responders to thalidomide, BORT: Bortezomib, LEN: Lenalidomide, SCT: Stem Cell Transplant, M: male, F: female, RIP: Rest in Peace. TD: thalidomide and dexamethasone, CTD: cyclophosphamide, thalidomide, and dexamethasone, MPT:  melphalan, prednisone and thalidomide</w:t>
      </w:r>
      <w:bookmarkEnd w:id="1375"/>
      <w:r w:rsidRPr="006B72EF">
        <w:rPr>
          <w:rFonts w:eastAsia="Times New Roman"/>
          <w:b/>
          <w:bCs/>
          <w:color w:val="000000"/>
          <w:lang w:eastAsia="en-US"/>
        </w:rPr>
        <w:t>.</w:t>
      </w:r>
      <w:r w:rsidR="00776575">
        <w:rPr>
          <w:rFonts w:eastAsia="Times New Roman"/>
          <w:b/>
          <w:bCs/>
          <w:color w:val="000000"/>
          <w:lang w:eastAsia="en-US"/>
        </w:rPr>
        <w:t xml:space="preserve"> VGPR: </w:t>
      </w:r>
      <w:r w:rsidR="00776575" w:rsidRPr="00776575">
        <w:rPr>
          <w:rFonts w:eastAsia="Times New Roman"/>
          <w:b/>
          <w:bCs/>
          <w:color w:val="000000"/>
          <w:lang w:eastAsia="en-US"/>
        </w:rPr>
        <w:t>very good partial response</w:t>
      </w:r>
      <w:r w:rsidR="00776575">
        <w:rPr>
          <w:rFonts w:eastAsia="Times New Roman"/>
          <w:b/>
          <w:bCs/>
          <w:color w:val="000000"/>
          <w:lang w:eastAsia="en-US"/>
        </w:rPr>
        <w:t xml:space="preserve">. </w:t>
      </w:r>
    </w:p>
    <w:p w:rsidR="00963ADC" w:rsidRDefault="00963ADC"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805BB0" w:rsidP="00057B42">
      <w:pPr>
        <w:keepNext/>
        <w:spacing w:after="240" w:line="360" w:lineRule="auto"/>
        <w:jc w:val="both"/>
        <w:rPr>
          <w:rFonts w:eastAsia="Times New Roman"/>
          <w:color w:val="0D0D0D"/>
          <w:lang w:eastAsia="en-US"/>
        </w:rPr>
      </w:pPr>
      <w:r w:rsidRPr="00805BB0">
        <w:rPr>
          <w:noProof/>
          <w:lang w:eastAsia="en-IE"/>
        </w:rPr>
        <w:drawing>
          <wp:inline distT="0" distB="0" distL="0" distR="0" wp14:anchorId="6C92CAB1" wp14:editId="5676CC1B">
            <wp:extent cx="5183505" cy="3678849"/>
            <wp:effectExtent l="0" t="0" r="0" b="0"/>
            <wp:docPr id="290826" name="Picture 29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183505" cy="3678849"/>
                    </a:xfrm>
                    <a:prstGeom prst="rect">
                      <a:avLst/>
                    </a:prstGeom>
                  </pic:spPr>
                </pic:pic>
              </a:graphicData>
            </a:graphic>
          </wp:inline>
        </w:drawing>
      </w:r>
    </w:p>
    <w:p w:rsidR="00C32934" w:rsidRDefault="00C32934" w:rsidP="00057B42">
      <w:pPr>
        <w:spacing w:before="240" w:line="360" w:lineRule="auto"/>
        <w:ind w:right="-1"/>
        <w:jc w:val="both"/>
        <w:rPr>
          <w:rFonts w:eastAsia="Times New Roman"/>
          <w:b/>
          <w:bCs/>
          <w:color w:val="000000"/>
          <w:lang w:eastAsia="en-US"/>
        </w:rPr>
      </w:pPr>
    </w:p>
    <w:p w:rsidR="006B72EF" w:rsidRDefault="004D56C5" w:rsidP="00057B42">
      <w:pP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Pr>
          <w:rFonts w:eastAsia="Times New Roman"/>
          <w:b/>
          <w:bCs/>
          <w:color w:val="000000"/>
          <w:lang w:eastAsia="en-US"/>
        </w:rPr>
        <w:fldChar w:fldCharType="begin"/>
      </w:r>
      <w:r>
        <w:rPr>
          <w:rFonts w:eastAsia="Times New Roman"/>
          <w:b/>
          <w:bCs/>
          <w:color w:val="000000"/>
          <w:lang w:eastAsia="en-US"/>
        </w:rPr>
        <w:instrText xml:space="preserve"> STYLEREF 1 \s </w:instrText>
      </w:r>
      <w:r>
        <w:rPr>
          <w:rFonts w:eastAsia="Times New Roman"/>
          <w:b/>
          <w:bCs/>
          <w:color w:val="000000"/>
          <w:lang w:eastAsia="en-US"/>
        </w:rPr>
        <w:fldChar w:fldCharType="separate"/>
      </w:r>
      <w:r w:rsidR="0081644B">
        <w:rPr>
          <w:rFonts w:eastAsia="Times New Roman"/>
          <w:b/>
          <w:bCs/>
          <w:noProof/>
          <w:color w:val="000000"/>
          <w:lang w:eastAsia="en-US"/>
        </w:rPr>
        <w:t>3</w:t>
      </w:r>
      <w:r>
        <w:rPr>
          <w:rFonts w:eastAsia="Times New Roman"/>
          <w:b/>
          <w:bCs/>
          <w:color w:val="000000"/>
          <w:lang w:eastAsia="en-US"/>
        </w:rPr>
        <w:fldChar w:fldCharType="end"/>
      </w:r>
      <w:r>
        <w:rPr>
          <w:rFonts w:eastAsia="Times New Roman"/>
          <w:b/>
          <w:bCs/>
          <w:color w:val="000000"/>
          <w:lang w:eastAsia="en-US"/>
        </w:rPr>
        <w:noBreakHyphen/>
      </w:r>
      <w:r>
        <w:rPr>
          <w:rFonts w:eastAsia="Times New Roman"/>
          <w:b/>
          <w:bCs/>
          <w:color w:val="000000"/>
          <w:lang w:eastAsia="en-US"/>
        </w:rPr>
        <w:fldChar w:fldCharType="begin"/>
      </w:r>
      <w:r>
        <w:rPr>
          <w:rFonts w:eastAsia="Times New Roman"/>
          <w:b/>
          <w:bCs/>
          <w:color w:val="000000"/>
          <w:lang w:eastAsia="en-US"/>
        </w:rPr>
        <w:instrText xml:space="preserve"> SEQ Table \* ARABIC \s 1 </w:instrText>
      </w:r>
      <w:r>
        <w:rPr>
          <w:rFonts w:eastAsia="Times New Roman"/>
          <w:b/>
          <w:bCs/>
          <w:color w:val="000000"/>
          <w:lang w:eastAsia="en-US"/>
        </w:rPr>
        <w:fldChar w:fldCharType="separate"/>
      </w:r>
      <w:r w:rsidR="0081644B">
        <w:rPr>
          <w:rFonts w:eastAsia="Times New Roman"/>
          <w:b/>
          <w:bCs/>
          <w:noProof/>
          <w:color w:val="000000"/>
          <w:lang w:eastAsia="en-US"/>
        </w:rPr>
        <w:t>15</w:t>
      </w:r>
      <w:r>
        <w:rPr>
          <w:rFonts w:eastAsia="Times New Roman"/>
          <w:b/>
          <w:bCs/>
          <w:color w:val="000000"/>
          <w:lang w:eastAsia="en-US"/>
        </w:rPr>
        <w:fldChar w:fldCharType="end"/>
      </w:r>
      <w:r w:rsidRPr="006B72EF">
        <w:rPr>
          <w:rFonts w:eastAsia="Times New Roman"/>
          <w:b/>
          <w:bCs/>
          <w:color w:val="000000"/>
          <w:lang w:eastAsia="en-US"/>
        </w:rPr>
        <w:t xml:space="preserve"> outlines the clinical details of the </w:t>
      </w:r>
      <w:r>
        <w:rPr>
          <w:rFonts w:eastAsia="Times New Roman"/>
          <w:b/>
          <w:bCs/>
          <w:color w:val="000000"/>
          <w:lang w:eastAsia="en-US"/>
        </w:rPr>
        <w:t>non-</w:t>
      </w:r>
      <w:r w:rsidRPr="006B72EF">
        <w:rPr>
          <w:rFonts w:eastAsia="Times New Roman"/>
          <w:b/>
          <w:bCs/>
          <w:color w:val="000000"/>
          <w:lang w:eastAsia="en-US"/>
        </w:rPr>
        <w:t xml:space="preserve">responding patients, including their age, sex, clinical stage based on ISS (International Staging System), Day-100 restaging based on IMWG (International Myeloma Working Group) uniform response criteria for multiple myeloma and clinical classification of response to thalidomide. </w:t>
      </w:r>
      <w:bookmarkStart w:id="1376" w:name="_Toc274587632"/>
      <w:r w:rsidR="006B72EF" w:rsidRPr="006B72EF">
        <w:rPr>
          <w:rFonts w:eastAsia="Times New Roman"/>
          <w:b/>
          <w:bCs/>
          <w:color w:val="000000"/>
          <w:lang w:eastAsia="en-US"/>
        </w:rPr>
        <w:t>Furthermore, included in this table are details for thal</w:t>
      </w:r>
      <w:r w:rsidR="00BF5DEE">
        <w:rPr>
          <w:rFonts w:eastAsia="Times New Roman"/>
          <w:b/>
          <w:bCs/>
          <w:color w:val="000000"/>
          <w:lang w:eastAsia="en-US"/>
        </w:rPr>
        <w:t>idomide-based induction regimen</w:t>
      </w:r>
      <w:r w:rsidR="006B72EF" w:rsidRPr="006B72EF">
        <w:rPr>
          <w:rFonts w:eastAsia="Times New Roman"/>
          <w:b/>
          <w:bCs/>
          <w:color w:val="000000"/>
          <w:lang w:eastAsia="en-US"/>
        </w:rPr>
        <w:t>, second line treatment, duration of follow-up in months and the current clinical status. Abbreviations: CR: complete response, VGPR: v</w:t>
      </w:r>
      <w:r w:rsidR="00431384">
        <w:rPr>
          <w:rFonts w:eastAsia="Times New Roman"/>
          <w:b/>
          <w:bCs/>
          <w:color w:val="000000"/>
          <w:lang w:eastAsia="en-US"/>
        </w:rPr>
        <w:t>ery good partial response,</w:t>
      </w:r>
      <w:r w:rsidR="006B72EF" w:rsidRPr="006B72EF">
        <w:rPr>
          <w:rFonts w:eastAsia="Times New Roman"/>
          <w:b/>
          <w:bCs/>
          <w:color w:val="000000"/>
          <w:lang w:eastAsia="en-US"/>
        </w:rPr>
        <w:t xml:space="preserve"> IMWG: International Myeloma Working Group, R: Responders to thalidomide, NR: Non-responders to thalidomide, BORT: Bortezomib, LEN: Lenalidomide, SCT: Stem Cell Transplant, M: male, F: female.</w:t>
      </w:r>
      <w:bookmarkEnd w:id="1376"/>
    </w:p>
    <w:p w:rsidR="00963ADC" w:rsidRDefault="00963ADC" w:rsidP="00057B42">
      <w:pPr>
        <w:pBdr>
          <w:bottom w:val="single" w:sz="12" w:space="1" w:color="auto"/>
        </w:pBdr>
        <w:spacing w:before="240" w:line="360" w:lineRule="auto"/>
        <w:ind w:right="-1"/>
        <w:jc w:val="both"/>
        <w:rPr>
          <w:rFonts w:eastAsia="Times New Roman"/>
          <w:b/>
          <w:bCs/>
          <w:color w:val="000000"/>
          <w:lang w:eastAsia="en-US"/>
        </w:rPr>
      </w:pPr>
    </w:p>
    <w:p w:rsidR="006B72EF" w:rsidRPr="006B72EF" w:rsidRDefault="00C32934" w:rsidP="00645687">
      <w:pPr>
        <w:pStyle w:val="Heading2"/>
      </w:pPr>
      <w:bookmarkStart w:id="1377" w:name="_Toc279658477"/>
      <w:bookmarkStart w:id="1378" w:name="_Toc306570701"/>
      <w:bookmarkStart w:id="1379" w:name="_Toc307067763"/>
      <w:r>
        <w:lastRenderedPageBreak/>
        <w:tab/>
      </w:r>
      <w:bookmarkStart w:id="1380" w:name="_Toc312169334"/>
      <w:bookmarkStart w:id="1381" w:name="_Toc312172261"/>
      <w:bookmarkStart w:id="1382" w:name="_Toc312257810"/>
      <w:r w:rsidR="006B72EF" w:rsidRPr="006B72EF">
        <w:t>Examination of the e</w:t>
      </w:r>
      <w:r w:rsidR="00F07D31">
        <w:t xml:space="preserve">ffect of various storage times and </w:t>
      </w:r>
      <w:r w:rsidR="006B72EF" w:rsidRPr="006B72EF">
        <w:t>temperatures on the serum level of discovered protein biomarkers (</w:t>
      </w:r>
      <w:r w:rsidR="00F75C1A" w:rsidRPr="006B72EF">
        <w:t>Hp</w:t>
      </w:r>
      <w:r w:rsidR="00F75C1A">
        <w:t>,</w:t>
      </w:r>
      <w:r w:rsidR="00F75C1A" w:rsidRPr="006B72EF">
        <w:t xml:space="preserve"> </w:t>
      </w:r>
      <w:r w:rsidR="006B72EF" w:rsidRPr="006B72EF">
        <w:t>VDB, SAA) in multiple myeloma patients</w:t>
      </w:r>
      <w:bookmarkEnd w:id="1377"/>
      <w:bookmarkEnd w:id="1378"/>
      <w:bookmarkEnd w:id="1379"/>
      <w:bookmarkEnd w:id="1380"/>
      <w:bookmarkEnd w:id="1381"/>
      <w:bookmarkEnd w:id="1382"/>
    </w:p>
    <w:p w:rsidR="006B72EF" w:rsidRPr="00F75C1A" w:rsidRDefault="006B72EF" w:rsidP="00F75C1A"/>
    <w:p w:rsidR="006B72EF" w:rsidRPr="006B72EF" w:rsidRDefault="008B41C3" w:rsidP="00645687">
      <w:pPr>
        <w:pStyle w:val="Heading3"/>
      </w:pPr>
      <w:bookmarkStart w:id="1383" w:name="_Toc279436694"/>
      <w:bookmarkStart w:id="1384" w:name="_Toc279436885"/>
      <w:bookmarkStart w:id="1385" w:name="_Toc279658386"/>
      <w:bookmarkStart w:id="1386" w:name="_Toc279658478"/>
      <w:bookmarkStart w:id="1387" w:name="_Toc306570702"/>
      <w:bookmarkStart w:id="1388" w:name="_Toc279658479"/>
      <w:bookmarkStart w:id="1389" w:name="_Toc306570703"/>
      <w:bookmarkStart w:id="1390" w:name="_Toc307067764"/>
      <w:bookmarkEnd w:id="1383"/>
      <w:bookmarkEnd w:id="1384"/>
      <w:bookmarkEnd w:id="1385"/>
      <w:bookmarkEnd w:id="1386"/>
      <w:bookmarkEnd w:id="1387"/>
      <w:r>
        <w:tab/>
      </w:r>
      <w:bookmarkStart w:id="1391" w:name="_Toc312169335"/>
      <w:bookmarkStart w:id="1392" w:name="_Toc312172262"/>
      <w:bookmarkStart w:id="1393" w:name="_Toc312257811"/>
      <w:r w:rsidR="006B72EF" w:rsidRPr="006B72EF">
        <w:t>Background</w:t>
      </w:r>
      <w:bookmarkEnd w:id="1388"/>
      <w:bookmarkEnd w:id="1389"/>
      <w:bookmarkEnd w:id="1390"/>
      <w:bookmarkEnd w:id="1391"/>
      <w:bookmarkEnd w:id="1392"/>
      <w:bookmarkEnd w:id="1393"/>
      <w:r w:rsidR="006B72EF" w:rsidRPr="006B72EF">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One issue that </w:t>
      </w:r>
      <w:r w:rsidR="008B41C3">
        <w:rPr>
          <w:rFonts w:eastAsia="Times New Roman"/>
          <w:color w:val="0D0D0D"/>
          <w:lang w:eastAsia="en-US"/>
        </w:rPr>
        <w:t xml:space="preserve">is </w:t>
      </w:r>
      <w:r w:rsidRPr="006B72EF">
        <w:rPr>
          <w:rFonts w:eastAsia="Times New Roman"/>
          <w:color w:val="0D0D0D"/>
          <w:lang w:eastAsia="en-US"/>
        </w:rPr>
        <w:t>of persistent concern in the proteomic analysis of serum samples is the various different technique</w:t>
      </w:r>
      <w:r w:rsidR="00387694">
        <w:rPr>
          <w:rFonts w:eastAsia="Times New Roman"/>
          <w:color w:val="0D0D0D"/>
          <w:lang w:eastAsia="en-US"/>
        </w:rPr>
        <w:t>s</w:t>
      </w:r>
      <w:r w:rsidRPr="006B72EF">
        <w:rPr>
          <w:rFonts w:eastAsia="Times New Roman"/>
          <w:color w:val="0D0D0D"/>
          <w:lang w:eastAsia="en-US"/>
        </w:rPr>
        <w:t xml:space="preserve"> used for collection, preparation, and storage of samples. It is documented that sample collection, handling, and storage have s</w:t>
      </w:r>
      <w:r w:rsidR="00D64132">
        <w:rPr>
          <w:rFonts w:eastAsia="Times New Roman"/>
          <w:color w:val="0D0D0D"/>
          <w:lang w:eastAsia="en-US"/>
        </w:rPr>
        <w:t xml:space="preserve">ome influence on the results </w:t>
      </w:r>
      <w:r w:rsidRPr="006B72EF">
        <w:rPr>
          <w:rFonts w:eastAsia="Times New Roman"/>
          <w:color w:val="0D0D0D"/>
          <w:lang w:eastAsia="en-US"/>
        </w:rPr>
        <w:t>obtained.</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investigational studies, the use of frozen samples for retrospective analysis is common. Experimental design and requirements for collection of samples at multiple different time points often leads, for ease of analysis, to storage of clinical samples that will be analysed together at a later date. Samples are thus exposed to divergent storage time periods prior to analysis. </w:t>
      </w:r>
    </w:p>
    <w:p w:rsidR="006B72EF" w:rsidRPr="006B72EF" w:rsidRDefault="006B72EF" w:rsidP="00645687">
      <w:pPr>
        <w:pStyle w:val="Heading3"/>
      </w:pPr>
      <w:r w:rsidRPr="006B72EF">
        <w:tab/>
      </w:r>
      <w:bookmarkStart w:id="1394" w:name="_Toc279658480"/>
      <w:bookmarkStart w:id="1395" w:name="_Toc306570704"/>
      <w:bookmarkStart w:id="1396" w:name="_Toc307067765"/>
      <w:bookmarkStart w:id="1397" w:name="_Toc312169336"/>
      <w:bookmarkStart w:id="1398" w:name="_Toc312172263"/>
      <w:bookmarkStart w:id="1399" w:name="_Toc312257812"/>
      <w:r w:rsidRPr="006B72EF">
        <w:t>Strict protocols for serum sample collection and storage</w:t>
      </w:r>
      <w:bookmarkEnd w:id="1394"/>
      <w:bookmarkEnd w:id="1395"/>
      <w:bookmarkEnd w:id="1396"/>
      <w:bookmarkEnd w:id="1397"/>
      <w:bookmarkEnd w:id="1398"/>
      <w:bookmarkEnd w:id="1399"/>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this study, we used stringent protocols for sample collection, storage and proteomic technologies as discussed in the Materials and methods section. Briefly, in our study the MM patients’ serum sample were frozen at -80°C within 3 hours of collection and banked for analysis at a later date. </w:t>
      </w:r>
    </w:p>
    <w:p w:rsidR="006B72EF" w:rsidRPr="006B72EF" w:rsidRDefault="00963ADC" w:rsidP="00645687">
      <w:pPr>
        <w:pStyle w:val="Heading3"/>
      </w:pPr>
      <w:bookmarkStart w:id="1400" w:name="_Toc279658481"/>
      <w:r>
        <w:tab/>
      </w:r>
      <w:bookmarkStart w:id="1401" w:name="_Toc306570705"/>
      <w:bookmarkStart w:id="1402" w:name="_Toc307067766"/>
      <w:bookmarkStart w:id="1403" w:name="_Toc312169337"/>
      <w:bookmarkStart w:id="1404" w:name="_Toc312172264"/>
      <w:bookmarkStart w:id="1405" w:name="_Toc312257813"/>
      <w:r w:rsidR="006B72EF" w:rsidRPr="006B72EF">
        <w:t>Disadvantages</w:t>
      </w:r>
      <w:bookmarkEnd w:id="1400"/>
      <w:bookmarkEnd w:id="1401"/>
      <w:bookmarkEnd w:id="1402"/>
      <w:bookmarkEnd w:id="1403"/>
      <w:bookmarkEnd w:id="1404"/>
      <w:bookmarkEnd w:id="1405"/>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We were aware that in a routine hospital environment, there might be a delay in the initial processing of serum samples, particularly when collected outside of standard working hours, which may result in prolonged storage at room / various temperatures prior to analysis. Furthermore, some investigators may not have access to −80 °C storage and use only −20 °C freezers.</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On the other hand, in the biomarker discovery phase, the accurate analysis of biomarkers requires the highest quality starting material and it is critical to collect and store samples using procedures that minimize protein alterations.</w:t>
      </w:r>
    </w:p>
    <w:p w:rsidR="00F75C1A" w:rsidRPr="006B72EF" w:rsidRDefault="00F75C1A" w:rsidP="00057B42">
      <w:pPr>
        <w:spacing w:after="240" w:line="360" w:lineRule="auto"/>
        <w:jc w:val="both"/>
        <w:rPr>
          <w:rFonts w:eastAsia="Times New Roman"/>
          <w:color w:val="0D0D0D"/>
          <w:lang w:eastAsia="en-US"/>
        </w:rPr>
      </w:pPr>
    </w:p>
    <w:p w:rsidR="006B72EF" w:rsidRPr="006B72EF" w:rsidRDefault="006B72EF" w:rsidP="00645687">
      <w:pPr>
        <w:pStyle w:val="Heading3"/>
      </w:pPr>
      <w:r w:rsidRPr="006B72EF">
        <w:lastRenderedPageBreak/>
        <w:tab/>
      </w:r>
      <w:bookmarkStart w:id="1406" w:name="_Toc306570706"/>
      <w:bookmarkStart w:id="1407" w:name="_Toc307067767"/>
      <w:bookmarkStart w:id="1408" w:name="_Toc312169338"/>
      <w:bookmarkStart w:id="1409" w:name="_Toc312172265"/>
      <w:bookmarkStart w:id="1410" w:name="_Toc312257814"/>
      <w:r w:rsidRPr="006B72EF">
        <w:t>Hypothesis</w:t>
      </w:r>
      <w:bookmarkEnd w:id="1406"/>
      <w:bookmarkEnd w:id="1407"/>
      <w:bookmarkEnd w:id="1408"/>
      <w:bookmarkEnd w:id="1409"/>
      <w:bookmarkEnd w:id="1410"/>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this study we generated a hypothesis that a number of pre analytical factors such as sample collection and storage temperature c</w:t>
      </w:r>
      <w:r w:rsidR="006D3EEF">
        <w:rPr>
          <w:rFonts w:eastAsia="Times New Roman"/>
          <w:color w:val="0D0D0D"/>
          <w:lang w:eastAsia="en-US"/>
        </w:rPr>
        <w:t>an impact upon results obtained. W</w:t>
      </w:r>
      <w:r w:rsidRPr="006B72EF">
        <w:rPr>
          <w:rFonts w:eastAsia="Times New Roman"/>
          <w:color w:val="0D0D0D"/>
          <w:lang w:eastAsia="en-US"/>
        </w:rPr>
        <w:t>e examined the impact of serum handling protocols on protein profiles. It is imperative to compare samples collected and processed using less stringent conditions with those collected in accordance with protocols that involve immediate transport of sample on ice, centrifuged and storage at -80ºC within 3 hours of collection.</w:t>
      </w:r>
    </w:p>
    <w:p w:rsidR="006B72EF" w:rsidRPr="006B72EF" w:rsidRDefault="006B72EF" w:rsidP="00645687">
      <w:pPr>
        <w:pStyle w:val="Heading3"/>
      </w:pPr>
      <w:r w:rsidRPr="006B72EF">
        <w:tab/>
      </w:r>
      <w:bookmarkStart w:id="1411" w:name="_Toc306570707"/>
      <w:bookmarkStart w:id="1412" w:name="_Toc307067768"/>
      <w:bookmarkStart w:id="1413" w:name="_Toc312169339"/>
      <w:bookmarkStart w:id="1414" w:name="_Toc312172266"/>
      <w:bookmarkStart w:id="1415" w:name="_Toc312257815"/>
      <w:r w:rsidRPr="006B72EF">
        <w:t>Study design</w:t>
      </w:r>
      <w:bookmarkEnd w:id="1411"/>
      <w:bookmarkEnd w:id="1412"/>
      <w:bookmarkEnd w:id="1413"/>
      <w:bookmarkEnd w:id="1414"/>
      <w:bookmarkEnd w:id="1415"/>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This study was designed to study the stability of serum samples and the influence of storage time </w:t>
      </w:r>
      <w:r w:rsidR="0010315E">
        <w:rPr>
          <w:rFonts w:eastAsia="Times New Roman"/>
          <w:color w:val="0D0D0D"/>
          <w:lang w:eastAsia="en-US"/>
        </w:rPr>
        <w:t>and</w:t>
      </w:r>
      <w:r w:rsidRPr="006B72EF">
        <w:rPr>
          <w:rFonts w:eastAsia="Times New Roman"/>
          <w:color w:val="0D0D0D"/>
          <w:lang w:eastAsia="en-US"/>
        </w:rPr>
        <w:t xml:space="preserve"> temperature on the protein profile of discovered biomarkers protein (VDB, Hp, SAA) using commercially available ELISA kit.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Sample preparation details are provided in ‘Chapt</w:t>
      </w:r>
      <w:r w:rsidR="008B41C3">
        <w:rPr>
          <w:rFonts w:eastAsia="Times New Roman"/>
          <w:color w:val="0D0D0D"/>
          <w:lang w:eastAsia="en-US"/>
        </w:rPr>
        <w:t xml:space="preserve">er 2, Materials </w:t>
      </w:r>
      <w:r w:rsidR="0010315E">
        <w:rPr>
          <w:rFonts w:eastAsia="Times New Roman"/>
          <w:color w:val="0D0D0D"/>
          <w:lang w:eastAsia="en-US"/>
        </w:rPr>
        <w:t>and</w:t>
      </w:r>
      <w:r w:rsidR="008B41C3">
        <w:rPr>
          <w:rFonts w:eastAsia="Times New Roman"/>
          <w:color w:val="0D0D0D"/>
          <w:lang w:eastAsia="en-US"/>
        </w:rPr>
        <w:t xml:space="preserve"> Methods</w:t>
      </w:r>
      <w:r w:rsidRPr="006B72EF">
        <w:rPr>
          <w:rFonts w:eastAsia="Times New Roman"/>
          <w:color w:val="0D0D0D"/>
          <w:lang w:eastAsia="en-US"/>
        </w:rPr>
        <w:t>’.  Briefly, this study was approved by the local ethics committee and written informed consent was obtained from all patients.</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Blood samples from 10 Multiple Myeloma patients were collected, allowed to clot and centrifuged at room</w:t>
      </w:r>
      <w:r w:rsidR="00071E09">
        <w:rPr>
          <w:rFonts w:eastAsia="Times New Roman"/>
          <w:color w:val="0D0D0D"/>
          <w:lang w:eastAsia="en-US"/>
        </w:rPr>
        <w:t xml:space="preserve"> temperature. Each serum sample was</w:t>
      </w:r>
      <w:r w:rsidRPr="006B72EF">
        <w:rPr>
          <w:rFonts w:eastAsia="Times New Roman"/>
          <w:color w:val="0D0D0D"/>
          <w:lang w:eastAsia="en-US"/>
        </w:rPr>
        <w:t xml:space="preserve"> divided into 10 aliquots. Each aliquot was processed under different storage conditions. Aliquot 1 from each sample was transferred to -80°C freezer within 3 hours of collection, Aliquot 2, was transferred to -20°C within 3 hours of collection. Aliquot 3 were kept at room temperature for 24 hour and then transferred to -80°C freezer, Aliquot 4 was kept at room temperature for 24 hour and then transferred to -20°C freezer, Aliquot 5 was kept at room temperature for 96 hour and then transferred to -80°C freezer, Aliquot 6 was kept at room temperature for 96 hour</w:t>
      </w:r>
      <w:r w:rsidR="00390EDD">
        <w:rPr>
          <w:rFonts w:eastAsia="Times New Roman"/>
          <w:color w:val="0D0D0D"/>
          <w:lang w:eastAsia="en-US"/>
        </w:rPr>
        <w:t>s</w:t>
      </w:r>
      <w:r w:rsidRPr="006B72EF">
        <w:rPr>
          <w:rFonts w:eastAsia="Times New Roman"/>
          <w:color w:val="0D0D0D"/>
          <w:lang w:eastAsia="en-US"/>
        </w:rPr>
        <w:t xml:space="preserve"> and then transferred to -20°C freezer, Aliquot 7 was kept at  4°C for 24 hour</w:t>
      </w:r>
      <w:r w:rsidR="00390EDD">
        <w:rPr>
          <w:rFonts w:eastAsia="Times New Roman"/>
          <w:color w:val="0D0D0D"/>
          <w:lang w:eastAsia="en-US"/>
        </w:rPr>
        <w:t>s</w:t>
      </w:r>
      <w:r w:rsidRPr="006B72EF">
        <w:rPr>
          <w:rFonts w:eastAsia="Times New Roman"/>
          <w:color w:val="0D0D0D"/>
          <w:lang w:eastAsia="en-US"/>
        </w:rPr>
        <w:t xml:space="preserve"> and then transferred to -80°C freezer, Aliquot 8 was kept at  4°C for 24 hours and then transferred to -20°C freezer, Aliquot 9 was kept at  4°C for 96 hours and then transferred to -80°C freezer, Aliquot 10 was kept at  4°C for 96 hours and then transferred to -20°C freezer (Table </w:t>
      </w:r>
      <w:r w:rsidR="00071E09">
        <w:rPr>
          <w:rFonts w:eastAsia="Times New Roman"/>
          <w:color w:val="0D0D0D"/>
          <w:lang w:eastAsia="en-US"/>
        </w:rPr>
        <w:t>3-</w:t>
      </w:r>
      <w:r w:rsidR="00387694">
        <w:rPr>
          <w:rFonts w:eastAsia="Times New Roman"/>
          <w:color w:val="0D0D0D"/>
          <w:lang w:eastAsia="en-US"/>
        </w:rPr>
        <w:t>16</w:t>
      </w:r>
      <w:r w:rsidRPr="006B72EF">
        <w:rPr>
          <w:rFonts w:eastAsia="Times New Roman"/>
          <w:color w:val="0D0D0D"/>
          <w:lang w:eastAsia="en-US"/>
        </w:rPr>
        <w:t xml:space="preserve">). All samples were kept in the respective freezers, until further analysis using commercially available ELISA kits. </w:t>
      </w:r>
    </w:p>
    <w:p w:rsidR="006B72EF" w:rsidRPr="006B72EF" w:rsidRDefault="006B72EF" w:rsidP="00645687">
      <w:pPr>
        <w:pStyle w:val="Heading3"/>
      </w:pPr>
      <w:r w:rsidRPr="006B72EF">
        <w:lastRenderedPageBreak/>
        <w:tab/>
      </w:r>
      <w:bookmarkStart w:id="1416" w:name="_Toc279658482"/>
      <w:bookmarkStart w:id="1417" w:name="_Toc306570708"/>
      <w:bookmarkStart w:id="1418" w:name="_Toc307067769"/>
      <w:bookmarkStart w:id="1419" w:name="_Toc312169340"/>
      <w:bookmarkStart w:id="1420" w:name="_Toc312172267"/>
      <w:bookmarkStart w:id="1421" w:name="_Toc312257816"/>
      <w:r w:rsidRPr="006B72EF">
        <w:t>Results</w:t>
      </w:r>
      <w:bookmarkEnd w:id="1416"/>
      <w:bookmarkEnd w:id="1417"/>
      <w:bookmarkEnd w:id="1418"/>
      <w:bookmarkEnd w:id="1419"/>
      <w:bookmarkEnd w:id="1420"/>
      <w:bookmarkEnd w:id="1421"/>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ELISA based assays were used to confirm the serum level of the</w:t>
      </w:r>
      <w:r w:rsidR="00CA3968">
        <w:rPr>
          <w:rFonts w:eastAsia="Times New Roman"/>
          <w:color w:val="0D0D0D"/>
          <w:lang w:eastAsia="en-US"/>
        </w:rPr>
        <w:t xml:space="preserve"> potential biomarkers (Hp, SAA, </w:t>
      </w:r>
      <w:r w:rsidRPr="006B72EF">
        <w:rPr>
          <w:rFonts w:eastAsia="Times New Roman"/>
          <w:color w:val="0D0D0D"/>
          <w:lang w:eastAsia="en-US"/>
        </w:rPr>
        <w:t>VDB) and were carried out using raw unfract</w:t>
      </w:r>
      <w:r w:rsidR="00963ADC">
        <w:rPr>
          <w:rFonts w:eastAsia="Times New Roman"/>
          <w:color w:val="0D0D0D"/>
          <w:lang w:eastAsia="en-US"/>
        </w:rPr>
        <w:t>ionated s</w:t>
      </w:r>
      <w:r w:rsidR="00071E09">
        <w:rPr>
          <w:rFonts w:eastAsia="Times New Roman"/>
          <w:color w:val="0D0D0D"/>
          <w:lang w:eastAsia="en-US"/>
        </w:rPr>
        <w:t>erum samples (Tables 3-19 and 3-</w:t>
      </w:r>
      <w:r w:rsidR="00963ADC">
        <w:rPr>
          <w:rFonts w:eastAsia="Times New Roman"/>
          <w:color w:val="0D0D0D"/>
          <w:lang w:eastAsia="en-US"/>
        </w:rPr>
        <w:t>20</w:t>
      </w:r>
      <w:r w:rsidRPr="006B72EF">
        <w:rPr>
          <w:rFonts w:eastAsia="Times New Roman"/>
          <w:color w:val="0D0D0D"/>
          <w:lang w:eastAsia="en-US"/>
        </w:rPr>
        <w:t xml:space="preserve">). Using the ELISA value (Figures </w:t>
      </w:r>
      <w:r w:rsidR="00963ADC">
        <w:rPr>
          <w:rFonts w:eastAsia="Times New Roman"/>
          <w:color w:val="0D0D0D"/>
          <w:lang w:eastAsia="en-US"/>
        </w:rPr>
        <w:t>3-38 to 3-</w:t>
      </w:r>
      <w:r w:rsidRPr="006B72EF">
        <w:rPr>
          <w:rFonts w:eastAsia="Times New Roman"/>
          <w:color w:val="0D0D0D"/>
          <w:lang w:eastAsia="en-US"/>
        </w:rPr>
        <w:t>40), the bar charts were constructed for each of protein biomarkers for each of the ten condition</w:t>
      </w:r>
      <w:r w:rsidR="005A465F">
        <w:rPr>
          <w:rFonts w:eastAsia="Times New Roman"/>
          <w:color w:val="0D0D0D"/>
          <w:lang w:eastAsia="en-US"/>
        </w:rPr>
        <w:t>s</w:t>
      </w:r>
      <w:r w:rsidRPr="006B72EF">
        <w:rPr>
          <w:rFonts w:eastAsia="Times New Roman"/>
          <w:color w:val="0D0D0D"/>
          <w:lang w:eastAsia="en-US"/>
        </w:rPr>
        <w:t xml:space="preserve"> previously outlined. The shaded colour bar indicates the particular storage condition as explained in the table </w:t>
      </w:r>
      <w:r w:rsidR="00071E09">
        <w:rPr>
          <w:rFonts w:eastAsia="Times New Roman"/>
          <w:color w:val="0D0D0D"/>
          <w:lang w:eastAsia="en-US"/>
        </w:rPr>
        <w:t>3-</w:t>
      </w:r>
      <w:r w:rsidR="00387694">
        <w:rPr>
          <w:rFonts w:eastAsia="Times New Roman"/>
          <w:color w:val="0D0D0D"/>
          <w:lang w:eastAsia="en-US"/>
        </w:rPr>
        <w:t>16</w:t>
      </w:r>
      <w:r w:rsidRPr="006B72EF">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br w:type="page"/>
      </w:r>
    </w:p>
    <w:p w:rsidR="00C32934" w:rsidRDefault="00C32934" w:rsidP="00057B42">
      <w:pPr>
        <w:spacing w:after="240" w:line="360" w:lineRule="auto"/>
        <w:jc w:val="both"/>
        <w:rPr>
          <w:rFonts w:eastAsia="Times New Roman"/>
          <w:color w:val="0D0D0D"/>
          <w:lang w:eastAsia="en-US"/>
        </w:rPr>
      </w:pPr>
    </w:p>
    <w:p w:rsidR="00C32934" w:rsidRDefault="00C32934" w:rsidP="00057B42">
      <w:pPr>
        <w:spacing w:after="240" w:line="360" w:lineRule="auto"/>
        <w:jc w:val="both"/>
        <w:rPr>
          <w:rFonts w:eastAsia="Times New Roman"/>
          <w:color w:val="0D0D0D"/>
          <w:lang w:eastAsia="en-US"/>
        </w:rPr>
      </w:pPr>
    </w:p>
    <w:p w:rsidR="006B72EF" w:rsidRPr="006B72EF" w:rsidRDefault="00ED7D82" w:rsidP="00057B42">
      <w:pPr>
        <w:spacing w:after="240" w:line="360" w:lineRule="auto"/>
        <w:jc w:val="both"/>
        <w:rPr>
          <w:rFonts w:eastAsia="Times New Roman"/>
          <w:color w:val="0D0D0D"/>
          <w:lang w:eastAsia="en-US"/>
        </w:rPr>
      </w:pPr>
      <w:r>
        <w:rPr>
          <w:noProof/>
          <w:lang w:eastAsia="en-IE"/>
        </w:rPr>
        <mc:AlternateContent>
          <mc:Choice Requires="wps">
            <w:drawing>
              <wp:anchor distT="0" distB="0" distL="114300" distR="114300" simplePos="0" relativeHeight="251656704" behindDoc="0" locked="0" layoutInCell="1" allowOverlap="1" wp14:anchorId="2680FF8D" wp14:editId="3DD89299">
                <wp:simplePos x="0" y="0"/>
                <wp:positionH relativeFrom="column">
                  <wp:posOffset>3027680</wp:posOffset>
                </wp:positionH>
                <wp:positionV relativeFrom="paragraph">
                  <wp:posOffset>474345</wp:posOffset>
                </wp:positionV>
                <wp:extent cx="1725295" cy="5223510"/>
                <wp:effectExtent l="0" t="0" r="8255"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5223510"/>
                        </a:xfrm>
                        <a:prstGeom prst="rect">
                          <a:avLst/>
                        </a:prstGeom>
                        <a:solidFill>
                          <a:srgbClr val="FFFFFF"/>
                        </a:solidFill>
                        <a:ln w="9525">
                          <a:noFill/>
                          <a:miter lim="800000"/>
                          <a:headEnd/>
                          <a:tailEnd/>
                        </a:ln>
                      </wps:spPr>
                      <wps:txbx>
                        <w:txbxContent>
                          <w:p w:rsidR="004B395A" w:rsidRPr="00CA3968" w:rsidRDefault="004B395A" w:rsidP="005A465F">
                            <w:pPr>
                              <w:pBdr>
                                <w:bottom w:val="single" w:sz="12" w:space="1" w:color="auto"/>
                              </w:pBdr>
                              <w:spacing w:line="360" w:lineRule="auto"/>
                              <w:jc w:val="both"/>
                              <w:rPr>
                                <w:b/>
                              </w:rPr>
                            </w:pPr>
                            <w:r w:rsidRPr="00CA3968">
                              <w:rPr>
                                <w:b/>
                              </w:rPr>
                              <w:t xml:space="preserve">Table </w:t>
                            </w:r>
                            <w:r>
                              <w:rPr>
                                <w:b/>
                              </w:rPr>
                              <w:fldChar w:fldCharType="begin"/>
                            </w:r>
                            <w:r>
                              <w:rPr>
                                <w:b/>
                              </w:rPr>
                              <w:instrText xml:space="preserve"> STYLEREF 1 \s </w:instrText>
                            </w:r>
                            <w:r>
                              <w:rPr>
                                <w:b/>
                              </w:rPr>
                              <w:fldChar w:fldCharType="separate"/>
                            </w:r>
                            <w:r w:rsidR="0081644B">
                              <w:rPr>
                                <w:b/>
                                <w:noProof/>
                              </w:rPr>
                              <w:t>3</w:t>
                            </w:r>
                            <w:r>
                              <w:rPr>
                                <w:b/>
                              </w:rPr>
                              <w:fldChar w:fldCharType="end"/>
                            </w:r>
                            <w:r>
                              <w:rPr>
                                <w:b/>
                              </w:rPr>
                              <w:noBreakHyphen/>
                            </w:r>
                            <w:r>
                              <w:rPr>
                                <w:b/>
                              </w:rPr>
                              <w:fldChar w:fldCharType="begin"/>
                            </w:r>
                            <w:r>
                              <w:rPr>
                                <w:b/>
                              </w:rPr>
                              <w:instrText xml:space="preserve"> SEQ Table \* ARABIC \s 1 </w:instrText>
                            </w:r>
                            <w:r>
                              <w:rPr>
                                <w:b/>
                              </w:rPr>
                              <w:fldChar w:fldCharType="separate"/>
                            </w:r>
                            <w:r w:rsidR="0081644B">
                              <w:rPr>
                                <w:b/>
                                <w:noProof/>
                              </w:rPr>
                              <w:t>16</w:t>
                            </w:r>
                            <w:r>
                              <w:rPr>
                                <w:b/>
                              </w:rPr>
                              <w:fldChar w:fldCharType="end"/>
                            </w:r>
                            <w:r w:rsidRPr="00CA3968">
                              <w:rPr>
                                <w:b/>
                              </w:rPr>
                              <w:t xml:space="preserve"> shows an aliquots from each sample was stored at the 10 different various storage conditions. The shaded colour bar and the corresponding number indicate the particular storage condition as explained in column two. All aliquots were transferred to either -20°C or -80°C - until the final analyses using ELISA based assays. RT: room temperature.</w:t>
                            </w:r>
                          </w:p>
                          <w:p w:rsidR="004B395A" w:rsidRPr="00C9477E" w:rsidRDefault="004B395A" w:rsidP="005A465F">
                            <w:pPr>
                              <w:spacing w:line="360" w:lineRule="auto"/>
                              <w:jc w:val="both"/>
                            </w:pPr>
                          </w:p>
                          <w:p w:rsidR="004B395A" w:rsidRPr="006375B6" w:rsidRDefault="004B395A" w:rsidP="006B72EF">
                            <w:pPr>
                              <w:pStyle w:val="Caption"/>
                            </w:pPr>
                          </w:p>
                          <w:p w:rsidR="004B395A" w:rsidRDefault="004B395A" w:rsidP="006B72EF">
                            <w:pPr>
                              <w:spacing w:line="360" w:lineRule="auto"/>
                            </w:pPr>
                          </w:p>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238.4pt;margin-top:37.35pt;width:135.85pt;height:411.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" stroked="f">
                <v:textbox style="layout-flow:vertical;mso-layout-flow-alt:bottom-to-top">
                  <w:txbxContent>
                    <w:p w:rsidR="004B395A" w:rsidRPr="00CA3968" w:rsidRDefault="004B395A" w:rsidP="005A465F">
                      <w:pPr>
                        <w:pBdr>
                          <w:bottom w:val="single" w:sz="12" w:space="1" w:color="auto"/>
                        </w:pBdr>
                        <w:spacing w:line="360" w:lineRule="auto"/>
                        <w:jc w:val="both"/>
                        <w:rPr>
                          <w:b/>
                        </w:rPr>
                      </w:pPr>
                      <w:r w:rsidRPr="00CA3968">
                        <w:rPr>
                          <w:b/>
                        </w:rPr>
                        <w:t xml:space="preserve">Table </w:t>
                      </w:r>
                      <w:r>
                        <w:rPr>
                          <w:b/>
                        </w:rPr>
                        <w:fldChar w:fldCharType="begin"/>
                      </w:r>
                      <w:r>
                        <w:rPr>
                          <w:b/>
                        </w:rPr>
                        <w:instrText xml:space="preserve"> STYLEREF 1 \s </w:instrText>
                      </w:r>
                      <w:r>
                        <w:rPr>
                          <w:b/>
                        </w:rPr>
                        <w:fldChar w:fldCharType="separate"/>
                      </w:r>
                      <w:r w:rsidR="0081644B">
                        <w:rPr>
                          <w:b/>
                          <w:noProof/>
                        </w:rPr>
                        <w:t>3</w:t>
                      </w:r>
                      <w:r>
                        <w:rPr>
                          <w:b/>
                        </w:rPr>
                        <w:fldChar w:fldCharType="end"/>
                      </w:r>
                      <w:r>
                        <w:rPr>
                          <w:b/>
                        </w:rPr>
                        <w:noBreakHyphen/>
                      </w:r>
                      <w:r>
                        <w:rPr>
                          <w:b/>
                        </w:rPr>
                        <w:fldChar w:fldCharType="begin"/>
                      </w:r>
                      <w:r>
                        <w:rPr>
                          <w:b/>
                        </w:rPr>
                        <w:instrText xml:space="preserve"> SEQ Table \* ARABIC \s 1 </w:instrText>
                      </w:r>
                      <w:r>
                        <w:rPr>
                          <w:b/>
                        </w:rPr>
                        <w:fldChar w:fldCharType="separate"/>
                      </w:r>
                      <w:r w:rsidR="0081644B">
                        <w:rPr>
                          <w:b/>
                          <w:noProof/>
                        </w:rPr>
                        <w:t>16</w:t>
                      </w:r>
                      <w:r>
                        <w:rPr>
                          <w:b/>
                        </w:rPr>
                        <w:fldChar w:fldCharType="end"/>
                      </w:r>
                      <w:r w:rsidRPr="00CA3968">
                        <w:rPr>
                          <w:b/>
                        </w:rPr>
                        <w:t xml:space="preserve"> shows an aliquots from each sample was stored at the 10 different various storage conditions. The shaded colour bar and the corresponding number indicate the particular storage condition as explained in column two. All aliquots were transferred to either -20°C or -80°C - until the final analyses using ELISA based assays. RT: room temperature.</w:t>
                      </w:r>
                    </w:p>
                    <w:p w:rsidR="004B395A" w:rsidRPr="00C9477E" w:rsidRDefault="004B395A" w:rsidP="005A465F">
                      <w:pPr>
                        <w:spacing w:line="360" w:lineRule="auto"/>
                        <w:jc w:val="both"/>
                      </w:pPr>
                    </w:p>
                    <w:p w:rsidR="004B395A" w:rsidRPr="006375B6" w:rsidRDefault="004B395A" w:rsidP="006B72EF">
                      <w:pPr>
                        <w:pStyle w:val="Caption"/>
                      </w:pPr>
                    </w:p>
                    <w:p w:rsidR="004B395A" w:rsidRDefault="004B395A" w:rsidP="006B72EF">
                      <w:pPr>
                        <w:spacing w:line="360" w:lineRule="auto"/>
                      </w:pPr>
                    </w:p>
                  </w:txbxContent>
                </v:textbox>
              </v:shape>
            </w:pict>
          </mc:Fallback>
        </mc:AlternateContent>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drawing>
          <wp:inline distT="0" distB="0" distL="0" distR="0" wp14:anchorId="387CD146" wp14:editId="27752E2B">
            <wp:extent cx="5245100" cy="2803525"/>
            <wp:effectExtent l="1587" t="0" r="0" b="0"/>
            <wp:docPr id="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5400000">
                      <a:off x="0" y="0"/>
                      <a:ext cx="5245100" cy="2803525"/>
                    </a:xfrm>
                    <a:prstGeom prst="rect">
                      <a:avLst/>
                    </a:prstGeom>
                    <a:noFill/>
                    <a:ln>
                      <a:noFill/>
                    </a:ln>
                  </pic:spPr>
                </pic:pic>
              </a:graphicData>
            </a:graphic>
          </wp:inline>
        </w:drawing>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br w:type="page"/>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5578E2E3" wp14:editId="19A5124F">
            <wp:extent cx="7030720" cy="3079750"/>
            <wp:effectExtent l="0" t="5715" r="0" b="0"/>
            <wp:docPr id="74"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5400000">
                      <a:off x="0" y="0"/>
                      <a:ext cx="7030720" cy="3079750"/>
                    </a:xfrm>
                    <a:prstGeom prst="rect">
                      <a:avLst/>
                    </a:prstGeom>
                    <a:noFill/>
                    <a:ln>
                      <a:noFill/>
                    </a:ln>
                  </pic:spPr>
                </pic:pic>
              </a:graphicData>
            </a:graphic>
          </wp:inline>
        </w:drawing>
      </w:r>
      <w:r>
        <w:rPr>
          <w:noProof/>
          <w:lang w:eastAsia="en-IE"/>
        </w:rPr>
        <w:lastRenderedPageBreak/>
        <mc:AlternateContent>
          <mc:Choice Requires="wps">
            <w:drawing>
              <wp:inline distT="0" distB="0" distL="0" distR="0" wp14:anchorId="6CBC0D21" wp14:editId="0550A02E">
                <wp:extent cx="2137410" cy="7020560"/>
                <wp:effectExtent l="0" t="0" r="0" b="8890"/>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7020560"/>
                        </a:xfrm>
                        <a:prstGeom prst="rect">
                          <a:avLst/>
                        </a:prstGeom>
                        <a:solidFill>
                          <a:srgbClr val="FFFFFF"/>
                        </a:solidFill>
                        <a:ln w="9525">
                          <a:noFill/>
                          <a:miter lim="800000"/>
                          <a:headEnd/>
                          <a:tailEnd/>
                        </a:ln>
                      </wps:spPr>
                      <wps:txbx>
                        <w:txbxContent>
                          <w:p w:rsidR="004B395A" w:rsidRDefault="004B395A" w:rsidP="005A465F">
                            <w:pPr>
                              <w:pStyle w:val="Caption"/>
                              <w:jc w:val="both"/>
                            </w:pPr>
                            <w:r>
                              <w:t xml:space="preserve">Table </w:t>
                            </w:r>
                            <w:fldSimple w:instr=" STYLEREF 1 \s ">
                              <w:r w:rsidR="0081644B">
                                <w:rPr>
                                  <w:noProof/>
                                </w:rPr>
                                <w:t>3</w:t>
                              </w:r>
                            </w:fldSimple>
                            <w:r>
                              <w:noBreakHyphen/>
                            </w:r>
                            <w:fldSimple w:instr=" SEQ Table \* ARABIC \s 1 ">
                              <w:r w:rsidR="0081644B">
                                <w:rPr>
                                  <w:noProof/>
                                </w:rPr>
                                <w:t>17</w:t>
                              </w:r>
                            </w:fldSimple>
                            <w:r w:rsidRPr="00B11032">
                              <w:t xml:space="preserve"> shows </w:t>
                            </w:r>
                            <w:r>
                              <w:t xml:space="preserve">the concentration </w:t>
                            </w:r>
                            <w:r w:rsidRPr="00B11032">
                              <w:t>of Hp obtained using an ELISA based assay</w:t>
                            </w:r>
                            <w:r>
                              <w:t>,</w:t>
                            </w:r>
                            <w:r w:rsidRPr="00B11032">
                              <w:t xml:space="preserve"> of 100 aliquots from 10 multiple myeloma serum samples. </w:t>
                            </w:r>
                            <w:r>
                              <w:t>Prior to analyses e</w:t>
                            </w:r>
                            <w:r w:rsidRPr="00B11032">
                              <w:t>ach aliquot was processed under various</w:t>
                            </w:r>
                            <w:r>
                              <w:t xml:space="preserve"> storage conditions as described. </w:t>
                            </w:r>
                            <w:r w:rsidRPr="00B11032">
                              <w:t>All aliquots were kept in the respective freezers, until the final analysis. The standard deviations between the 10 aliquots of each sample are also shown.  STDV: standard deviations</w:t>
                            </w:r>
                            <w:r>
                              <w:t>.</w:t>
                            </w:r>
                          </w:p>
                          <w:p w:rsidR="004B395A" w:rsidRPr="00963ADC" w:rsidRDefault="004B395A" w:rsidP="005A465F">
                            <w:pPr>
                              <w:spacing w:line="360" w:lineRule="auto"/>
                            </w:pPr>
                          </w:p>
                          <w:p w:rsidR="004B395A" w:rsidRDefault="004B395A" w:rsidP="00963ADC">
                            <w:pPr>
                              <w:pBdr>
                                <w:bottom w:val="single" w:sz="12" w:space="1" w:color="auto"/>
                              </w:pBdr>
                            </w:pPr>
                          </w:p>
                          <w:p w:rsidR="004B395A" w:rsidRPr="00963ADC" w:rsidRDefault="004B395A" w:rsidP="00963ADC"/>
                        </w:txbxContent>
                      </wps:txbx>
                      <wps:bodyPr rot="0" vert="vert270" wrap="square" lIns="91440" tIns="45720" rIns="91440" bIns="45720" anchor="t" anchorCtr="0">
                        <a:noAutofit/>
                      </wps:bodyPr>
                    </wps:wsp>
                  </a:graphicData>
                </a:graphic>
              </wp:inline>
            </w:drawing>
          </mc:Choice>
          <mc:Fallback>
            <w:pict>
              <v:shape id="_x0000_s1050" type="#_x0000_t202" style="width:168.3pt;height:55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" stroked="f">
                <v:textbox style="layout-flow:vertical;mso-layout-flow-alt:bottom-to-top">
                  <w:txbxContent>
                    <w:p w:rsidR="004B395A" w:rsidRDefault="004B395A" w:rsidP="005A465F">
                      <w:pPr>
                        <w:pStyle w:val="Caption"/>
                        <w:jc w:val="both"/>
                      </w:pPr>
                      <w:r>
                        <w:t xml:space="preserve">Table </w:t>
                      </w:r>
                      <w:fldSimple w:instr=" STYLEREF 1 \s ">
                        <w:r w:rsidR="0081644B">
                          <w:rPr>
                            <w:noProof/>
                          </w:rPr>
                          <w:t>3</w:t>
                        </w:r>
                      </w:fldSimple>
                      <w:r>
                        <w:noBreakHyphen/>
                      </w:r>
                      <w:fldSimple w:instr=" SEQ Table \* ARABIC \s 1 ">
                        <w:r w:rsidR="0081644B">
                          <w:rPr>
                            <w:noProof/>
                          </w:rPr>
                          <w:t>17</w:t>
                        </w:r>
                      </w:fldSimple>
                      <w:r w:rsidRPr="00B11032">
                        <w:t xml:space="preserve"> shows </w:t>
                      </w:r>
                      <w:r>
                        <w:t xml:space="preserve">the concentration </w:t>
                      </w:r>
                      <w:r w:rsidRPr="00B11032">
                        <w:t>of Hp obtained using an ELISA based assay</w:t>
                      </w:r>
                      <w:r>
                        <w:t>,</w:t>
                      </w:r>
                      <w:r w:rsidRPr="00B11032">
                        <w:t xml:space="preserve"> of 100 aliquots from 10 multiple myeloma serum samples. </w:t>
                      </w:r>
                      <w:r>
                        <w:t>Prior to analyses e</w:t>
                      </w:r>
                      <w:r w:rsidRPr="00B11032">
                        <w:t>ach aliquot was processed under various</w:t>
                      </w:r>
                      <w:r>
                        <w:t xml:space="preserve"> storage conditions as described. </w:t>
                      </w:r>
                      <w:r w:rsidRPr="00B11032">
                        <w:t>All aliquots were kept in the respective freezers, until the final analysis. The standard deviations between the 10 aliquots of each sample are also shown.  STDV: standard deviations</w:t>
                      </w:r>
                      <w:r>
                        <w:t>.</w:t>
                      </w:r>
                    </w:p>
                    <w:p w:rsidR="004B395A" w:rsidRPr="00963ADC" w:rsidRDefault="004B395A" w:rsidP="005A465F">
                      <w:pPr>
                        <w:spacing w:line="360" w:lineRule="auto"/>
                      </w:pPr>
                    </w:p>
                    <w:p w:rsidR="004B395A" w:rsidRDefault="004B395A" w:rsidP="00963ADC">
                      <w:pPr>
                        <w:pBdr>
                          <w:bottom w:val="single" w:sz="12" w:space="1" w:color="auto"/>
                        </w:pBdr>
                      </w:pPr>
                    </w:p>
                    <w:p w:rsidR="004B395A" w:rsidRPr="00963ADC" w:rsidRDefault="004B395A" w:rsidP="00963ADC"/>
                  </w:txbxContent>
                </v:textbox>
                <w10:anchorlock/>
              </v:shape>
            </w:pict>
          </mc:Fallback>
        </mc:AlternateContent>
      </w: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011DBB7D" wp14:editId="6CAE556B">
            <wp:extent cx="7712075" cy="4925695"/>
            <wp:effectExtent l="0" t="0" r="5715"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5400000">
                      <a:off x="0" y="0"/>
                      <a:ext cx="7712075" cy="4925695"/>
                    </a:xfrm>
                    <a:prstGeom prst="rect">
                      <a:avLst/>
                    </a:prstGeom>
                    <a:noFill/>
                    <a:ln>
                      <a:noFill/>
                    </a:ln>
                  </pic:spPr>
                </pic:pic>
              </a:graphicData>
            </a:graphic>
          </wp:inline>
        </w:drawing>
      </w:r>
    </w:p>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b/>
          <w:color w:val="0D0D0D"/>
          <w:szCs w:val="16"/>
          <w:lang w:eastAsia="en-US"/>
        </w:rPr>
      </w:pPr>
      <w:r w:rsidRPr="006B72EF">
        <w:rPr>
          <w:rFonts w:eastAsia="Times New Roman"/>
          <w:color w:val="0D0D0D"/>
          <w:lang w:eastAsia="en-US"/>
        </w:rPr>
        <w:br w:type="page"/>
      </w:r>
      <w:r w:rsidRPr="006B72EF">
        <w:rPr>
          <w:rFonts w:eastAsia="Times New Roman"/>
          <w:b/>
          <w:color w:val="0D0D0D"/>
          <w:szCs w:val="16"/>
          <w:lang w:eastAsia="en-US"/>
        </w:rPr>
        <w:lastRenderedPageBreak/>
        <w:t xml:space="preserve">Figure </w:t>
      </w:r>
      <w:r w:rsidR="008A68DC">
        <w:rPr>
          <w:rFonts w:eastAsia="Times New Roman"/>
          <w:b/>
          <w:color w:val="0D0D0D"/>
          <w:szCs w:val="16"/>
          <w:lang w:eastAsia="en-US"/>
        </w:rPr>
        <w:fldChar w:fldCharType="begin"/>
      </w:r>
      <w:r w:rsidR="008A68DC">
        <w:rPr>
          <w:rFonts w:eastAsia="Times New Roman"/>
          <w:b/>
          <w:color w:val="0D0D0D"/>
          <w:szCs w:val="16"/>
          <w:lang w:eastAsia="en-US"/>
        </w:rPr>
        <w:instrText xml:space="preserve"> STYLEREF 1 \s </w:instrText>
      </w:r>
      <w:r w:rsidR="008A68DC">
        <w:rPr>
          <w:rFonts w:eastAsia="Times New Roman"/>
          <w:b/>
          <w:color w:val="0D0D0D"/>
          <w:szCs w:val="16"/>
          <w:lang w:eastAsia="en-US"/>
        </w:rPr>
        <w:fldChar w:fldCharType="separate"/>
      </w:r>
      <w:r w:rsidR="0081644B">
        <w:rPr>
          <w:rFonts w:eastAsia="Times New Roman"/>
          <w:b/>
          <w:noProof/>
          <w:color w:val="0D0D0D"/>
          <w:szCs w:val="16"/>
          <w:lang w:eastAsia="en-US"/>
        </w:rPr>
        <w:t>3</w:t>
      </w:r>
      <w:r w:rsidR="008A68DC">
        <w:rPr>
          <w:rFonts w:eastAsia="Times New Roman"/>
          <w:b/>
          <w:color w:val="0D0D0D"/>
          <w:szCs w:val="16"/>
          <w:lang w:eastAsia="en-US"/>
        </w:rPr>
        <w:fldChar w:fldCharType="end"/>
      </w:r>
      <w:r w:rsidR="008A68DC">
        <w:rPr>
          <w:rFonts w:eastAsia="Times New Roman"/>
          <w:b/>
          <w:color w:val="0D0D0D"/>
          <w:szCs w:val="16"/>
          <w:lang w:eastAsia="en-US"/>
        </w:rPr>
        <w:noBreakHyphen/>
      </w:r>
      <w:r w:rsidR="008A68DC">
        <w:rPr>
          <w:rFonts w:eastAsia="Times New Roman"/>
          <w:b/>
          <w:color w:val="0D0D0D"/>
          <w:szCs w:val="16"/>
          <w:lang w:eastAsia="en-US"/>
        </w:rPr>
        <w:fldChar w:fldCharType="begin"/>
      </w:r>
      <w:r w:rsidR="008A68DC">
        <w:rPr>
          <w:rFonts w:eastAsia="Times New Roman"/>
          <w:b/>
          <w:color w:val="0D0D0D"/>
          <w:szCs w:val="16"/>
          <w:lang w:eastAsia="en-US"/>
        </w:rPr>
        <w:instrText xml:space="preserve"> SEQ Figure \* ARABIC \s 1 </w:instrText>
      </w:r>
      <w:r w:rsidR="008A68DC">
        <w:rPr>
          <w:rFonts w:eastAsia="Times New Roman"/>
          <w:b/>
          <w:color w:val="0D0D0D"/>
          <w:szCs w:val="16"/>
          <w:lang w:eastAsia="en-US"/>
        </w:rPr>
        <w:fldChar w:fldCharType="separate"/>
      </w:r>
      <w:r w:rsidR="0081644B">
        <w:rPr>
          <w:rFonts w:eastAsia="Times New Roman"/>
          <w:b/>
          <w:noProof/>
          <w:color w:val="0D0D0D"/>
          <w:szCs w:val="16"/>
          <w:lang w:eastAsia="en-US"/>
        </w:rPr>
        <w:t>44</w:t>
      </w:r>
      <w:r w:rsidR="008A68DC">
        <w:rPr>
          <w:rFonts w:eastAsia="Times New Roman"/>
          <w:b/>
          <w:color w:val="0D0D0D"/>
          <w:szCs w:val="16"/>
          <w:lang w:eastAsia="en-US"/>
        </w:rPr>
        <w:fldChar w:fldCharType="end"/>
      </w:r>
      <w:r w:rsidRPr="006B72EF">
        <w:rPr>
          <w:rFonts w:eastAsia="Times New Roman"/>
          <w:b/>
          <w:color w:val="0D0D0D"/>
          <w:szCs w:val="16"/>
          <w:lang w:eastAsia="en-US"/>
        </w:rPr>
        <w:t xml:space="preserve"> shows that sample to sample variations in the level of Hp are present. However, the differences in the serum concentration of Hp stored at various storage conditions </w:t>
      </w:r>
      <w:r w:rsidR="00A32CAB">
        <w:rPr>
          <w:rFonts w:eastAsia="Times New Roman"/>
          <w:b/>
          <w:color w:val="0D0D0D"/>
          <w:szCs w:val="16"/>
          <w:lang w:eastAsia="en-US"/>
        </w:rPr>
        <w:t>(</w:t>
      </w:r>
      <w:r w:rsidR="00A32CAB" w:rsidRPr="006B72EF">
        <w:rPr>
          <w:rFonts w:eastAsia="Times New Roman"/>
          <w:b/>
          <w:color w:val="0D0D0D"/>
          <w:szCs w:val="16"/>
          <w:lang w:eastAsia="en-US"/>
        </w:rPr>
        <w:t>as explained below</w:t>
      </w:r>
      <w:r w:rsidR="00A32CAB">
        <w:rPr>
          <w:rFonts w:eastAsia="Times New Roman"/>
          <w:b/>
          <w:color w:val="0D0D0D"/>
          <w:szCs w:val="16"/>
          <w:lang w:eastAsia="en-US"/>
        </w:rPr>
        <w:t xml:space="preserve">) are statistically </w:t>
      </w:r>
      <w:r w:rsidRPr="006B72EF">
        <w:rPr>
          <w:rFonts w:eastAsia="Times New Roman"/>
          <w:b/>
          <w:color w:val="0D0D0D"/>
          <w:szCs w:val="16"/>
          <w:lang w:eastAsia="en-US"/>
        </w:rPr>
        <w:t>not significant. Aliquot 1 from each sample was transferred to -80°C freezer within three hours of collection, Aliquot 2, was transferred to -20°C within three hours of collection. Aliquot 3 were kept at room temperature for 24 hour and then transferred to -80°C freezer, Aliquot 4 was kept at room temperature for 24 hour and then transferred to -20°C freezer, Aliquot 5 was kept at room temperature for 96 hour</w:t>
      </w:r>
      <w:r w:rsidR="00390EDD">
        <w:rPr>
          <w:rFonts w:eastAsia="Times New Roman"/>
          <w:b/>
          <w:color w:val="0D0D0D"/>
          <w:szCs w:val="16"/>
          <w:lang w:eastAsia="en-US"/>
        </w:rPr>
        <w:t>s</w:t>
      </w:r>
      <w:r w:rsidRPr="006B72EF">
        <w:rPr>
          <w:rFonts w:eastAsia="Times New Roman"/>
          <w:b/>
          <w:color w:val="0D0D0D"/>
          <w:szCs w:val="16"/>
          <w:lang w:eastAsia="en-US"/>
        </w:rPr>
        <w:t xml:space="preserve"> and then transferred to -80°C freezer, Aliquot 6 was kept at room temperature for 96 hour</w:t>
      </w:r>
      <w:r w:rsidR="00390EDD">
        <w:rPr>
          <w:rFonts w:eastAsia="Times New Roman"/>
          <w:b/>
          <w:color w:val="0D0D0D"/>
          <w:szCs w:val="16"/>
          <w:lang w:eastAsia="en-US"/>
        </w:rPr>
        <w:t>s</w:t>
      </w:r>
      <w:r w:rsidRPr="006B72EF">
        <w:rPr>
          <w:rFonts w:eastAsia="Times New Roman"/>
          <w:b/>
          <w:color w:val="0D0D0D"/>
          <w:szCs w:val="16"/>
          <w:lang w:eastAsia="en-US"/>
        </w:rPr>
        <w:t xml:space="preserve"> and then transferred to -20°C freezer, Aliquot 7 was kept at  4°C for 24 hour</w:t>
      </w:r>
      <w:r w:rsidR="00390EDD">
        <w:rPr>
          <w:rFonts w:eastAsia="Times New Roman"/>
          <w:b/>
          <w:color w:val="0D0D0D"/>
          <w:szCs w:val="16"/>
          <w:lang w:eastAsia="en-US"/>
        </w:rPr>
        <w:t>s</w:t>
      </w:r>
      <w:r w:rsidRPr="006B72EF">
        <w:rPr>
          <w:rFonts w:eastAsia="Times New Roman"/>
          <w:b/>
          <w:color w:val="0D0D0D"/>
          <w:szCs w:val="16"/>
          <w:lang w:eastAsia="en-US"/>
        </w:rPr>
        <w:t xml:space="preserve"> and then transferred to -80°C freezer, Aliquot 8 was kept at  4°C for 24 hours and then transferred to -20°C freezer, Aliquot 9 was kept at  4°C for 96 hours and then transferred to -80°C freezer, Aliquot 10 was kept at  4°C for 96 hours and then transferred to -20°C freezer.</w:t>
      </w:r>
    </w:p>
    <w:p w:rsidR="00963ADC" w:rsidRDefault="00963ADC" w:rsidP="00057B42">
      <w:pPr>
        <w:pBdr>
          <w:bottom w:val="single" w:sz="12" w:space="1" w:color="auto"/>
        </w:pBdr>
        <w:spacing w:after="240" w:line="360" w:lineRule="auto"/>
        <w:jc w:val="both"/>
        <w:rPr>
          <w:rFonts w:eastAsia="Times New Roman"/>
          <w:b/>
          <w:color w:val="0D0D0D"/>
          <w:szCs w:val="16"/>
          <w:lang w:eastAsia="en-US"/>
        </w:rPr>
      </w:pPr>
    </w:p>
    <w:p w:rsidR="00963ADC" w:rsidRPr="006B72EF" w:rsidRDefault="00963ADC" w:rsidP="00057B42">
      <w:pPr>
        <w:spacing w:after="240" w:line="360" w:lineRule="auto"/>
        <w:jc w:val="both"/>
        <w:rPr>
          <w:rFonts w:eastAsia="Times New Roman"/>
          <w:b/>
          <w:color w:val="0D0D0D"/>
          <w:szCs w:val="16"/>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770FCDC0" wp14:editId="345528ED">
            <wp:extent cx="3088005" cy="7694930"/>
            <wp:effectExtent l="0" t="0" r="0" b="1270"/>
            <wp:docPr id="7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88005" cy="7694930"/>
                    </a:xfrm>
                    <a:prstGeom prst="rect">
                      <a:avLst/>
                    </a:prstGeom>
                    <a:noFill/>
                    <a:ln>
                      <a:noFill/>
                    </a:ln>
                  </pic:spPr>
                </pic:pic>
              </a:graphicData>
            </a:graphic>
          </wp:inline>
        </w:drawing>
      </w:r>
    </w:p>
    <w:p w:rsidR="00C32934" w:rsidRDefault="00C32934" w:rsidP="00057B42">
      <w:pPr>
        <w:spacing w:line="360" w:lineRule="auto"/>
        <w:rPr>
          <w:rFonts w:eastAsia="Times New Roman"/>
          <w:noProof/>
          <w:color w:val="0D0D0D"/>
          <w:lang w:eastAsia="en-IE"/>
        </w:rPr>
      </w:pPr>
      <w:r>
        <w:rPr>
          <w:rFonts w:eastAsia="Times New Roman"/>
          <w:noProof/>
          <w:color w:val="0D0D0D"/>
          <w:lang w:eastAsia="en-IE"/>
        </w:rPr>
        <w:br w:type="page"/>
      </w:r>
    </w:p>
    <w:p w:rsidR="00C32934" w:rsidRDefault="00C32934" w:rsidP="00057B42">
      <w:pPr>
        <w:spacing w:line="360" w:lineRule="auto"/>
        <w:rPr>
          <w:rFonts w:eastAsia="Times New Roman"/>
          <w:color w:val="0D0D0D"/>
          <w:lang w:eastAsia="en-US"/>
        </w:rPr>
      </w:pPr>
      <w:r>
        <w:rPr>
          <w:noProof/>
          <w:lang w:eastAsia="en-IE"/>
        </w:rPr>
        <w:lastRenderedPageBreak/>
        <mc:AlternateContent>
          <mc:Choice Requires="wps">
            <w:drawing>
              <wp:anchor distT="0" distB="0" distL="114300" distR="114300" simplePos="0" relativeHeight="251662848" behindDoc="0" locked="0" layoutInCell="1" allowOverlap="1" wp14:anchorId="420FCE69" wp14:editId="736E6277">
                <wp:simplePos x="0" y="0"/>
                <wp:positionH relativeFrom="column">
                  <wp:posOffset>391131</wp:posOffset>
                </wp:positionH>
                <wp:positionV relativeFrom="paragraph">
                  <wp:posOffset>141295</wp:posOffset>
                </wp:positionV>
                <wp:extent cx="1711960" cy="7698105"/>
                <wp:effectExtent l="0" t="0" r="2540" b="0"/>
                <wp:wrapNone/>
                <wp:docPr id="290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960" cy="7698105"/>
                        </a:xfrm>
                        <a:prstGeom prst="rect">
                          <a:avLst/>
                        </a:prstGeom>
                        <a:solidFill>
                          <a:srgbClr val="FFFFFF"/>
                        </a:solidFill>
                        <a:ln w="9525">
                          <a:noFill/>
                          <a:miter lim="800000"/>
                          <a:headEnd/>
                          <a:tailEnd/>
                        </a:ln>
                      </wps:spPr>
                      <wps:txbx>
                        <w:txbxContent>
                          <w:p w:rsidR="004B395A" w:rsidRDefault="004B395A" w:rsidP="002A0E81">
                            <w:pPr>
                              <w:pStyle w:val="Caption"/>
                              <w:jc w:val="both"/>
                            </w:pPr>
                            <w:r>
                              <w:t xml:space="preserve">Table </w:t>
                            </w:r>
                            <w:fldSimple w:instr=" STYLEREF 1 \s ">
                              <w:r w:rsidR="0081644B">
                                <w:rPr>
                                  <w:noProof/>
                                </w:rPr>
                                <w:t>3</w:t>
                              </w:r>
                            </w:fldSimple>
                            <w:r>
                              <w:noBreakHyphen/>
                            </w:r>
                            <w:fldSimple w:instr=" SEQ Table \* ARABIC \s 1 ">
                              <w:r w:rsidR="0081644B">
                                <w:rPr>
                                  <w:noProof/>
                                </w:rPr>
                                <w:t>18</w:t>
                              </w:r>
                            </w:fldSimple>
                            <w:r>
                              <w:t xml:space="preserve">  </w:t>
                            </w:r>
                            <w:r w:rsidRPr="00A603BA">
                              <w:t xml:space="preserve">shows </w:t>
                            </w:r>
                            <w:r>
                              <w:t xml:space="preserve">the concentration </w:t>
                            </w:r>
                            <w:r w:rsidRPr="00A603BA">
                              <w:t xml:space="preserve">of </w:t>
                            </w:r>
                            <w:r>
                              <w:t>SAA</w:t>
                            </w:r>
                            <w:r w:rsidRPr="00A603BA">
                              <w:t xml:space="preserve"> obtained using an ELISA based assay, of 100 aliquots from 10 multiple myeloma serum samples. Prior to </w:t>
                            </w:r>
                            <w:r>
                              <w:t>analyses,</w:t>
                            </w:r>
                            <w:r w:rsidRPr="00A603BA">
                              <w:t xml:space="preserve"> each aliquot was processed under various</w:t>
                            </w:r>
                            <w:r>
                              <w:t xml:space="preserve"> storage</w:t>
                            </w:r>
                            <w:r w:rsidRPr="00A603BA">
                              <w:t xml:space="preserve"> conditions as described. All aliquots were kept in the respective freezers, until the final analysis. The standard deviations between the 10 aliquots of each sample are also shown.  STDV: standard deviations</w:t>
                            </w:r>
                            <w:r>
                              <w:t>.</w:t>
                            </w:r>
                          </w:p>
                          <w:p w:rsidR="004B395A" w:rsidRPr="00963ADC" w:rsidRDefault="004B395A" w:rsidP="002A0E81">
                            <w:pPr>
                              <w:jc w:val="both"/>
                            </w:pPr>
                          </w:p>
                          <w:p w:rsidR="004B395A" w:rsidRDefault="004B395A" w:rsidP="00C32934">
                            <w:pPr>
                              <w:pBdr>
                                <w:bottom w:val="single" w:sz="12" w:space="1" w:color="auto"/>
                              </w:pBdr>
                            </w:pPr>
                          </w:p>
                          <w:p w:rsidR="004B395A" w:rsidRPr="00963ADC" w:rsidRDefault="004B395A" w:rsidP="00C32934"/>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30.8pt;margin-top:11.15pt;width:134.8pt;height:606.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" stroked="f">
                <v:textbox style="layout-flow:vertical;mso-layout-flow-alt:bottom-to-top">
                  <w:txbxContent>
                    <w:p w:rsidR="004B395A" w:rsidRDefault="004B395A" w:rsidP="002A0E81">
                      <w:pPr>
                        <w:pStyle w:val="Caption"/>
                        <w:jc w:val="both"/>
                      </w:pPr>
                      <w:r>
                        <w:t xml:space="preserve">Table </w:t>
                      </w:r>
                      <w:fldSimple w:instr=" STYLEREF 1 \s ">
                        <w:r w:rsidR="0081644B">
                          <w:rPr>
                            <w:noProof/>
                          </w:rPr>
                          <w:t>3</w:t>
                        </w:r>
                      </w:fldSimple>
                      <w:r>
                        <w:noBreakHyphen/>
                      </w:r>
                      <w:fldSimple w:instr=" SEQ Table \* ARABIC \s 1 ">
                        <w:r w:rsidR="0081644B">
                          <w:rPr>
                            <w:noProof/>
                          </w:rPr>
                          <w:t>18</w:t>
                        </w:r>
                      </w:fldSimple>
                      <w:r>
                        <w:t xml:space="preserve">  </w:t>
                      </w:r>
                      <w:r w:rsidRPr="00A603BA">
                        <w:t xml:space="preserve">shows </w:t>
                      </w:r>
                      <w:r>
                        <w:t xml:space="preserve">the concentration </w:t>
                      </w:r>
                      <w:r w:rsidRPr="00A603BA">
                        <w:t xml:space="preserve">of </w:t>
                      </w:r>
                      <w:r>
                        <w:t>SAA</w:t>
                      </w:r>
                      <w:r w:rsidRPr="00A603BA">
                        <w:t xml:space="preserve"> obtained using an ELISA based assay, of 100 aliquots from 10 multiple myeloma serum samples. Prior to </w:t>
                      </w:r>
                      <w:r>
                        <w:t>analyses,</w:t>
                      </w:r>
                      <w:r w:rsidRPr="00A603BA">
                        <w:t xml:space="preserve"> each aliquot was processed under various</w:t>
                      </w:r>
                      <w:r>
                        <w:t xml:space="preserve"> storage</w:t>
                      </w:r>
                      <w:r w:rsidRPr="00A603BA">
                        <w:t xml:space="preserve"> conditions as described. All aliquots were kept in the respective freezers, until the final analysis. The standard deviations between the 10 aliquots of each sample are also shown.  STDV: standard deviations</w:t>
                      </w:r>
                      <w:r>
                        <w:t>.</w:t>
                      </w:r>
                    </w:p>
                    <w:p w:rsidR="004B395A" w:rsidRPr="00963ADC" w:rsidRDefault="004B395A" w:rsidP="002A0E81">
                      <w:pPr>
                        <w:jc w:val="both"/>
                      </w:pPr>
                    </w:p>
                    <w:p w:rsidR="004B395A" w:rsidRDefault="004B395A" w:rsidP="00C32934">
                      <w:pPr>
                        <w:pBdr>
                          <w:bottom w:val="single" w:sz="12" w:space="1" w:color="auto"/>
                        </w:pBdr>
                      </w:pPr>
                    </w:p>
                    <w:p w:rsidR="004B395A" w:rsidRPr="00963ADC" w:rsidRDefault="004B395A" w:rsidP="00C32934"/>
                  </w:txbxContent>
                </v:textbox>
              </v:shape>
            </w:pict>
          </mc:Fallback>
        </mc:AlternateContent>
      </w:r>
      <w:r>
        <w:rPr>
          <w:rFonts w:eastAsia="Times New Roman"/>
          <w:color w:val="0D0D0D"/>
          <w:lang w:eastAsia="en-US"/>
        </w:rPr>
        <w:br w:type="page"/>
      </w: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lastRenderedPageBreak/>
        <w:drawing>
          <wp:inline distT="0" distB="0" distL="0" distR="0" wp14:anchorId="6CC464A4" wp14:editId="4555D9B2">
            <wp:extent cx="7616825" cy="4848225"/>
            <wp:effectExtent l="0" t="635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5400000">
                      <a:off x="0" y="0"/>
                      <a:ext cx="7616825" cy="4848225"/>
                    </a:xfrm>
                    <a:prstGeom prst="rect">
                      <a:avLst/>
                    </a:prstGeom>
                    <a:noFill/>
                    <a:ln>
                      <a:noFill/>
                    </a:ln>
                  </pic:spPr>
                </pic:pic>
              </a:graphicData>
            </a:graphic>
          </wp:inline>
        </w:drawing>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ind w:firstLine="357"/>
        <w:rPr>
          <w:rFonts w:eastAsia="Times New Roman"/>
          <w:color w:val="0D0D0D"/>
          <w:lang w:eastAsia="en-US"/>
        </w:rPr>
      </w:pPr>
      <w:r w:rsidRPr="006B72EF">
        <w:rPr>
          <w:rFonts w:eastAsia="Times New Roman"/>
          <w:color w:val="0D0D0D"/>
          <w:lang w:eastAsia="en-US"/>
        </w:rPr>
        <w:br w:type="page"/>
      </w:r>
    </w:p>
    <w:p w:rsidR="006B72EF" w:rsidRDefault="006B72EF" w:rsidP="00057B42">
      <w:pPr>
        <w:spacing w:after="240" w:line="360" w:lineRule="auto"/>
        <w:jc w:val="both"/>
        <w:rPr>
          <w:rFonts w:eastAsia="Times New Roman"/>
          <w:b/>
          <w:color w:val="0D0D0D"/>
          <w:lang w:eastAsia="en-US"/>
        </w:rPr>
      </w:pPr>
      <w:bookmarkStart w:id="1422" w:name="_Toc274587599"/>
      <w:bookmarkStart w:id="1423" w:name="_Toc279441923"/>
      <w:r w:rsidRPr="006B72EF">
        <w:rPr>
          <w:rFonts w:eastAsia="Times New Roman"/>
          <w:b/>
          <w:color w:val="0D0D0D"/>
          <w:lang w:eastAsia="en-US"/>
        </w:rPr>
        <w:lastRenderedPageBreak/>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45</w:t>
      </w:r>
      <w:r w:rsidR="008A68DC">
        <w:rPr>
          <w:rFonts w:eastAsia="Times New Roman"/>
          <w:b/>
          <w:color w:val="0D0D0D"/>
          <w:lang w:eastAsia="en-US"/>
        </w:rPr>
        <w:fldChar w:fldCharType="end"/>
      </w:r>
      <w:bookmarkEnd w:id="1422"/>
      <w:r w:rsidRPr="006B72EF">
        <w:rPr>
          <w:rFonts w:eastAsia="Times New Roman"/>
          <w:b/>
          <w:color w:val="0D0D0D"/>
          <w:lang w:eastAsia="en-US"/>
        </w:rPr>
        <w:t xml:space="preserve">  shows that sample to sample variations in the level SAA is present. </w:t>
      </w:r>
      <w:r w:rsidR="0006184D">
        <w:rPr>
          <w:rFonts w:eastAsia="Times New Roman"/>
          <w:b/>
          <w:color w:val="0D0D0D"/>
          <w:lang w:eastAsia="en-US"/>
        </w:rPr>
        <w:t>In addition the levels of SAA have</w:t>
      </w:r>
      <w:r w:rsidRPr="006B72EF">
        <w:rPr>
          <w:rFonts w:eastAsia="Times New Roman"/>
          <w:b/>
          <w:color w:val="0D0D0D"/>
          <w:lang w:eastAsia="en-US"/>
        </w:rPr>
        <w:t xml:space="preserve"> higher lev</w:t>
      </w:r>
      <w:r w:rsidR="000A4656">
        <w:rPr>
          <w:rFonts w:eastAsia="Times New Roman"/>
          <w:b/>
          <w:color w:val="0D0D0D"/>
          <w:lang w:eastAsia="en-US"/>
        </w:rPr>
        <w:t xml:space="preserve">el when stored </w:t>
      </w:r>
      <w:r w:rsidR="00A32CAB">
        <w:rPr>
          <w:rFonts w:eastAsia="Times New Roman"/>
          <w:b/>
          <w:color w:val="0D0D0D"/>
          <w:lang w:eastAsia="en-US"/>
        </w:rPr>
        <w:t xml:space="preserve">at </w:t>
      </w:r>
      <w:r w:rsidR="0006184D">
        <w:rPr>
          <w:rFonts w:eastAsia="Times New Roman"/>
          <w:b/>
          <w:color w:val="0D0D0D"/>
          <w:lang w:eastAsia="en-US"/>
        </w:rPr>
        <w:t xml:space="preserve">some </w:t>
      </w:r>
      <w:r w:rsidR="00A32CAB" w:rsidRPr="006B72EF">
        <w:rPr>
          <w:rFonts w:eastAsia="Times New Roman"/>
          <w:b/>
          <w:color w:val="0D0D0D"/>
          <w:szCs w:val="16"/>
          <w:lang w:eastAsia="en-US"/>
        </w:rPr>
        <w:t xml:space="preserve">storage conditions </w:t>
      </w:r>
      <w:r w:rsidR="00A32CAB">
        <w:rPr>
          <w:rFonts w:eastAsia="Times New Roman"/>
          <w:b/>
          <w:color w:val="0D0D0D"/>
          <w:szCs w:val="16"/>
          <w:lang w:eastAsia="en-US"/>
        </w:rPr>
        <w:t>(</w:t>
      </w:r>
      <w:r w:rsidR="00A32CAB" w:rsidRPr="006B72EF">
        <w:rPr>
          <w:rFonts w:eastAsia="Times New Roman"/>
          <w:b/>
          <w:color w:val="0D0D0D"/>
          <w:szCs w:val="16"/>
          <w:lang w:eastAsia="en-US"/>
        </w:rPr>
        <w:t>as explained below</w:t>
      </w:r>
      <w:r w:rsidR="00A32CAB">
        <w:rPr>
          <w:rFonts w:eastAsia="Times New Roman"/>
          <w:b/>
          <w:color w:val="0D0D0D"/>
          <w:szCs w:val="16"/>
          <w:lang w:eastAsia="en-US"/>
        </w:rPr>
        <w:t>)</w:t>
      </w:r>
      <w:r w:rsidR="0006184D">
        <w:rPr>
          <w:rFonts w:eastAsia="Times New Roman"/>
          <w:b/>
          <w:color w:val="0D0D0D"/>
          <w:szCs w:val="16"/>
          <w:lang w:eastAsia="en-US"/>
        </w:rPr>
        <w:t xml:space="preserve">. However, the </w:t>
      </w:r>
      <w:r w:rsidR="00873ABB">
        <w:rPr>
          <w:rFonts w:eastAsia="Times New Roman"/>
          <w:b/>
          <w:color w:val="0D0D0D"/>
          <w:szCs w:val="16"/>
          <w:lang w:eastAsia="en-US"/>
        </w:rPr>
        <w:t>differences were</w:t>
      </w:r>
      <w:r w:rsidR="00A32CAB">
        <w:rPr>
          <w:rFonts w:eastAsia="Times New Roman"/>
          <w:b/>
          <w:color w:val="0D0D0D"/>
          <w:szCs w:val="16"/>
          <w:lang w:eastAsia="en-US"/>
        </w:rPr>
        <w:t xml:space="preserve"> statistically not significant</w:t>
      </w:r>
      <w:r w:rsidRPr="006B72EF">
        <w:rPr>
          <w:rFonts w:eastAsia="Times New Roman"/>
          <w:b/>
          <w:color w:val="0D0D0D"/>
          <w:lang w:eastAsia="en-US"/>
        </w:rPr>
        <w:t>. Aliquot 1 from each sample was transferred to -80°C freezer within three hours of collection, Aliquot 2, was transferred to -20°C within three hours of collection. Aliquot 3 were kept at room temperature for 24 hour and then transferred to -80°C freezer, Aliquot 4 was kept at room temperature for 24 hour and then transferred to -20°C freezer, Aliquot 5 was kept at room temperature for 96 hour</w:t>
      </w:r>
      <w:r w:rsidR="00390EDD">
        <w:rPr>
          <w:rFonts w:eastAsia="Times New Roman"/>
          <w:b/>
          <w:color w:val="0D0D0D"/>
          <w:lang w:eastAsia="en-US"/>
        </w:rPr>
        <w:t>s</w:t>
      </w:r>
      <w:r w:rsidRPr="006B72EF">
        <w:rPr>
          <w:rFonts w:eastAsia="Times New Roman"/>
          <w:b/>
          <w:color w:val="0D0D0D"/>
          <w:lang w:eastAsia="en-US"/>
        </w:rPr>
        <w:t xml:space="preserve"> and then transferred to -80°C freezer, Aliquot 6 was kept at room temperature for 96 hour</w:t>
      </w:r>
      <w:r w:rsidR="00390EDD">
        <w:rPr>
          <w:rFonts w:eastAsia="Times New Roman"/>
          <w:b/>
          <w:color w:val="0D0D0D"/>
          <w:lang w:eastAsia="en-US"/>
        </w:rPr>
        <w:t>s</w:t>
      </w:r>
      <w:r w:rsidRPr="006B72EF">
        <w:rPr>
          <w:rFonts w:eastAsia="Times New Roman"/>
          <w:b/>
          <w:color w:val="0D0D0D"/>
          <w:lang w:eastAsia="en-US"/>
        </w:rPr>
        <w:t xml:space="preserve"> and then transferred to -20°C freezer, Aliquot 7 was kept at  4°C for 24 hour</w:t>
      </w:r>
      <w:r w:rsidR="00605284">
        <w:rPr>
          <w:rFonts w:eastAsia="Times New Roman"/>
          <w:b/>
          <w:color w:val="0D0D0D"/>
          <w:lang w:eastAsia="en-US"/>
        </w:rPr>
        <w:t>s</w:t>
      </w:r>
      <w:r w:rsidRPr="006B72EF">
        <w:rPr>
          <w:rFonts w:eastAsia="Times New Roman"/>
          <w:b/>
          <w:color w:val="0D0D0D"/>
          <w:lang w:eastAsia="en-US"/>
        </w:rPr>
        <w:t xml:space="preserve"> and then transferred to -80°C freezer, Aliquot 8 was kept at  4°C for 24 hours and then transferred to -20°C freezer, Aliquot 9 was kept at  4°C for 96 hours and then transferred to -80°C freezer, Aliquot 10 was kept at  4°C for 96 hours and then transferred to -20°C f</w:t>
      </w:r>
      <w:r w:rsidR="000A4656">
        <w:rPr>
          <w:rFonts w:eastAsia="Times New Roman"/>
          <w:b/>
          <w:color w:val="0D0D0D"/>
          <w:lang w:eastAsia="en-US"/>
        </w:rPr>
        <w:t xml:space="preserve">reezer. Aliquot 9 were kept at  </w:t>
      </w:r>
      <w:r w:rsidRPr="006B72EF">
        <w:rPr>
          <w:rFonts w:eastAsia="Times New Roman"/>
          <w:b/>
          <w:color w:val="0D0D0D"/>
          <w:lang w:eastAsia="en-US"/>
        </w:rPr>
        <w:t>4°C for four days and then transferred to -80°C freezer, Aliquot 10 were kept at  4°C for four days and then transferred to -20°C freezer.</w:t>
      </w:r>
      <w:bookmarkEnd w:id="1423"/>
    </w:p>
    <w:p w:rsidR="00963ADC" w:rsidRDefault="00963ADC" w:rsidP="00057B42">
      <w:pPr>
        <w:pBdr>
          <w:bottom w:val="single" w:sz="12" w:space="1" w:color="auto"/>
        </w:pBdr>
        <w:spacing w:after="240" w:line="360" w:lineRule="auto"/>
        <w:jc w:val="both"/>
        <w:rPr>
          <w:rFonts w:eastAsia="Times New Roman"/>
          <w:b/>
          <w:color w:val="0D0D0D"/>
          <w:lang w:eastAsia="en-US"/>
        </w:rPr>
      </w:pPr>
    </w:p>
    <w:p w:rsidR="00963ADC" w:rsidRPr="006B72EF" w:rsidRDefault="00963ADC"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098D4DB8" wp14:editId="0CEB4D56">
            <wp:extent cx="7875905" cy="3148330"/>
            <wp:effectExtent l="1588" t="0" r="0" b="0"/>
            <wp:docPr id="78"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5400000">
                      <a:off x="0" y="0"/>
                      <a:ext cx="7875905" cy="3148330"/>
                    </a:xfrm>
                    <a:prstGeom prst="rect">
                      <a:avLst/>
                    </a:prstGeom>
                    <a:noFill/>
                    <a:ln>
                      <a:noFill/>
                    </a:ln>
                  </pic:spPr>
                </pic:pic>
              </a:graphicData>
            </a:graphic>
          </wp:inline>
        </w:drawing>
      </w:r>
    </w:p>
    <w:p w:rsidR="00C32934" w:rsidRDefault="006B72EF" w:rsidP="00057B42">
      <w:pPr>
        <w:spacing w:line="360" w:lineRule="auto"/>
        <w:rPr>
          <w:rFonts w:eastAsia="Times New Roman"/>
          <w:color w:val="0D0D0D"/>
          <w:lang w:eastAsia="en-US"/>
        </w:rPr>
      </w:pPr>
      <w:r w:rsidRPr="006B72EF">
        <w:rPr>
          <w:rFonts w:eastAsia="Times New Roman"/>
          <w:color w:val="0D0D0D"/>
          <w:lang w:eastAsia="en-US"/>
        </w:rPr>
        <w:br w:type="page"/>
      </w:r>
      <w:r w:rsidR="002A0E81">
        <w:rPr>
          <w:noProof/>
          <w:lang w:eastAsia="en-IE"/>
        </w:rPr>
        <w:lastRenderedPageBreak/>
        <mc:AlternateContent>
          <mc:Choice Requires="wps">
            <w:drawing>
              <wp:anchor distT="0" distB="0" distL="114300" distR="114300" simplePos="0" relativeHeight="251664896" behindDoc="0" locked="0" layoutInCell="1" allowOverlap="1" wp14:anchorId="3A028647" wp14:editId="0DE627D0">
                <wp:simplePos x="0" y="0"/>
                <wp:positionH relativeFrom="column">
                  <wp:posOffset>399415</wp:posOffset>
                </wp:positionH>
                <wp:positionV relativeFrom="paragraph">
                  <wp:posOffset>149860</wp:posOffset>
                </wp:positionV>
                <wp:extent cx="1710055" cy="7943850"/>
                <wp:effectExtent l="0" t="0" r="4445" b="0"/>
                <wp:wrapNone/>
                <wp:docPr id="290838" name="Text Box 290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7943850"/>
                        </a:xfrm>
                        <a:prstGeom prst="rect">
                          <a:avLst/>
                        </a:prstGeom>
                        <a:solidFill>
                          <a:srgbClr val="FFFFFF"/>
                        </a:solidFill>
                        <a:ln w="9525">
                          <a:noFill/>
                          <a:miter lim="800000"/>
                          <a:headEnd/>
                          <a:tailEnd/>
                        </a:ln>
                      </wps:spPr>
                      <wps:txbx>
                        <w:txbxContent>
                          <w:p w:rsidR="004B395A" w:rsidRDefault="004B395A" w:rsidP="002A0E81">
                            <w:pPr>
                              <w:pStyle w:val="Caption"/>
                              <w:jc w:val="both"/>
                            </w:pPr>
                            <w:r>
                              <w:t xml:space="preserve">Table </w:t>
                            </w:r>
                            <w:fldSimple w:instr=" STYLEREF 1 \s ">
                              <w:r w:rsidR="0081644B">
                                <w:rPr>
                                  <w:noProof/>
                                </w:rPr>
                                <w:t>3</w:t>
                              </w:r>
                            </w:fldSimple>
                            <w:r>
                              <w:noBreakHyphen/>
                            </w:r>
                            <w:fldSimple w:instr=" SEQ Table \* ARABIC \s 1 ">
                              <w:r w:rsidR="0081644B">
                                <w:rPr>
                                  <w:noProof/>
                                </w:rPr>
                                <w:t>19</w:t>
                              </w:r>
                            </w:fldSimple>
                            <w:r>
                              <w:t xml:space="preserve"> </w:t>
                            </w:r>
                            <w:r w:rsidRPr="00A603BA">
                              <w:t>this</w:t>
                            </w:r>
                            <w:r>
                              <w:t xml:space="preserve"> table shows the concentration of VDB </w:t>
                            </w:r>
                            <w:r w:rsidRPr="00A603BA">
                              <w:t>obtained using an ELISA based assay, of 100 aliquots from 10 multiple myeloma serum samples. Prior to analyses each aliquot was processed under various</w:t>
                            </w:r>
                            <w:r>
                              <w:t xml:space="preserve"> storage</w:t>
                            </w:r>
                            <w:r w:rsidRPr="00A603BA">
                              <w:t xml:space="preserve"> conditions as described. All aliquots were kept in the respective freezers, until the final analysis. The standard deviations between the 10 aliquots of each sample are also shown.  STDV: standard deviations</w:t>
                            </w:r>
                            <w:r>
                              <w:t>.</w:t>
                            </w:r>
                          </w:p>
                          <w:p w:rsidR="004B395A" w:rsidRDefault="004B395A" w:rsidP="002A0E81">
                            <w:pPr>
                              <w:pBdr>
                                <w:bottom w:val="single" w:sz="12" w:space="1" w:color="auto"/>
                              </w:pBdr>
                              <w:jc w:val="both"/>
                            </w:pPr>
                          </w:p>
                          <w:p w:rsidR="004B395A" w:rsidRPr="00963ADC" w:rsidRDefault="004B395A" w:rsidP="002A0E81">
                            <w:pPr>
                              <w:jc w:val="both"/>
                            </w:pPr>
                          </w:p>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290838" o:spid="_x0000_s1052" type="#_x0000_t202" style="position:absolute;margin-left:31.45pt;margin-top:11.8pt;width:134.65pt;height:6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" stroked="f">
                <v:textbox style="layout-flow:vertical;mso-layout-flow-alt:bottom-to-top">
                  <w:txbxContent>
                    <w:p w:rsidR="004B395A" w:rsidRDefault="004B395A" w:rsidP="002A0E81">
                      <w:pPr>
                        <w:pStyle w:val="Caption"/>
                        <w:jc w:val="both"/>
                      </w:pPr>
                      <w:r>
                        <w:t xml:space="preserve">Table </w:t>
                      </w:r>
                      <w:fldSimple w:instr=" STYLEREF 1 \s ">
                        <w:r w:rsidR="0081644B">
                          <w:rPr>
                            <w:noProof/>
                          </w:rPr>
                          <w:t>3</w:t>
                        </w:r>
                      </w:fldSimple>
                      <w:r>
                        <w:noBreakHyphen/>
                      </w:r>
                      <w:fldSimple w:instr=" SEQ Table \* ARABIC \s 1 ">
                        <w:r w:rsidR="0081644B">
                          <w:rPr>
                            <w:noProof/>
                          </w:rPr>
                          <w:t>19</w:t>
                        </w:r>
                      </w:fldSimple>
                      <w:r>
                        <w:t xml:space="preserve"> </w:t>
                      </w:r>
                      <w:r w:rsidRPr="00A603BA">
                        <w:t>this</w:t>
                      </w:r>
                      <w:r>
                        <w:t xml:space="preserve"> table shows the concentration of VDB </w:t>
                      </w:r>
                      <w:r w:rsidRPr="00A603BA">
                        <w:t>obtained using an ELISA based assay, of 100 aliquots from 10 multiple myeloma serum samples. Prior to analyses each aliquot was processed under various</w:t>
                      </w:r>
                      <w:r>
                        <w:t xml:space="preserve"> storage</w:t>
                      </w:r>
                      <w:r w:rsidRPr="00A603BA">
                        <w:t xml:space="preserve"> conditions as described. All aliquots were kept in the respective freezers, until the final analysis. The standard deviations between the 10 aliquots of each sample are also shown.  STDV: standard deviations</w:t>
                      </w:r>
                      <w:r>
                        <w:t>.</w:t>
                      </w:r>
                    </w:p>
                    <w:p w:rsidR="004B395A" w:rsidRDefault="004B395A" w:rsidP="002A0E81">
                      <w:pPr>
                        <w:pBdr>
                          <w:bottom w:val="single" w:sz="12" w:space="1" w:color="auto"/>
                        </w:pBdr>
                        <w:jc w:val="both"/>
                      </w:pPr>
                    </w:p>
                    <w:p w:rsidR="004B395A" w:rsidRPr="00963ADC" w:rsidRDefault="004B395A" w:rsidP="002A0E81">
                      <w:pPr>
                        <w:jc w:val="both"/>
                      </w:pPr>
                    </w:p>
                  </w:txbxContent>
                </v:textbox>
              </v:shape>
            </w:pict>
          </mc:Fallback>
        </mc:AlternateContent>
      </w:r>
      <w:r w:rsidR="00C32934">
        <w:rPr>
          <w:rFonts w:eastAsia="Times New Roman"/>
          <w:color w:val="0D0D0D"/>
          <w:lang w:eastAsia="en-US"/>
        </w:rPr>
        <w:br w:type="page"/>
      </w:r>
    </w:p>
    <w:p w:rsidR="006B72EF" w:rsidRPr="006B72EF" w:rsidRDefault="006B72EF" w:rsidP="00057B42">
      <w:pPr>
        <w:spacing w:after="240" w:line="360" w:lineRule="auto"/>
        <w:ind w:firstLine="357"/>
        <w:rPr>
          <w:rFonts w:eastAsia="Times New Roman"/>
          <w:color w:val="0D0D0D"/>
          <w:lang w:eastAsia="en-US"/>
        </w:rPr>
      </w:pPr>
    </w:p>
    <w:p w:rsidR="006B72EF" w:rsidRPr="006B72EF" w:rsidRDefault="00ED7D82" w:rsidP="00057B42">
      <w:pPr>
        <w:spacing w:after="240" w:line="360" w:lineRule="auto"/>
        <w:jc w:val="center"/>
        <w:rPr>
          <w:rFonts w:eastAsia="Times New Roman"/>
          <w:color w:val="0D0D0D"/>
          <w:lang w:eastAsia="en-US"/>
        </w:rPr>
      </w:pPr>
      <w:r>
        <w:rPr>
          <w:rFonts w:eastAsia="Times New Roman"/>
          <w:b/>
          <w:noProof/>
          <w:color w:val="0D0D0D"/>
          <w:lang w:eastAsia="en-IE"/>
        </w:rPr>
        <w:drawing>
          <wp:inline distT="0" distB="0" distL="0" distR="0" wp14:anchorId="51921E1E" wp14:editId="6D9A50A5">
            <wp:extent cx="8082915" cy="4615180"/>
            <wp:effectExtent l="318"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5400000">
                      <a:off x="0" y="0"/>
                      <a:ext cx="8082915" cy="4615180"/>
                    </a:xfrm>
                    <a:prstGeom prst="rect">
                      <a:avLst/>
                    </a:prstGeom>
                    <a:noFill/>
                    <a:ln>
                      <a:noFill/>
                    </a:ln>
                  </pic:spPr>
                </pic:pic>
              </a:graphicData>
            </a:graphic>
          </wp:inline>
        </w:drawing>
      </w:r>
    </w:p>
    <w:p w:rsidR="006B72EF" w:rsidRDefault="006B72EF" w:rsidP="00057B42">
      <w:pPr>
        <w:spacing w:after="240" w:line="360" w:lineRule="auto"/>
        <w:jc w:val="both"/>
        <w:rPr>
          <w:rFonts w:eastAsia="Times New Roman"/>
          <w:b/>
          <w:color w:val="0D0D0D"/>
          <w:szCs w:val="16"/>
          <w:lang w:eastAsia="en-US"/>
        </w:rPr>
      </w:pPr>
      <w:bookmarkStart w:id="1424" w:name="_Toc279441924"/>
      <w:r w:rsidRPr="006B72EF">
        <w:rPr>
          <w:rFonts w:eastAsia="Times New Roman"/>
          <w:b/>
          <w:color w:val="0D0D0D"/>
          <w:szCs w:val="16"/>
          <w:lang w:eastAsia="en-US"/>
        </w:rPr>
        <w:lastRenderedPageBreak/>
        <w:t xml:space="preserve">Figure </w:t>
      </w:r>
      <w:r w:rsidR="008A68DC">
        <w:rPr>
          <w:rFonts w:eastAsia="Times New Roman"/>
          <w:b/>
          <w:color w:val="0D0D0D"/>
          <w:szCs w:val="16"/>
          <w:lang w:eastAsia="en-US"/>
        </w:rPr>
        <w:fldChar w:fldCharType="begin"/>
      </w:r>
      <w:r w:rsidR="008A68DC">
        <w:rPr>
          <w:rFonts w:eastAsia="Times New Roman"/>
          <w:b/>
          <w:color w:val="0D0D0D"/>
          <w:szCs w:val="16"/>
          <w:lang w:eastAsia="en-US"/>
        </w:rPr>
        <w:instrText xml:space="preserve"> STYLEREF 1 \s </w:instrText>
      </w:r>
      <w:r w:rsidR="008A68DC">
        <w:rPr>
          <w:rFonts w:eastAsia="Times New Roman"/>
          <w:b/>
          <w:color w:val="0D0D0D"/>
          <w:szCs w:val="16"/>
          <w:lang w:eastAsia="en-US"/>
        </w:rPr>
        <w:fldChar w:fldCharType="separate"/>
      </w:r>
      <w:r w:rsidR="0081644B">
        <w:rPr>
          <w:rFonts w:eastAsia="Times New Roman"/>
          <w:b/>
          <w:noProof/>
          <w:color w:val="0D0D0D"/>
          <w:szCs w:val="16"/>
          <w:lang w:eastAsia="en-US"/>
        </w:rPr>
        <w:t>3</w:t>
      </w:r>
      <w:r w:rsidR="008A68DC">
        <w:rPr>
          <w:rFonts w:eastAsia="Times New Roman"/>
          <w:b/>
          <w:color w:val="0D0D0D"/>
          <w:szCs w:val="16"/>
          <w:lang w:eastAsia="en-US"/>
        </w:rPr>
        <w:fldChar w:fldCharType="end"/>
      </w:r>
      <w:r w:rsidR="008A68DC">
        <w:rPr>
          <w:rFonts w:eastAsia="Times New Roman"/>
          <w:b/>
          <w:color w:val="0D0D0D"/>
          <w:szCs w:val="16"/>
          <w:lang w:eastAsia="en-US"/>
        </w:rPr>
        <w:noBreakHyphen/>
      </w:r>
      <w:r w:rsidR="008A68DC">
        <w:rPr>
          <w:rFonts w:eastAsia="Times New Roman"/>
          <w:b/>
          <w:color w:val="0D0D0D"/>
          <w:szCs w:val="16"/>
          <w:lang w:eastAsia="en-US"/>
        </w:rPr>
        <w:fldChar w:fldCharType="begin"/>
      </w:r>
      <w:r w:rsidR="008A68DC">
        <w:rPr>
          <w:rFonts w:eastAsia="Times New Roman"/>
          <w:b/>
          <w:color w:val="0D0D0D"/>
          <w:szCs w:val="16"/>
          <w:lang w:eastAsia="en-US"/>
        </w:rPr>
        <w:instrText xml:space="preserve"> SEQ Figure \* ARABIC \s 1 </w:instrText>
      </w:r>
      <w:r w:rsidR="008A68DC">
        <w:rPr>
          <w:rFonts w:eastAsia="Times New Roman"/>
          <w:b/>
          <w:color w:val="0D0D0D"/>
          <w:szCs w:val="16"/>
          <w:lang w:eastAsia="en-US"/>
        </w:rPr>
        <w:fldChar w:fldCharType="separate"/>
      </w:r>
      <w:r w:rsidR="0081644B">
        <w:rPr>
          <w:rFonts w:eastAsia="Times New Roman"/>
          <w:b/>
          <w:noProof/>
          <w:color w:val="0D0D0D"/>
          <w:szCs w:val="16"/>
          <w:lang w:eastAsia="en-US"/>
        </w:rPr>
        <w:t>46</w:t>
      </w:r>
      <w:r w:rsidR="008A68DC">
        <w:rPr>
          <w:rFonts w:eastAsia="Times New Roman"/>
          <w:b/>
          <w:color w:val="0D0D0D"/>
          <w:szCs w:val="16"/>
          <w:lang w:eastAsia="en-US"/>
        </w:rPr>
        <w:fldChar w:fldCharType="end"/>
      </w:r>
      <w:r w:rsidRPr="006B72EF">
        <w:rPr>
          <w:rFonts w:eastAsia="Times New Roman"/>
          <w:b/>
          <w:color w:val="0D0D0D"/>
          <w:szCs w:val="16"/>
          <w:lang w:eastAsia="en-US"/>
        </w:rPr>
        <w:t xml:space="preserve"> shows that sample to sample variations in the level of VDB are present. However, the differences in the serum concentration of VDB stored at </w:t>
      </w:r>
      <w:r w:rsidR="00A32CAB" w:rsidRPr="006B72EF">
        <w:rPr>
          <w:rFonts w:eastAsia="Times New Roman"/>
          <w:b/>
          <w:color w:val="0D0D0D"/>
          <w:szCs w:val="16"/>
          <w:lang w:eastAsia="en-US"/>
        </w:rPr>
        <w:t xml:space="preserve">various storage conditions </w:t>
      </w:r>
      <w:r w:rsidR="00A32CAB">
        <w:rPr>
          <w:rFonts w:eastAsia="Times New Roman"/>
          <w:b/>
          <w:color w:val="0D0D0D"/>
          <w:szCs w:val="16"/>
          <w:lang w:eastAsia="en-US"/>
        </w:rPr>
        <w:t>(</w:t>
      </w:r>
      <w:r w:rsidR="00A32CAB" w:rsidRPr="006B72EF">
        <w:rPr>
          <w:rFonts w:eastAsia="Times New Roman"/>
          <w:b/>
          <w:color w:val="0D0D0D"/>
          <w:szCs w:val="16"/>
          <w:lang w:eastAsia="en-US"/>
        </w:rPr>
        <w:t>as explained below</w:t>
      </w:r>
      <w:r w:rsidR="00A32CAB">
        <w:rPr>
          <w:rFonts w:eastAsia="Times New Roman"/>
          <w:b/>
          <w:color w:val="0D0D0D"/>
          <w:szCs w:val="16"/>
          <w:lang w:eastAsia="en-US"/>
        </w:rPr>
        <w:t xml:space="preserve">) are statistically </w:t>
      </w:r>
      <w:r w:rsidR="00A32CAB" w:rsidRPr="006B72EF">
        <w:rPr>
          <w:rFonts w:eastAsia="Times New Roman"/>
          <w:b/>
          <w:color w:val="0D0D0D"/>
          <w:szCs w:val="16"/>
          <w:lang w:eastAsia="en-US"/>
        </w:rPr>
        <w:t xml:space="preserve">not significant. </w:t>
      </w:r>
      <w:r w:rsidRPr="006B72EF">
        <w:rPr>
          <w:rFonts w:eastAsia="Times New Roman"/>
          <w:b/>
          <w:color w:val="0D0D0D"/>
          <w:szCs w:val="16"/>
          <w:lang w:eastAsia="en-US"/>
        </w:rPr>
        <w:t>Aliquot 1 from each sample was transferred to -80°C freezer within three hours of collection, Aliquot 2, was transferred to -20°C within three hours of collection. Aliquot 3 were kept at room temperature for 24 hour and then transferred to -80°C freezer, Aliquot 4 was kept at room temperature for 24 hour and then transferred to -20°C freezer, Aliquot 5 was kept at room temperature for 96 hour</w:t>
      </w:r>
      <w:r w:rsidR="00605284">
        <w:rPr>
          <w:rFonts w:eastAsia="Times New Roman"/>
          <w:b/>
          <w:color w:val="0D0D0D"/>
          <w:szCs w:val="16"/>
          <w:lang w:eastAsia="en-US"/>
        </w:rPr>
        <w:t>s</w:t>
      </w:r>
      <w:r w:rsidRPr="006B72EF">
        <w:rPr>
          <w:rFonts w:eastAsia="Times New Roman"/>
          <w:b/>
          <w:color w:val="0D0D0D"/>
          <w:szCs w:val="16"/>
          <w:lang w:eastAsia="en-US"/>
        </w:rPr>
        <w:t xml:space="preserve"> and then transferred to -80°C freezer, Aliquot 6 was kept at room temperature for 96 hour</w:t>
      </w:r>
      <w:r w:rsidR="000A4656">
        <w:rPr>
          <w:rFonts w:eastAsia="Times New Roman"/>
          <w:b/>
          <w:color w:val="0D0D0D"/>
          <w:szCs w:val="16"/>
          <w:lang w:eastAsia="en-US"/>
        </w:rPr>
        <w:t>s</w:t>
      </w:r>
      <w:r w:rsidRPr="006B72EF">
        <w:rPr>
          <w:rFonts w:eastAsia="Times New Roman"/>
          <w:b/>
          <w:color w:val="0D0D0D"/>
          <w:szCs w:val="16"/>
          <w:lang w:eastAsia="en-US"/>
        </w:rPr>
        <w:t xml:space="preserve"> and then transferred to -20°C freezer, Aliquot 7 was kept at  4°C for 24 hour</w:t>
      </w:r>
      <w:r w:rsidR="000A4656">
        <w:rPr>
          <w:rFonts w:eastAsia="Times New Roman"/>
          <w:b/>
          <w:color w:val="0D0D0D"/>
          <w:szCs w:val="16"/>
          <w:lang w:eastAsia="en-US"/>
        </w:rPr>
        <w:t>s</w:t>
      </w:r>
      <w:r w:rsidRPr="006B72EF">
        <w:rPr>
          <w:rFonts w:eastAsia="Times New Roman"/>
          <w:b/>
          <w:color w:val="0D0D0D"/>
          <w:szCs w:val="16"/>
          <w:lang w:eastAsia="en-US"/>
        </w:rPr>
        <w:t xml:space="preserve"> and then transferred to -80°C freezer, Aliquot 8 was kept at  4°C for 24 hours and then transferred to -20°C freezer, Aliquot 9 was kept at  4°C for 96 hours and then transferred to -80°C freezer, Aliquot 10 was kept at  4°C for 96 hours and then transferred to -20°C freezer to -20°C freezer.</w:t>
      </w:r>
      <w:bookmarkEnd w:id="1424"/>
    </w:p>
    <w:p w:rsidR="00963ADC" w:rsidRDefault="00963ADC" w:rsidP="00057B42">
      <w:pPr>
        <w:pBdr>
          <w:bottom w:val="single" w:sz="12" w:space="1" w:color="auto"/>
        </w:pBdr>
        <w:spacing w:after="240" w:line="360" w:lineRule="auto"/>
        <w:jc w:val="both"/>
        <w:rPr>
          <w:rFonts w:eastAsia="Times New Roman"/>
          <w:b/>
          <w:color w:val="0D0D0D"/>
          <w:szCs w:val="16"/>
          <w:lang w:eastAsia="en-US"/>
        </w:rPr>
      </w:pPr>
    </w:p>
    <w:p w:rsidR="00963ADC" w:rsidRPr="006B72EF" w:rsidRDefault="00963ADC" w:rsidP="00057B42">
      <w:pPr>
        <w:spacing w:after="240" w:line="360" w:lineRule="auto"/>
        <w:jc w:val="both"/>
        <w:rPr>
          <w:rFonts w:eastAsia="Times New Roman"/>
          <w:b/>
          <w:color w:val="0D0D0D"/>
          <w:sz w:val="40"/>
          <w:lang w:eastAsia="en-US"/>
        </w:rPr>
      </w:pPr>
    </w:p>
    <w:p w:rsidR="006B72EF" w:rsidRPr="006B72EF" w:rsidRDefault="006B72EF" w:rsidP="00057B42">
      <w:pPr>
        <w:spacing w:after="240" w:line="360" w:lineRule="auto"/>
        <w:rPr>
          <w:rFonts w:eastAsia="Times New Roman"/>
          <w:color w:val="0D0D0D"/>
          <w:sz w:val="16"/>
          <w:szCs w:val="16"/>
          <w:lang w:eastAsia="en-US"/>
        </w:rPr>
      </w:pPr>
    </w:p>
    <w:p w:rsidR="006B72EF" w:rsidRDefault="006B72EF" w:rsidP="00645687">
      <w:pPr>
        <w:pStyle w:val="Heading3"/>
      </w:pPr>
      <w:r w:rsidRPr="006B72EF">
        <w:br w:type="page"/>
      </w:r>
      <w:r w:rsidRPr="006B72EF">
        <w:lastRenderedPageBreak/>
        <w:tab/>
      </w:r>
      <w:bookmarkStart w:id="1425" w:name="_Toc279658483"/>
      <w:bookmarkStart w:id="1426" w:name="_Toc306570709"/>
      <w:bookmarkStart w:id="1427" w:name="_Toc307067770"/>
      <w:bookmarkStart w:id="1428" w:name="_Toc312169341"/>
      <w:bookmarkStart w:id="1429" w:name="_Toc312172268"/>
      <w:bookmarkStart w:id="1430" w:name="_Toc312257817"/>
      <w:r w:rsidRPr="006B72EF">
        <w:t>Statistical analysis</w:t>
      </w:r>
      <w:bookmarkEnd w:id="1425"/>
      <w:bookmarkEnd w:id="1426"/>
      <w:bookmarkEnd w:id="1427"/>
      <w:bookmarkEnd w:id="1428"/>
      <w:bookmarkEnd w:id="1429"/>
      <w:bookmarkEnd w:id="1430"/>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Statistical analysis was performed with SPSS Statistics 17.0. A paired sample t-test was constructed. A Paired sample t-test is a statistical technique that is used to compare means in the case of correlated samples. This test allowed us to calculate the changes in serum concentration of protein biomarkers between various aliquots within a single sample. A p value of ≤ 0.05 is considered a statistically significant difference. The Paired sample t-test was repeated for each of potential biomarkers (SAA, Hp and VDB). </w:t>
      </w:r>
    </w:p>
    <w:p w:rsidR="006B72EF" w:rsidRDefault="005A465F" w:rsidP="00645687">
      <w:pPr>
        <w:pStyle w:val="Heading4"/>
      </w:pPr>
      <w:bookmarkStart w:id="1431" w:name="_Toc279658484"/>
      <w:bookmarkStart w:id="1432" w:name="_Toc306570710"/>
      <w:bookmarkStart w:id="1433" w:name="_Toc307067771"/>
      <w:r>
        <w:tab/>
        <w:t xml:space="preserve"> </w:t>
      </w:r>
      <w:bookmarkStart w:id="1434" w:name="_Toc312169342"/>
      <w:bookmarkStart w:id="1435" w:name="_Toc312172269"/>
      <w:bookmarkStart w:id="1436" w:name="_Toc312257818"/>
      <w:r w:rsidR="006B72EF" w:rsidRPr="006B72EF">
        <w:t>First Planned paired analysis</w:t>
      </w:r>
      <w:bookmarkEnd w:id="1431"/>
      <w:bookmarkEnd w:id="1432"/>
      <w:bookmarkEnd w:id="1433"/>
      <w:bookmarkEnd w:id="1434"/>
      <w:bookmarkEnd w:id="1435"/>
      <w:bookmarkEnd w:id="1436"/>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the first planned paired sample t-test analysis, five pairs were devised using aliquots One, Three, Five, Seven and Nine and pairing them it with aliquots Two, Four, Six, Eight and Ten. The purpose of this analysis was to investigate the influence of various storage temperatures by direct comparison of the serum aliquots stored at -20°C versus -80°C. </w:t>
      </w:r>
    </w:p>
    <w:p w:rsidR="006B72EF" w:rsidRDefault="005A465F" w:rsidP="00645687">
      <w:pPr>
        <w:pStyle w:val="Heading4"/>
      </w:pPr>
      <w:bookmarkStart w:id="1437" w:name="_Toc306570711"/>
      <w:bookmarkStart w:id="1438" w:name="_Toc307067772"/>
      <w:r>
        <w:tab/>
        <w:t xml:space="preserve"> </w:t>
      </w:r>
      <w:bookmarkStart w:id="1439" w:name="_Toc312169343"/>
      <w:bookmarkStart w:id="1440" w:name="_Toc312172270"/>
      <w:bookmarkStart w:id="1441" w:name="_Toc312257819"/>
      <w:r w:rsidR="006B72EF" w:rsidRPr="006B72EF">
        <w:t>Second planed paired analysis</w:t>
      </w:r>
      <w:bookmarkEnd w:id="1437"/>
      <w:bookmarkEnd w:id="1438"/>
      <w:bookmarkEnd w:id="1439"/>
      <w:bookmarkEnd w:id="1440"/>
      <w:bookmarkEnd w:id="1441"/>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the second planed paired sample t-test analysis, nine pairs were devised using aliquots One, paired with Two, Three, Four, Five, Six, Seven, Eight, Nine and Ten respectively.  The purpose of this particular analysis was to compare our current  stringent protocols for sample collection and storage at -80°C used for aliquot one to the other storage condition outline in table 18.</w:t>
      </w:r>
    </w:p>
    <w:p w:rsidR="005A465F" w:rsidRDefault="005A465F">
      <w:pPr>
        <w:rPr>
          <w:b/>
          <w:bCs/>
          <w:sz w:val="26"/>
          <w:szCs w:val="26"/>
          <w:lang w:eastAsia="en-US"/>
        </w:rPr>
      </w:pPr>
      <w:r>
        <w:br w:type="page"/>
      </w:r>
    </w:p>
    <w:p w:rsidR="006B72EF" w:rsidRDefault="005A465F" w:rsidP="00645687">
      <w:pPr>
        <w:pStyle w:val="Heading4"/>
      </w:pPr>
      <w:bookmarkStart w:id="1442" w:name="_Toc306570712"/>
      <w:bookmarkStart w:id="1443" w:name="_Toc307067773"/>
      <w:r>
        <w:lastRenderedPageBreak/>
        <w:t xml:space="preserve"> </w:t>
      </w:r>
      <w:bookmarkStart w:id="1444" w:name="_Toc312169344"/>
      <w:bookmarkStart w:id="1445" w:name="_Toc312172271"/>
      <w:r w:rsidR="00596404">
        <w:tab/>
      </w:r>
      <w:bookmarkStart w:id="1446" w:name="_Toc312257820"/>
      <w:r w:rsidR="006B72EF" w:rsidRPr="006B72EF">
        <w:t>Serum Haptoglobin</w:t>
      </w:r>
      <w:bookmarkEnd w:id="1442"/>
      <w:bookmarkEnd w:id="1443"/>
      <w:bookmarkEnd w:id="1444"/>
      <w:bookmarkEnd w:id="1445"/>
      <w:bookmarkEnd w:id="1446"/>
    </w:p>
    <w:p w:rsidR="006B72EF" w:rsidRDefault="002A0E81" w:rsidP="00057B42">
      <w:pPr>
        <w:pStyle w:val="Heading5"/>
        <w:spacing w:line="360" w:lineRule="auto"/>
      </w:pPr>
      <w:bookmarkStart w:id="1447" w:name="_Toc279658485"/>
      <w:r>
        <w:tab/>
      </w:r>
      <w:r w:rsidR="006B72EF" w:rsidRPr="006B72EF">
        <w:t>Paired Samples Test Hp 1</w:t>
      </w:r>
      <w:bookmarkEnd w:id="1447"/>
    </w:p>
    <w:p w:rsidR="006B72EF" w:rsidRPr="006B72EF" w:rsidRDefault="006B72EF" w:rsidP="005A465F">
      <w:pPr>
        <w:spacing w:before="240" w:after="240" w:line="360" w:lineRule="auto"/>
        <w:jc w:val="both"/>
        <w:rPr>
          <w:rFonts w:eastAsia="Times New Roman"/>
          <w:color w:val="0D0D0D"/>
          <w:lang w:eastAsia="en-US"/>
        </w:rPr>
      </w:pPr>
      <w:r w:rsidRPr="006B72EF">
        <w:rPr>
          <w:rFonts w:eastAsia="Times New Roman"/>
          <w:color w:val="0D0D0D"/>
          <w:lang w:eastAsia="en-US"/>
        </w:rPr>
        <w:t>In the first planned paired sample t-test analysis for serum Hp level, there was minimal difference between the aliquots stored at var</w:t>
      </w:r>
      <w:r w:rsidR="005A465F">
        <w:rPr>
          <w:rFonts w:eastAsia="Times New Roman"/>
          <w:color w:val="0D0D0D"/>
          <w:lang w:eastAsia="en-US"/>
        </w:rPr>
        <w:t>ious storage conditions (Table 3-20</w:t>
      </w:r>
      <w:r w:rsidRPr="006B72EF">
        <w:rPr>
          <w:rFonts w:eastAsia="Times New Roman"/>
          <w:color w:val="0D0D0D"/>
          <w:lang w:eastAsia="en-US"/>
        </w:rPr>
        <w:t xml:space="preserve">). </w:t>
      </w:r>
      <w:r w:rsidR="005A465F">
        <w:rPr>
          <w:rFonts w:eastAsia="Times New Roman"/>
          <w:color w:val="0D0D0D"/>
          <w:lang w:eastAsia="en-US"/>
        </w:rPr>
        <w:t xml:space="preserve">The result for Pair 1, 2, 3, 4 and </w:t>
      </w:r>
      <w:r w:rsidR="005A465F" w:rsidRPr="006B72EF">
        <w:rPr>
          <w:rFonts w:eastAsia="Times New Roman"/>
          <w:color w:val="0D0D0D"/>
          <w:lang w:eastAsia="en-US"/>
        </w:rPr>
        <w:t xml:space="preserve">5 showed </w:t>
      </w:r>
      <w:r w:rsidRPr="006B72EF">
        <w:rPr>
          <w:rFonts w:eastAsia="Times New Roman"/>
          <w:color w:val="0D0D0D"/>
          <w:lang w:eastAsia="en-US"/>
        </w:rPr>
        <w:t xml:space="preserve">that differences in level of Hp at various storage times </w:t>
      </w:r>
      <w:r w:rsidR="0010315E">
        <w:rPr>
          <w:rFonts w:eastAsia="Times New Roman"/>
          <w:color w:val="0D0D0D"/>
          <w:lang w:eastAsia="en-US"/>
        </w:rPr>
        <w:t>and</w:t>
      </w:r>
      <w:r w:rsidRPr="006B72EF">
        <w:rPr>
          <w:rFonts w:eastAsia="Times New Roman"/>
          <w:color w:val="0D0D0D"/>
          <w:lang w:eastAsia="en-US"/>
        </w:rPr>
        <w:t xml:space="preserve"> temperatures were not statistically significant with </w:t>
      </w:r>
      <w:r w:rsidRPr="006B72EF">
        <w:rPr>
          <w:rFonts w:eastAsia="Times New Roman"/>
          <w:i/>
          <w:color w:val="0D0D0D"/>
          <w:lang w:eastAsia="en-US"/>
        </w:rPr>
        <w:t>p</w:t>
      </w:r>
      <w:r w:rsidRPr="006B72EF">
        <w:rPr>
          <w:rFonts w:eastAsia="Times New Roman"/>
          <w:color w:val="0D0D0D"/>
          <w:lang w:eastAsia="en-US"/>
        </w:rPr>
        <w:t xml:space="preserve"> values of  0.211, 0.405, 0.3</w:t>
      </w:r>
      <w:r w:rsidR="00AB26BE">
        <w:rPr>
          <w:rFonts w:eastAsia="Times New Roman"/>
          <w:color w:val="0D0D0D"/>
          <w:lang w:eastAsia="en-US"/>
        </w:rPr>
        <w:t>74, 0.727, 0.222 respectively (T</w:t>
      </w:r>
      <w:r w:rsidRPr="006B72EF">
        <w:rPr>
          <w:rFonts w:eastAsia="Times New Roman"/>
          <w:color w:val="0D0D0D"/>
          <w:lang w:eastAsia="en-US"/>
        </w:rPr>
        <w:t xml:space="preserve">able </w:t>
      </w:r>
      <w:r w:rsidR="00AB26BE">
        <w:rPr>
          <w:rFonts w:eastAsia="Times New Roman"/>
          <w:color w:val="0D0D0D"/>
          <w:lang w:eastAsia="en-US"/>
        </w:rPr>
        <w:t>3-20</w:t>
      </w:r>
      <w:r w:rsidRPr="006B72EF">
        <w:rPr>
          <w:rFonts w:eastAsia="Times New Roman"/>
          <w:color w:val="0D0D0D"/>
          <w:lang w:eastAsia="en-US"/>
        </w:rPr>
        <w:t xml:space="preserve">). </w:t>
      </w:r>
    </w:p>
    <w:p w:rsidR="006B72EF" w:rsidRPr="006B72EF" w:rsidRDefault="006B72EF" w:rsidP="00057B42">
      <w:pPr>
        <w:spacing w:after="240" w:line="360" w:lineRule="auto"/>
        <w:contextualSpacing/>
        <w:jc w:val="center"/>
        <w:rPr>
          <w:rFonts w:eastAsia="Times New Roman"/>
          <w:b/>
          <w:color w:val="0D0D0D"/>
          <w:lang w:eastAsia="en-US"/>
        </w:rPr>
      </w:pPr>
      <w:r w:rsidRPr="006B72EF">
        <w:rPr>
          <w:rFonts w:eastAsia="Times New Roman"/>
          <w:b/>
          <w:color w:val="0D0D0D"/>
          <w:lang w:eastAsia="en-US"/>
        </w:rPr>
        <w:t>Paired Samples Test Hp 1</w:t>
      </w:r>
    </w:p>
    <w:tbl>
      <w:tblPr>
        <w:tblW w:w="50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80"/>
        <w:gridCol w:w="6686"/>
        <w:gridCol w:w="844"/>
      </w:tblGrid>
      <w:tr w:rsidR="006B72EF" w:rsidRPr="006B72EF" w:rsidTr="006B72EF">
        <w:trPr>
          <w:cantSplit/>
          <w:trHeight w:val="1383"/>
          <w:tblHeader/>
        </w:trPr>
        <w:tc>
          <w:tcPr>
            <w:tcW w:w="4492" w:type="pct"/>
            <w:gridSpan w:val="2"/>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i/>
                <w:color w:val="0D0D0D"/>
                <w:lang w:eastAsia="en-US"/>
              </w:rPr>
              <w:t>p</w:t>
            </w:r>
            <w:r w:rsidRPr="006B72EF">
              <w:rPr>
                <w:rFonts w:eastAsia="Times New Roman"/>
                <w:color w:val="0D0D0D"/>
                <w:lang w:eastAsia="en-US"/>
              </w:rPr>
              <w:t>=</w:t>
            </w:r>
          </w:p>
        </w:tc>
      </w:tr>
      <w:tr w:rsidR="006B72EF" w:rsidRPr="006B72EF" w:rsidTr="006B72EF">
        <w:trPr>
          <w:cantSplit/>
          <w:trHeight w:val="884"/>
          <w:tblHeader/>
        </w:trPr>
        <w:tc>
          <w:tcPr>
            <w:tcW w:w="469"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1</w:t>
            </w:r>
          </w:p>
        </w:tc>
        <w:tc>
          <w:tcPr>
            <w:tcW w:w="4023"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Stored in -20ºC</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0.211</w:t>
            </w:r>
          </w:p>
        </w:tc>
      </w:tr>
      <w:tr w:rsidR="006B72EF" w:rsidRPr="006B72EF" w:rsidTr="006B72EF">
        <w:trPr>
          <w:cantSplit/>
          <w:trHeight w:val="857"/>
          <w:tblHeader/>
        </w:trPr>
        <w:tc>
          <w:tcPr>
            <w:tcW w:w="469"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2</w:t>
            </w:r>
          </w:p>
        </w:tc>
        <w:tc>
          <w:tcPr>
            <w:tcW w:w="4023"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RT for one day then -80ºC - RT for one day then -20ºC</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0.405</w:t>
            </w:r>
          </w:p>
        </w:tc>
      </w:tr>
      <w:tr w:rsidR="006B72EF" w:rsidRPr="006B72EF" w:rsidTr="006B72EF">
        <w:trPr>
          <w:cantSplit/>
          <w:trHeight w:val="884"/>
          <w:tblHeader/>
        </w:trPr>
        <w:tc>
          <w:tcPr>
            <w:tcW w:w="469"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3</w:t>
            </w:r>
          </w:p>
        </w:tc>
        <w:tc>
          <w:tcPr>
            <w:tcW w:w="4023"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RT for four days </w:t>
            </w:r>
            <w:r w:rsidR="004D56C5" w:rsidRPr="006B72EF">
              <w:rPr>
                <w:rFonts w:eastAsia="Times New Roman"/>
                <w:color w:val="0D0D0D"/>
                <w:lang w:eastAsia="en-US"/>
              </w:rPr>
              <w:t>than</w:t>
            </w:r>
            <w:r w:rsidRPr="006B72EF">
              <w:rPr>
                <w:rFonts w:eastAsia="Times New Roman"/>
                <w:color w:val="0D0D0D"/>
                <w:lang w:eastAsia="en-US"/>
              </w:rPr>
              <w:t xml:space="preserve">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0.374</w:t>
            </w:r>
          </w:p>
        </w:tc>
      </w:tr>
      <w:tr w:rsidR="006B72EF" w:rsidRPr="006B72EF" w:rsidTr="006B72EF">
        <w:trPr>
          <w:cantSplit/>
          <w:trHeight w:val="884"/>
          <w:tblHeader/>
        </w:trPr>
        <w:tc>
          <w:tcPr>
            <w:tcW w:w="469"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4</w:t>
            </w:r>
          </w:p>
        </w:tc>
        <w:tc>
          <w:tcPr>
            <w:tcW w:w="4023"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+4°C for one day then -80ºC - +4°C for one day then -20ºC</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0.727</w:t>
            </w:r>
          </w:p>
        </w:tc>
      </w:tr>
      <w:tr w:rsidR="006B72EF" w:rsidRPr="006B72EF" w:rsidTr="006B72EF">
        <w:trPr>
          <w:cantSplit/>
          <w:trHeight w:val="1117"/>
        </w:trPr>
        <w:tc>
          <w:tcPr>
            <w:tcW w:w="469"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5</w:t>
            </w:r>
          </w:p>
        </w:tc>
        <w:tc>
          <w:tcPr>
            <w:tcW w:w="4023" w:type="pct"/>
            <w:shd w:val="clear" w:color="auto" w:fill="FFFFFF"/>
            <w:vAlign w:val="center"/>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+4°C for four days </w:t>
            </w:r>
            <w:r w:rsidR="004D56C5" w:rsidRPr="006B72EF">
              <w:rPr>
                <w:rFonts w:eastAsia="Times New Roman"/>
                <w:color w:val="0D0D0D"/>
                <w:lang w:eastAsia="en-US"/>
              </w:rPr>
              <w:t>than</w:t>
            </w:r>
            <w:r w:rsidRPr="006B72EF">
              <w:rPr>
                <w:rFonts w:eastAsia="Times New Roman"/>
                <w:color w:val="0D0D0D"/>
                <w:lang w:eastAsia="en-US"/>
              </w:rPr>
              <w:t xml:space="preserve">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08"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0.222</w:t>
            </w:r>
          </w:p>
        </w:tc>
      </w:tr>
    </w:tbl>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20</w:t>
      </w:r>
      <w:r w:rsidR="00B55EFC">
        <w:rPr>
          <w:rFonts w:eastAsia="Times New Roman"/>
          <w:b/>
          <w:color w:val="0D0D0D"/>
          <w:lang w:eastAsia="en-US"/>
        </w:rPr>
        <w:fldChar w:fldCharType="end"/>
      </w:r>
      <w:r w:rsidRPr="006B72EF">
        <w:rPr>
          <w:rFonts w:eastAsia="Times New Roman"/>
          <w:b/>
          <w:color w:val="0D0D0D"/>
          <w:lang w:eastAsia="en-US"/>
        </w:rPr>
        <w:t xml:space="preserve"> shows planned paired sample t-test (1) analysis for serum Hp level. This is an analysis of the effect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Hp level, using a paired sample t-test. The 3rd column shows associated p value. The result shows that there were no statistical significant alterations in Hp level in all 5 compared pairs (</w:t>
      </w:r>
      <w:r w:rsidRPr="00AB26BE">
        <w:rPr>
          <w:rFonts w:eastAsia="Times New Roman"/>
          <w:b/>
          <w:i/>
          <w:color w:val="0D0D0D"/>
          <w:lang w:eastAsia="en-US"/>
        </w:rPr>
        <w:t>p</w:t>
      </w:r>
      <w:r w:rsidRPr="006B72EF">
        <w:rPr>
          <w:rFonts w:eastAsia="Times New Roman"/>
          <w:b/>
          <w:color w:val="0D0D0D"/>
          <w:lang w:eastAsia="en-US"/>
        </w:rPr>
        <w:t>≤ 0.05). Abbreviations; RT: room temperature, Hp: Haptoglobin.</w:t>
      </w:r>
    </w:p>
    <w:p w:rsidR="00AB26BE" w:rsidRDefault="00AB26BE" w:rsidP="00057B42">
      <w:pPr>
        <w:spacing w:after="240" w:line="360" w:lineRule="auto"/>
        <w:jc w:val="both"/>
        <w:rPr>
          <w:rFonts w:eastAsia="Times New Roman"/>
          <w:b/>
          <w:color w:val="0D0D0D"/>
          <w:lang w:eastAsia="en-US"/>
        </w:rPr>
      </w:pPr>
    </w:p>
    <w:p w:rsidR="006B72EF" w:rsidRPr="006B72EF" w:rsidRDefault="00044963" w:rsidP="00057B42">
      <w:pPr>
        <w:pStyle w:val="Heading5"/>
        <w:spacing w:line="360" w:lineRule="auto"/>
      </w:pPr>
      <w:r>
        <w:lastRenderedPageBreak/>
        <w:tab/>
      </w:r>
      <w:r w:rsidR="006B72EF" w:rsidRPr="006B72EF">
        <w:t xml:space="preserve">Paired Samples Test Hp 2 </w:t>
      </w:r>
    </w:p>
    <w:p w:rsidR="006B72EF" w:rsidRPr="006B72EF" w:rsidRDefault="006B72EF" w:rsidP="005A465F">
      <w:pPr>
        <w:spacing w:before="240" w:after="240" w:line="360" w:lineRule="auto"/>
        <w:jc w:val="both"/>
        <w:rPr>
          <w:rFonts w:eastAsia="Times New Roman"/>
          <w:color w:val="0D0D0D"/>
          <w:lang w:eastAsia="en-US"/>
        </w:rPr>
      </w:pPr>
      <w:r w:rsidRPr="006B72EF">
        <w:rPr>
          <w:rFonts w:eastAsia="Times New Roman"/>
          <w:color w:val="0D0D0D"/>
          <w:lang w:eastAsia="en-US"/>
        </w:rPr>
        <w:t>In the second planned paired sample t-test analysis for Hp level, there was minimal difference between the aliquots stored at vari</w:t>
      </w:r>
      <w:r w:rsidR="00D7041F">
        <w:rPr>
          <w:rFonts w:eastAsia="Times New Roman"/>
          <w:color w:val="0D0D0D"/>
          <w:lang w:eastAsia="en-US"/>
        </w:rPr>
        <w:t>ous storage conditions</w:t>
      </w:r>
      <w:r w:rsidRPr="006B72EF">
        <w:rPr>
          <w:rFonts w:eastAsia="Times New Roman"/>
          <w:color w:val="0D0D0D"/>
          <w:lang w:eastAsia="en-US"/>
        </w:rPr>
        <w:t xml:space="preserve">. </w:t>
      </w:r>
      <w:r w:rsidR="00AB26BE" w:rsidRPr="006B72EF">
        <w:rPr>
          <w:rFonts w:eastAsia="Times New Roman"/>
          <w:color w:val="0D0D0D"/>
          <w:lang w:eastAsia="en-US"/>
        </w:rPr>
        <w:t>The result for Pair</w:t>
      </w:r>
      <w:r w:rsidR="00AB26BE">
        <w:rPr>
          <w:rFonts w:eastAsia="Times New Roman"/>
          <w:color w:val="0D0D0D"/>
          <w:lang w:eastAsia="en-US"/>
        </w:rPr>
        <w:t xml:space="preserve">s 1, 2, 3, 4, 5, 6, 7, 8, </w:t>
      </w:r>
      <w:r w:rsidR="00AB26BE" w:rsidRPr="006B72EF">
        <w:rPr>
          <w:rFonts w:eastAsia="Times New Roman"/>
          <w:color w:val="0D0D0D"/>
          <w:lang w:eastAsia="en-US"/>
        </w:rPr>
        <w:t>9, showed</w:t>
      </w:r>
      <w:r w:rsidR="00AB26BE">
        <w:rPr>
          <w:rFonts w:eastAsia="Times New Roman"/>
          <w:color w:val="0D0D0D"/>
          <w:lang w:eastAsia="en-US"/>
        </w:rPr>
        <w:t xml:space="preserve"> </w:t>
      </w:r>
      <w:r w:rsidRPr="006B72EF">
        <w:rPr>
          <w:rFonts w:eastAsia="Times New Roman"/>
          <w:color w:val="0D0D0D"/>
          <w:lang w:eastAsia="en-US"/>
        </w:rPr>
        <w:t xml:space="preserve">that, serum concentration of Hp at various storage times </w:t>
      </w:r>
      <w:r w:rsidR="0010315E">
        <w:rPr>
          <w:rFonts w:eastAsia="Times New Roman"/>
          <w:color w:val="0D0D0D"/>
          <w:lang w:eastAsia="en-US"/>
        </w:rPr>
        <w:t>and</w:t>
      </w:r>
      <w:r w:rsidRPr="006B72EF">
        <w:rPr>
          <w:rFonts w:eastAsia="Times New Roman"/>
          <w:color w:val="0D0D0D"/>
          <w:lang w:eastAsia="en-US"/>
        </w:rPr>
        <w:t xml:space="preserve"> temperatures were not statistically significant with </w:t>
      </w:r>
      <w:r w:rsidRPr="00AB26BE">
        <w:rPr>
          <w:rFonts w:eastAsia="Times New Roman"/>
          <w:i/>
          <w:color w:val="0D0D0D"/>
          <w:lang w:eastAsia="en-US"/>
        </w:rPr>
        <w:t>p</w:t>
      </w:r>
      <w:r w:rsidRPr="006B72EF">
        <w:rPr>
          <w:rFonts w:eastAsia="Times New Roman"/>
          <w:color w:val="0D0D0D"/>
          <w:lang w:eastAsia="en-US"/>
        </w:rPr>
        <w:t xml:space="preserve"> value of  0.211, 0.929, 0.302, 0.592, 0.900, 0.832, 0.743, 0.474, 0.136 respectively (Table </w:t>
      </w:r>
      <w:r w:rsidR="00D7041F">
        <w:rPr>
          <w:rFonts w:eastAsia="Times New Roman"/>
          <w:color w:val="0D0D0D"/>
          <w:lang w:eastAsia="en-US"/>
        </w:rPr>
        <w:t>3-</w:t>
      </w:r>
      <w:r w:rsidRPr="006B72EF">
        <w:rPr>
          <w:rFonts w:eastAsia="Times New Roman"/>
          <w:color w:val="0D0D0D"/>
          <w:lang w:eastAsia="en-US"/>
        </w:rPr>
        <w:t>2</w:t>
      </w:r>
      <w:r w:rsidR="00D7041F">
        <w:rPr>
          <w:rFonts w:eastAsia="Times New Roman"/>
          <w:color w:val="0D0D0D"/>
          <w:lang w:eastAsia="en-US"/>
        </w:rPr>
        <w:t>1</w:t>
      </w:r>
      <w:r w:rsidRPr="006B72EF">
        <w:rPr>
          <w:rFonts w:eastAsia="Times New Roman"/>
          <w:color w:val="0D0D0D"/>
          <w:lang w:eastAsia="en-US"/>
        </w:rPr>
        <w:t xml:space="preserve">). </w:t>
      </w:r>
    </w:p>
    <w:tbl>
      <w:tblPr>
        <w:tblW w:w="5036"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943"/>
        <w:gridCol w:w="6375"/>
        <w:gridCol w:w="904"/>
      </w:tblGrid>
      <w:tr w:rsidR="006B72EF" w:rsidRPr="006B72EF" w:rsidTr="006B72EF">
        <w:trPr>
          <w:cantSplit/>
          <w:trHeight w:val="693"/>
          <w:tblHeader/>
        </w:trPr>
        <w:tc>
          <w:tcPr>
            <w:tcW w:w="5000" w:type="pct"/>
            <w:gridSpan w:val="3"/>
            <w:tcBorders>
              <w:top w:val="nil"/>
              <w:left w:val="nil"/>
              <w:bottom w:val="single" w:sz="4" w:space="0" w:color="auto"/>
              <w:right w:val="nil"/>
            </w:tcBorders>
            <w:shd w:val="clear" w:color="auto" w:fill="FFFFFF"/>
            <w:vAlign w:val="center"/>
          </w:tcPr>
          <w:p w:rsidR="006B72EF" w:rsidRPr="006B72EF" w:rsidRDefault="006B72EF" w:rsidP="00057B42">
            <w:pPr>
              <w:spacing w:after="240" w:line="360" w:lineRule="auto"/>
              <w:jc w:val="center"/>
              <w:rPr>
                <w:rFonts w:eastAsia="Times New Roman"/>
                <w:b/>
                <w:color w:val="0D0D0D"/>
                <w:lang w:eastAsia="en-US"/>
              </w:rPr>
            </w:pPr>
            <w:r w:rsidRPr="006B72EF">
              <w:rPr>
                <w:rFonts w:eastAsia="Times New Roman"/>
                <w:b/>
                <w:color w:val="0D0D0D"/>
                <w:lang w:eastAsia="en-US"/>
              </w:rPr>
              <w:t>Paired Samples Test Hp 2</w:t>
            </w:r>
          </w:p>
        </w:tc>
      </w:tr>
      <w:tr w:rsidR="006B72EF" w:rsidRPr="006B72EF" w:rsidTr="006B72EF">
        <w:trPr>
          <w:cantSplit/>
          <w:trHeight w:val="1091"/>
          <w:tblHeader/>
        </w:trPr>
        <w:tc>
          <w:tcPr>
            <w:tcW w:w="4450" w:type="pct"/>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i/>
                <w:color w:val="0D0D0D"/>
                <w:lang w:eastAsia="en-US"/>
              </w:rPr>
              <w:t>P</w:t>
            </w:r>
            <w:r w:rsidRPr="006B72EF">
              <w:rPr>
                <w:rFonts w:eastAsia="Times New Roman"/>
                <w:color w:val="0D0D0D"/>
                <w:lang w:eastAsia="en-US"/>
              </w:rPr>
              <w:t>=</w:t>
            </w:r>
          </w:p>
        </w:tc>
      </w:tr>
      <w:tr w:rsidR="006B72EF" w:rsidRPr="006B72EF" w:rsidTr="006B72EF">
        <w:trPr>
          <w:cantSplit/>
          <w:trHeight w:val="850"/>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1</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Stored in -20ºC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0.211</w:t>
            </w:r>
          </w:p>
        </w:tc>
      </w:tr>
      <w:tr w:rsidR="006B72EF" w:rsidRPr="006B72EF" w:rsidTr="006B72EF">
        <w:trPr>
          <w:cantSplit/>
          <w:trHeight w:val="850"/>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2</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RT for one day then -80ºC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0.929</w:t>
            </w:r>
          </w:p>
        </w:tc>
      </w:tr>
      <w:tr w:rsidR="006B72EF" w:rsidRPr="006B72EF" w:rsidTr="006B72EF">
        <w:trPr>
          <w:cantSplit/>
          <w:trHeight w:val="825"/>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3</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RT for one day then -20ºC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0.302</w:t>
            </w:r>
          </w:p>
        </w:tc>
      </w:tr>
      <w:tr w:rsidR="006B72EF" w:rsidRPr="006B72EF" w:rsidTr="006B72EF">
        <w:trPr>
          <w:cantSplit/>
          <w:trHeight w:val="850"/>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4</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0.592</w:t>
            </w:r>
          </w:p>
        </w:tc>
      </w:tr>
      <w:tr w:rsidR="006B72EF" w:rsidRPr="006B72EF" w:rsidTr="006B72EF">
        <w:trPr>
          <w:cantSplit/>
          <w:trHeight w:val="850"/>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5</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0.900</w:t>
            </w:r>
          </w:p>
        </w:tc>
      </w:tr>
      <w:tr w:rsidR="006B72EF" w:rsidRPr="006B72EF" w:rsidTr="006B72EF">
        <w:trPr>
          <w:cantSplit/>
          <w:trHeight w:val="825"/>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6</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+4°C for one day then -80ºC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0.832</w:t>
            </w:r>
          </w:p>
        </w:tc>
      </w:tr>
      <w:tr w:rsidR="006B72EF" w:rsidRPr="006B72EF" w:rsidTr="006B72EF">
        <w:trPr>
          <w:cantSplit/>
          <w:trHeight w:val="850"/>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7</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+4°C for one day then -20ºC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0.743</w:t>
            </w:r>
          </w:p>
        </w:tc>
      </w:tr>
      <w:tr w:rsidR="006B72EF" w:rsidRPr="006B72EF" w:rsidTr="006B72EF">
        <w:trPr>
          <w:cantSplit/>
          <w:trHeight w:val="825"/>
          <w:tblHeader/>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8</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0.474</w:t>
            </w:r>
          </w:p>
        </w:tc>
      </w:tr>
      <w:tr w:rsidR="006B72EF" w:rsidRPr="006B72EF" w:rsidTr="006B72EF">
        <w:trPr>
          <w:cantSplit/>
          <w:trHeight w:val="154"/>
        </w:trPr>
        <w:tc>
          <w:tcPr>
            <w:tcW w:w="57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9</w:t>
            </w:r>
          </w:p>
        </w:tc>
        <w:tc>
          <w:tcPr>
            <w:tcW w:w="3877"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50"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0.136</w:t>
            </w:r>
          </w:p>
        </w:tc>
      </w:tr>
    </w:tbl>
    <w:p w:rsidR="006B72EF" w:rsidRPr="006B72EF" w:rsidRDefault="006B72EF" w:rsidP="00057B42">
      <w:pPr>
        <w:spacing w:after="240" w:line="360" w:lineRule="auto"/>
        <w:jc w:val="both"/>
        <w:rPr>
          <w:rFonts w:eastAsia="Times New Roman"/>
          <w:b/>
          <w:color w:val="0D0D0D"/>
          <w:lang w:eastAsia="en-US"/>
        </w:rPr>
      </w:pPr>
    </w:p>
    <w:p w:rsidR="00AB26BE" w:rsidRDefault="006B72EF" w:rsidP="00057B42">
      <w:pPr>
        <w:pBdr>
          <w:bottom w:val="single" w:sz="12" w:space="1" w:color="auto"/>
        </w:pBdr>
        <w:spacing w:after="240" w:line="360" w:lineRule="auto"/>
        <w:jc w:val="both"/>
        <w:rPr>
          <w:rFonts w:eastAsia="Times New Roman"/>
          <w:b/>
          <w:color w:val="0D0D0D"/>
          <w:lang w:eastAsia="en-US"/>
        </w:rPr>
      </w:pPr>
      <w:r w:rsidRPr="006B72EF">
        <w:rPr>
          <w:rFonts w:eastAsia="Times New Roman"/>
          <w:b/>
          <w:color w:val="0D0D0D"/>
          <w:lang w:eastAsia="en-US"/>
        </w:rPr>
        <w:lastRenderedPageBreak/>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21</w:t>
      </w:r>
      <w:r w:rsidR="00B55EFC">
        <w:rPr>
          <w:rFonts w:eastAsia="Times New Roman"/>
          <w:b/>
          <w:color w:val="0D0D0D"/>
          <w:lang w:eastAsia="en-US"/>
        </w:rPr>
        <w:fldChar w:fldCharType="end"/>
      </w:r>
      <w:r w:rsidRPr="006B72EF">
        <w:rPr>
          <w:rFonts w:eastAsia="Times New Roman"/>
          <w:b/>
          <w:color w:val="0D0D0D"/>
          <w:lang w:eastAsia="en-US"/>
        </w:rPr>
        <w:t xml:space="preserve"> shows planned paired sample t-test (2) analysis for Hp level. This is an analysis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Hp level, using a paired sample t-test. The 3rd column shows associated </w:t>
      </w:r>
      <w:r w:rsidRPr="00AB26BE">
        <w:rPr>
          <w:rFonts w:eastAsia="Times New Roman"/>
          <w:b/>
          <w:i/>
          <w:color w:val="0D0D0D"/>
          <w:lang w:eastAsia="en-US"/>
        </w:rPr>
        <w:t xml:space="preserve">p </w:t>
      </w:r>
      <w:r w:rsidRPr="006B72EF">
        <w:rPr>
          <w:rFonts w:eastAsia="Times New Roman"/>
          <w:b/>
          <w:color w:val="0D0D0D"/>
          <w:lang w:eastAsia="en-US"/>
        </w:rPr>
        <w:t>value. The result shows that there were no statistical significant changes in Hp level in all nine pairs (</w:t>
      </w:r>
      <w:r w:rsidRPr="00AB26BE">
        <w:rPr>
          <w:rFonts w:eastAsia="Times New Roman"/>
          <w:b/>
          <w:i/>
          <w:color w:val="0D0D0D"/>
          <w:lang w:eastAsia="en-US"/>
        </w:rPr>
        <w:t>p</w:t>
      </w:r>
      <w:r w:rsidRPr="006B72EF">
        <w:rPr>
          <w:rFonts w:eastAsia="Times New Roman"/>
          <w:b/>
          <w:color w:val="0D0D0D"/>
          <w:lang w:eastAsia="en-US"/>
        </w:rPr>
        <w:t>≤ 0.05). This was a direct comparison of aliquots stored at -80°C using stringent protocols for sample storage with aliquots stored at other storage conditions. Abbreviations; RT: ro</w:t>
      </w:r>
      <w:r w:rsidR="00655AF9">
        <w:rPr>
          <w:rFonts w:eastAsia="Times New Roman"/>
          <w:b/>
          <w:color w:val="0D0D0D"/>
          <w:lang w:eastAsia="en-US"/>
        </w:rPr>
        <w:t>om temperature, Hp: Haptoglobin.</w:t>
      </w:r>
      <w:r w:rsidR="00605284">
        <w:rPr>
          <w:rFonts w:eastAsia="Times New Roman"/>
          <w:b/>
          <w:color w:val="0D0D0D"/>
          <w:lang w:eastAsia="en-US"/>
        </w:rPr>
        <w:t xml:space="preserve"> </w:t>
      </w:r>
    </w:p>
    <w:p w:rsidR="00424953" w:rsidRDefault="00424953" w:rsidP="00057B42">
      <w:pPr>
        <w:pBdr>
          <w:bottom w:val="single" w:sz="12" w:space="1" w:color="auto"/>
        </w:pBd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b/>
          <w:color w:val="0D0D0D"/>
          <w:lang w:eastAsia="en-US"/>
        </w:rPr>
      </w:pPr>
    </w:p>
    <w:p w:rsidR="006B72EF" w:rsidRDefault="00655AF9" w:rsidP="00645687">
      <w:pPr>
        <w:pStyle w:val="Heading4"/>
      </w:pPr>
      <w:r>
        <w:tab/>
      </w:r>
      <w:bookmarkStart w:id="1448" w:name="_Toc306570713"/>
      <w:bookmarkStart w:id="1449" w:name="_Toc307067774"/>
      <w:bookmarkStart w:id="1450" w:name="_Toc312169345"/>
      <w:bookmarkStart w:id="1451" w:name="_Toc312172272"/>
      <w:bookmarkStart w:id="1452" w:name="_Toc312257821"/>
      <w:r w:rsidR="006B72EF" w:rsidRPr="006B72EF">
        <w:t>Serum Amyloid A protein (SAA)</w:t>
      </w:r>
      <w:bookmarkEnd w:id="1448"/>
      <w:bookmarkEnd w:id="1449"/>
      <w:bookmarkEnd w:id="1450"/>
      <w:bookmarkEnd w:id="1451"/>
      <w:bookmarkEnd w:id="1452"/>
    </w:p>
    <w:p w:rsidR="006B72EF" w:rsidRDefault="00605284" w:rsidP="00057B42">
      <w:pPr>
        <w:pStyle w:val="Heading5"/>
        <w:spacing w:line="360" w:lineRule="auto"/>
      </w:pPr>
      <w:r>
        <w:tab/>
      </w:r>
      <w:r w:rsidR="006B72EF" w:rsidRPr="006B72EF">
        <w:t>Paired Samples Test SAA 1</w:t>
      </w:r>
      <w:r w:rsidR="006B72EF" w:rsidRPr="006B72EF">
        <w:tab/>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the first planned paired sample t-test analysis for serum SAA level, apart from one pair, there was no statistical significant difference in SAA level, regardless of storage conditi</w:t>
      </w:r>
      <w:r w:rsidR="00D7041F">
        <w:rPr>
          <w:rFonts w:eastAsia="Times New Roman"/>
          <w:color w:val="0D0D0D"/>
          <w:lang w:eastAsia="en-US"/>
        </w:rPr>
        <w:t>ons</w:t>
      </w:r>
      <w:r w:rsidR="00605284">
        <w:rPr>
          <w:rFonts w:eastAsia="Times New Roman"/>
          <w:color w:val="0D0D0D"/>
          <w:lang w:eastAsia="en-US"/>
        </w:rPr>
        <w:t>. The result for</w:t>
      </w:r>
      <w:r w:rsidRPr="006B72EF">
        <w:rPr>
          <w:rFonts w:eastAsia="Times New Roman"/>
          <w:color w:val="0D0D0D"/>
          <w:lang w:eastAsia="en-US"/>
        </w:rPr>
        <w:t xml:space="preserve"> pair 1 indicates a statistically significant difference in concentration</w:t>
      </w:r>
      <w:r w:rsidR="00605284">
        <w:rPr>
          <w:rFonts w:eastAsia="Times New Roman"/>
          <w:color w:val="0D0D0D"/>
          <w:lang w:eastAsia="en-US"/>
        </w:rPr>
        <w:t xml:space="preserve"> of SAA when aliquot were stored in -80ºC</w:t>
      </w:r>
      <w:r w:rsidRPr="006B72EF">
        <w:rPr>
          <w:rFonts w:eastAsia="Times New Roman"/>
          <w:color w:val="0D0D0D"/>
          <w:lang w:eastAsia="en-US"/>
        </w:rPr>
        <w:t xml:space="preserve"> versus</w:t>
      </w:r>
      <w:r w:rsidR="00605284">
        <w:rPr>
          <w:rFonts w:eastAsia="Times New Roman"/>
          <w:color w:val="0D0D0D"/>
          <w:lang w:eastAsia="en-US"/>
        </w:rPr>
        <w:t xml:space="preserve"> the aliquot stored in -20°C. The</w:t>
      </w:r>
      <w:r w:rsidRPr="006B72EF">
        <w:rPr>
          <w:rFonts w:eastAsia="Times New Roman"/>
          <w:color w:val="0D0D0D"/>
          <w:lang w:eastAsia="en-US"/>
        </w:rPr>
        <w:t xml:space="preserve"> concentration</w:t>
      </w:r>
      <w:r w:rsidR="00605284">
        <w:rPr>
          <w:rFonts w:eastAsia="Times New Roman"/>
          <w:color w:val="0D0D0D"/>
          <w:lang w:eastAsia="en-US"/>
        </w:rPr>
        <w:t xml:space="preserve"> of SAA was higher in the aliquot stored at</w:t>
      </w:r>
      <w:r w:rsidRPr="006B72EF">
        <w:rPr>
          <w:rFonts w:eastAsia="Times New Roman"/>
          <w:color w:val="0D0D0D"/>
          <w:lang w:eastAsia="en-US"/>
        </w:rPr>
        <w:t xml:space="preserve"> -20°C (</w:t>
      </w:r>
      <w:r w:rsidRPr="00605284">
        <w:rPr>
          <w:rFonts w:eastAsia="Times New Roman"/>
          <w:i/>
          <w:color w:val="0D0D0D"/>
          <w:lang w:eastAsia="en-US"/>
        </w:rPr>
        <w:t>p</w:t>
      </w:r>
      <w:r w:rsidRPr="006B72EF">
        <w:rPr>
          <w:rFonts w:eastAsia="Times New Roman"/>
          <w:color w:val="0D0D0D"/>
          <w:lang w:eastAsia="en-US"/>
        </w:rPr>
        <w:t>=0.017).  The effects of storage time and tempera</w:t>
      </w:r>
      <w:r w:rsidR="00AB26BE">
        <w:rPr>
          <w:rFonts w:eastAsia="Times New Roman"/>
          <w:color w:val="0D0D0D"/>
          <w:lang w:eastAsia="en-US"/>
        </w:rPr>
        <w:t xml:space="preserve">ture on results of Pair 2, 3, 4 and </w:t>
      </w:r>
      <w:r w:rsidRPr="006B72EF">
        <w:rPr>
          <w:rFonts w:eastAsia="Times New Roman"/>
          <w:color w:val="0D0D0D"/>
          <w:lang w:eastAsia="en-US"/>
        </w:rPr>
        <w:t xml:space="preserve">5 were not statistically significant with a </w:t>
      </w:r>
      <w:r w:rsidRPr="00AB26BE">
        <w:rPr>
          <w:rFonts w:eastAsia="Times New Roman"/>
          <w:i/>
          <w:color w:val="0D0D0D"/>
          <w:lang w:eastAsia="en-US"/>
        </w:rPr>
        <w:t>p</w:t>
      </w:r>
      <w:r w:rsidRPr="006B72EF">
        <w:rPr>
          <w:rFonts w:eastAsia="Times New Roman"/>
          <w:color w:val="0D0D0D"/>
          <w:lang w:eastAsia="en-US"/>
        </w:rPr>
        <w:t xml:space="preserve"> value of 0.642, 0.646, 0.558 and 0.132 respectively (Table </w:t>
      </w:r>
      <w:r w:rsidR="00655AF9">
        <w:rPr>
          <w:rFonts w:eastAsia="Times New Roman"/>
          <w:color w:val="0D0D0D"/>
          <w:lang w:eastAsia="en-US"/>
        </w:rPr>
        <w:t>3-</w:t>
      </w:r>
      <w:r w:rsidR="00D7041F">
        <w:rPr>
          <w:rFonts w:eastAsia="Times New Roman"/>
          <w:color w:val="0D0D0D"/>
          <w:lang w:eastAsia="en-US"/>
        </w:rPr>
        <w:t>22</w:t>
      </w:r>
      <w:r w:rsidRPr="006B72EF">
        <w:rPr>
          <w:rFonts w:eastAsia="Times New Roman"/>
          <w:color w:val="0D0D0D"/>
          <w:lang w:eastAsia="en-US"/>
        </w:rPr>
        <w:t>).</w:t>
      </w:r>
    </w:p>
    <w:p w:rsidR="006B72EF" w:rsidRPr="006B72EF" w:rsidRDefault="006B72EF" w:rsidP="00057B42">
      <w:pPr>
        <w:spacing w:after="240" w:line="360" w:lineRule="auto"/>
        <w:ind w:firstLine="357"/>
        <w:rPr>
          <w:rFonts w:eastAsia="Times New Roman"/>
          <w:color w:val="0D0D0D"/>
          <w:lang w:eastAsia="en-US"/>
        </w:rPr>
      </w:pPr>
      <w:r w:rsidRPr="006B72EF">
        <w:rPr>
          <w:rFonts w:eastAsia="Times New Roman"/>
          <w:color w:val="0D0D0D"/>
          <w:lang w:eastAsia="en-US"/>
        </w:rPr>
        <w:br w:type="page"/>
      </w:r>
    </w:p>
    <w:p w:rsidR="006B72EF" w:rsidRPr="006B72EF" w:rsidRDefault="006B72EF" w:rsidP="00057B42">
      <w:pPr>
        <w:spacing w:after="240" w:line="360" w:lineRule="auto"/>
        <w:jc w:val="center"/>
        <w:rPr>
          <w:rFonts w:eastAsia="Times New Roman"/>
          <w:b/>
          <w:color w:val="0D0D0D"/>
          <w:lang w:eastAsia="en-US"/>
        </w:rPr>
      </w:pPr>
      <w:r w:rsidRPr="006B72EF">
        <w:rPr>
          <w:rFonts w:eastAsia="Times New Roman"/>
          <w:b/>
          <w:color w:val="0D0D0D"/>
          <w:lang w:eastAsia="en-US"/>
        </w:rPr>
        <w:lastRenderedPageBreak/>
        <w:t>Paired Samples Test SAA 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77"/>
        <w:gridCol w:w="6651"/>
        <w:gridCol w:w="745"/>
      </w:tblGrid>
      <w:tr w:rsidR="006B72EF" w:rsidRPr="006B72EF" w:rsidTr="006B72EF">
        <w:trPr>
          <w:cantSplit/>
          <w:trHeight w:val="336"/>
          <w:tblHeader/>
          <w:jc w:val="center"/>
        </w:trPr>
        <w:tc>
          <w:tcPr>
            <w:tcW w:w="4544" w:type="pct"/>
            <w:gridSpan w:val="2"/>
            <w:shd w:val="clear" w:color="auto" w:fill="FFFFFF"/>
            <w:vAlign w:val="bottom"/>
          </w:tcPr>
          <w:p w:rsidR="006B4C84" w:rsidRDefault="006B4C84" w:rsidP="00057B42">
            <w:pPr>
              <w:spacing w:after="240" w:line="360" w:lineRule="auto"/>
              <w:jc w:val="center"/>
              <w:rPr>
                <w:rFonts w:eastAsia="Times New Roman"/>
                <w:color w:val="0D0D0D"/>
                <w:lang w:eastAsia="en-US"/>
              </w:rPr>
            </w:pPr>
          </w:p>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i/>
                <w:color w:val="0D0D0D"/>
                <w:lang w:eastAsia="en-US"/>
              </w:rPr>
              <w:t>p</w:t>
            </w:r>
            <w:r w:rsidRPr="006B72EF">
              <w:rPr>
                <w:rFonts w:eastAsia="Times New Roman"/>
                <w:color w:val="0D0D0D"/>
                <w:lang w:eastAsia="en-US"/>
              </w:rPr>
              <w:t>=</w:t>
            </w:r>
          </w:p>
        </w:tc>
      </w:tr>
      <w:tr w:rsidR="006B72EF" w:rsidRPr="006B72EF" w:rsidTr="006B72EF">
        <w:trPr>
          <w:cantSplit/>
          <w:trHeight w:val="353"/>
          <w:tblHeader/>
          <w:jc w:val="center"/>
        </w:trPr>
        <w:tc>
          <w:tcPr>
            <w:tcW w:w="475"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1</w:t>
            </w:r>
          </w:p>
        </w:tc>
        <w:tc>
          <w:tcPr>
            <w:tcW w:w="4069"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w:t>
            </w:r>
            <w:r w:rsidRPr="003E43E7">
              <w:rPr>
                <w:rFonts w:eastAsia="Times New Roman"/>
                <w:color w:val="0D0D0D"/>
                <w:vertAlign w:val="superscript"/>
                <w:lang w:eastAsia="en-US"/>
              </w:rPr>
              <w:t>0</w:t>
            </w:r>
            <w:r w:rsidR="00714DB5">
              <w:rPr>
                <w:rFonts w:eastAsia="Times New Roman"/>
                <w:color w:val="0D0D0D"/>
                <w:lang w:eastAsia="en-US"/>
              </w:rPr>
              <w:t>C</w:t>
            </w:r>
            <w:r w:rsidRPr="006B72EF">
              <w:rPr>
                <w:rFonts w:eastAsia="Times New Roman"/>
                <w:color w:val="0D0D0D"/>
                <w:lang w:eastAsia="en-US"/>
              </w:rPr>
              <w:t>- Stored in -20ºC</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0.017</w:t>
            </w:r>
          </w:p>
        </w:tc>
      </w:tr>
      <w:tr w:rsidR="006B72EF" w:rsidRPr="006B72EF" w:rsidTr="006B72EF">
        <w:trPr>
          <w:cantSplit/>
          <w:trHeight w:val="671"/>
          <w:tblHeader/>
          <w:jc w:val="center"/>
        </w:trPr>
        <w:tc>
          <w:tcPr>
            <w:tcW w:w="475"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2</w:t>
            </w:r>
          </w:p>
        </w:tc>
        <w:tc>
          <w:tcPr>
            <w:tcW w:w="4069"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RT for one day then </w:t>
            </w:r>
            <w:r w:rsidR="003E43E7" w:rsidRPr="006B72EF">
              <w:rPr>
                <w:rFonts w:eastAsia="Times New Roman"/>
                <w:color w:val="0D0D0D"/>
                <w:lang w:eastAsia="en-US"/>
              </w:rPr>
              <w:t>-80</w:t>
            </w:r>
            <w:r w:rsidR="003E43E7" w:rsidRPr="003E43E7">
              <w:rPr>
                <w:rFonts w:eastAsia="Times New Roman"/>
                <w:color w:val="0D0D0D"/>
                <w:vertAlign w:val="superscript"/>
                <w:lang w:eastAsia="en-US"/>
              </w:rPr>
              <w:t>0</w:t>
            </w:r>
            <w:r w:rsidR="00714DB5">
              <w:rPr>
                <w:rFonts w:eastAsia="Times New Roman"/>
                <w:color w:val="0D0D0D"/>
                <w:lang w:eastAsia="en-US"/>
              </w:rPr>
              <w:t>C</w:t>
            </w:r>
            <w:r w:rsidRPr="006B72EF">
              <w:rPr>
                <w:rFonts w:eastAsia="Times New Roman"/>
                <w:color w:val="0D0D0D"/>
                <w:lang w:eastAsia="en-US"/>
              </w:rPr>
              <w:t>- RT for one day then -20ºC</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0.642</w:t>
            </w:r>
          </w:p>
        </w:tc>
      </w:tr>
      <w:tr w:rsidR="006B72EF" w:rsidRPr="006B72EF" w:rsidTr="006B72EF">
        <w:trPr>
          <w:cantSplit/>
          <w:trHeight w:val="671"/>
          <w:tblHeader/>
          <w:jc w:val="center"/>
        </w:trPr>
        <w:tc>
          <w:tcPr>
            <w:tcW w:w="475"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3</w:t>
            </w:r>
          </w:p>
        </w:tc>
        <w:tc>
          <w:tcPr>
            <w:tcW w:w="4069"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RT for four days then </w:t>
            </w:r>
            <w:r w:rsidR="003E43E7" w:rsidRPr="006B72EF">
              <w:rPr>
                <w:rFonts w:eastAsia="Times New Roman"/>
                <w:color w:val="0D0D0D"/>
                <w:lang w:eastAsia="en-US"/>
              </w:rPr>
              <w:t>-80</w:t>
            </w:r>
            <w:r w:rsidR="003E43E7" w:rsidRPr="003E43E7">
              <w:rPr>
                <w:rFonts w:eastAsia="Times New Roman"/>
                <w:color w:val="0D0D0D"/>
                <w:vertAlign w:val="superscript"/>
                <w:lang w:eastAsia="en-US"/>
              </w:rPr>
              <w:t>0</w:t>
            </w:r>
            <w:r w:rsidR="00714DB5">
              <w:rPr>
                <w:rFonts w:eastAsia="Times New Roman"/>
                <w:color w:val="0D0D0D"/>
                <w:lang w:eastAsia="en-US"/>
              </w:rPr>
              <w:t>C</w:t>
            </w:r>
            <w:r w:rsidRPr="006B72EF">
              <w:rPr>
                <w:rFonts w:eastAsia="Times New Roman"/>
                <w:color w:val="0D0D0D"/>
                <w:lang w:eastAsia="en-US"/>
              </w:rPr>
              <w:t xml:space="preserve">-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0.646</w:t>
            </w:r>
          </w:p>
        </w:tc>
      </w:tr>
      <w:tr w:rsidR="006B72EF" w:rsidRPr="006B72EF" w:rsidTr="006B72EF">
        <w:trPr>
          <w:cantSplit/>
          <w:trHeight w:val="671"/>
          <w:tblHeader/>
          <w:jc w:val="center"/>
        </w:trPr>
        <w:tc>
          <w:tcPr>
            <w:tcW w:w="475"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4</w:t>
            </w:r>
          </w:p>
        </w:tc>
        <w:tc>
          <w:tcPr>
            <w:tcW w:w="4069"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+4°C for one day then </w:t>
            </w:r>
            <w:r w:rsidR="003E43E7" w:rsidRPr="006B72EF">
              <w:rPr>
                <w:rFonts w:eastAsia="Times New Roman"/>
                <w:color w:val="0D0D0D"/>
                <w:lang w:eastAsia="en-US"/>
              </w:rPr>
              <w:t>-80</w:t>
            </w:r>
            <w:r w:rsidR="003E43E7" w:rsidRPr="003E43E7">
              <w:rPr>
                <w:rFonts w:eastAsia="Times New Roman"/>
                <w:color w:val="0D0D0D"/>
                <w:vertAlign w:val="superscript"/>
                <w:lang w:eastAsia="en-US"/>
              </w:rPr>
              <w:t>0</w:t>
            </w:r>
            <w:r w:rsidR="00714DB5">
              <w:rPr>
                <w:rFonts w:eastAsia="Times New Roman"/>
                <w:color w:val="0D0D0D"/>
                <w:lang w:eastAsia="en-US"/>
              </w:rPr>
              <w:t>C</w:t>
            </w:r>
            <w:r w:rsidRPr="006B72EF">
              <w:rPr>
                <w:rFonts w:eastAsia="Times New Roman"/>
                <w:color w:val="0D0D0D"/>
                <w:lang w:eastAsia="en-US"/>
              </w:rPr>
              <w:t>- +4°C for one day then -20ºC</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0.558</w:t>
            </w:r>
          </w:p>
        </w:tc>
      </w:tr>
      <w:tr w:rsidR="006B72EF" w:rsidRPr="006B72EF" w:rsidTr="006B72EF">
        <w:trPr>
          <w:cantSplit/>
          <w:trHeight w:val="646"/>
          <w:jc w:val="center"/>
        </w:trPr>
        <w:tc>
          <w:tcPr>
            <w:tcW w:w="475"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5</w:t>
            </w:r>
          </w:p>
        </w:tc>
        <w:tc>
          <w:tcPr>
            <w:tcW w:w="4069"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+4°C for four days then </w:t>
            </w:r>
            <w:r w:rsidR="003E43E7" w:rsidRPr="006B72EF">
              <w:rPr>
                <w:rFonts w:eastAsia="Times New Roman"/>
                <w:color w:val="0D0D0D"/>
                <w:lang w:eastAsia="en-US"/>
              </w:rPr>
              <w:t>-80</w:t>
            </w:r>
            <w:r w:rsidR="003E43E7" w:rsidRPr="003E43E7">
              <w:rPr>
                <w:rFonts w:eastAsia="Times New Roman"/>
                <w:color w:val="0D0D0D"/>
                <w:vertAlign w:val="superscript"/>
                <w:lang w:eastAsia="en-US"/>
              </w:rPr>
              <w:t>0</w:t>
            </w:r>
            <w:r w:rsidR="00714DB5">
              <w:rPr>
                <w:rFonts w:eastAsia="Times New Roman"/>
                <w:color w:val="0D0D0D"/>
                <w:lang w:eastAsia="en-US"/>
              </w:rPr>
              <w:t>C</w:t>
            </w:r>
            <w:r w:rsidRPr="006B72EF">
              <w:rPr>
                <w:rFonts w:eastAsia="Times New Roman"/>
                <w:color w:val="0D0D0D"/>
                <w:lang w:eastAsia="en-US"/>
              </w:rPr>
              <w:t xml:space="preserve">-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456"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0.132</w:t>
            </w:r>
          </w:p>
        </w:tc>
      </w:tr>
    </w:tbl>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22</w:t>
      </w:r>
      <w:r w:rsidR="00B55EFC">
        <w:rPr>
          <w:rFonts w:eastAsia="Times New Roman"/>
          <w:b/>
          <w:color w:val="0D0D0D"/>
          <w:lang w:eastAsia="en-US"/>
        </w:rPr>
        <w:fldChar w:fldCharType="end"/>
      </w:r>
      <w:r w:rsidRPr="006B72EF">
        <w:rPr>
          <w:rFonts w:eastAsia="Times New Roman"/>
          <w:b/>
          <w:color w:val="0D0D0D"/>
          <w:lang w:eastAsia="en-US"/>
        </w:rPr>
        <w:t xml:space="preserve"> shows planned paired Samples Test SAA (1) analysis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SAA level, using a paired sample t-test. The 3rd column shows associated </w:t>
      </w:r>
      <w:r w:rsidRPr="00AB26BE">
        <w:rPr>
          <w:rFonts w:eastAsia="Times New Roman"/>
          <w:b/>
          <w:i/>
          <w:color w:val="0D0D0D"/>
          <w:lang w:eastAsia="en-US"/>
        </w:rPr>
        <w:t>p</w:t>
      </w:r>
      <w:r w:rsidRPr="006B72EF">
        <w:rPr>
          <w:rFonts w:eastAsia="Times New Roman"/>
          <w:b/>
          <w:color w:val="0D0D0D"/>
          <w:lang w:eastAsia="en-US"/>
        </w:rPr>
        <w:t xml:space="preserve"> value. The result for pair 1 shows that there is a statistically significant difference in the concentration of SAA in the aliquot stored at -80ºC - versus -20°C. The concentration of SAA was higher in the aliquot stored in -20°C (</w:t>
      </w:r>
      <w:r w:rsidR="0010315E" w:rsidRPr="0010315E">
        <w:rPr>
          <w:rFonts w:eastAsia="Times New Roman"/>
          <w:b/>
          <w:i/>
          <w:color w:val="0D0D0D"/>
          <w:lang w:eastAsia="en-US"/>
        </w:rPr>
        <w:t>p=</w:t>
      </w:r>
      <w:r w:rsidRPr="006B72EF">
        <w:rPr>
          <w:rFonts w:eastAsia="Times New Roman"/>
          <w:b/>
          <w:color w:val="0D0D0D"/>
          <w:lang w:eastAsia="en-US"/>
        </w:rPr>
        <w:t>0.017). There were no statistical significant changes in SAA level in the remaining four pairs (</w:t>
      </w:r>
      <w:r w:rsidRPr="00AB26BE">
        <w:rPr>
          <w:rFonts w:eastAsia="Times New Roman"/>
          <w:b/>
          <w:i/>
          <w:color w:val="0D0D0D"/>
          <w:lang w:eastAsia="en-US"/>
        </w:rPr>
        <w:t>p</w:t>
      </w:r>
      <w:r w:rsidRPr="006B72EF">
        <w:rPr>
          <w:rFonts w:eastAsia="Times New Roman"/>
          <w:b/>
          <w:color w:val="0D0D0D"/>
          <w:lang w:eastAsia="en-US"/>
        </w:rPr>
        <w:t xml:space="preserve">≤ 0.05). Abbreviations; RT: room temperature, SAA: Serum Amyloid A protein. </w:t>
      </w:r>
    </w:p>
    <w:p w:rsidR="00655AF9" w:rsidRDefault="00655AF9" w:rsidP="00057B42">
      <w:pPr>
        <w:pBdr>
          <w:bottom w:val="single" w:sz="12" w:space="1" w:color="auto"/>
        </w:pBdr>
        <w:spacing w:after="240" w:line="360" w:lineRule="auto"/>
        <w:jc w:val="both"/>
        <w:rPr>
          <w:rFonts w:eastAsia="Times New Roman"/>
          <w:b/>
          <w:color w:val="0D0D0D"/>
          <w:lang w:eastAsia="en-US"/>
        </w:rPr>
      </w:pP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 </w:t>
      </w:r>
    </w:p>
    <w:p w:rsidR="00873ABB" w:rsidRDefault="00873ABB">
      <w:pPr>
        <w:rPr>
          <w:b/>
          <w:bCs/>
          <w:iCs/>
          <w:sz w:val="26"/>
          <w:szCs w:val="26"/>
          <w:lang w:eastAsia="en-US"/>
        </w:rPr>
      </w:pPr>
      <w:r>
        <w:br w:type="page"/>
      </w:r>
    </w:p>
    <w:p w:rsidR="006B72EF" w:rsidRDefault="00044963" w:rsidP="00057B42">
      <w:pPr>
        <w:pStyle w:val="Heading5"/>
        <w:spacing w:line="360" w:lineRule="auto"/>
      </w:pPr>
      <w:r>
        <w:lastRenderedPageBreak/>
        <w:tab/>
      </w:r>
      <w:r w:rsidR="006B72EF" w:rsidRPr="006B72EF">
        <w:t>Paired Samples Test SAA 2</w:t>
      </w:r>
    </w:p>
    <w:p w:rsidR="006B72EF" w:rsidRDefault="006B72EF" w:rsidP="00AB26BE">
      <w:pPr>
        <w:spacing w:before="240" w:after="240" w:line="360" w:lineRule="auto"/>
        <w:jc w:val="both"/>
        <w:rPr>
          <w:rFonts w:eastAsia="Times New Roman"/>
          <w:color w:val="0D0D0D"/>
          <w:lang w:eastAsia="en-US"/>
        </w:rPr>
      </w:pPr>
      <w:r w:rsidRPr="006B72EF">
        <w:rPr>
          <w:rFonts w:eastAsia="Times New Roman"/>
          <w:color w:val="0D0D0D"/>
          <w:lang w:eastAsia="en-US"/>
        </w:rPr>
        <w:t>In the second planned paired sample t-test analysis for serum SAA level, the result for pair</w:t>
      </w:r>
      <w:r w:rsidR="00D65C1C">
        <w:rPr>
          <w:rFonts w:eastAsia="Times New Roman"/>
          <w:color w:val="0D0D0D"/>
          <w:lang w:eastAsia="en-US"/>
        </w:rPr>
        <w:t>s</w:t>
      </w:r>
      <w:r w:rsidRPr="006B72EF">
        <w:rPr>
          <w:rFonts w:eastAsia="Times New Roman"/>
          <w:color w:val="0D0D0D"/>
          <w:lang w:eastAsia="en-US"/>
        </w:rPr>
        <w:t xml:space="preserve"> one and three showed that there was a statistically significant difference in the level of SAA.  Serum concentration of SAA was higher in the aliquots stored in -20°C (</w:t>
      </w:r>
      <w:r w:rsidR="0010315E" w:rsidRPr="0010315E">
        <w:rPr>
          <w:rFonts w:eastAsia="Times New Roman"/>
          <w:i/>
          <w:color w:val="0D0D0D"/>
          <w:lang w:eastAsia="en-US"/>
        </w:rPr>
        <w:t>p=</w:t>
      </w:r>
      <w:r w:rsidRPr="006B72EF">
        <w:rPr>
          <w:rFonts w:eastAsia="Times New Roman"/>
          <w:color w:val="0D0D0D"/>
          <w:lang w:eastAsia="en-US"/>
        </w:rPr>
        <w:t>0.017) and at room temperature for a day and then transferred to -20°C (</w:t>
      </w:r>
      <w:r w:rsidR="0010315E" w:rsidRPr="0010315E">
        <w:rPr>
          <w:rFonts w:eastAsia="Times New Roman"/>
          <w:i/>
          <w:color w:val="0D0D0D"/>
          <w:lang w:eastAsia="en-US"/>
        </w:rPr>
        <w:t>p=</w:t>
      </w:r>
      <w:r w:rsidRPr="006B72EF">
        <w:rPr>
          <w:rFonts w:eastAsia="Times New Roman"/>
          <w:color w:val="0D0D0D"/>
          <w:lang w:eastAsia="en-US"/>
        </w:rPr>
        <w:t xml:space="preserve">0.038) as compared to storage at -80°C. The effects of storage time and temperature on </w:t>
      </w:r>
      <w:r w:rsidR="00D65C1C">
        <w:rPr>
          <w:rFonts w:eastAsia="Times New Roman"/>
          <w:color w:val="0D0D0D"/>
          <w:lang w:eastAsia="en-US"/>
        </w:rPr>
        <w:t xml:space="preserve">the </w:t>
      </w:r>
      <w:r w:rsidR="00AB26BE" w:rsidRPr="006B72EF">
        <w:rPr>
          <w:rFonts w:eastAsia="Times New Roman"/>
          <w:color w:val="0D0D0D"/>
          <w:lang w:eastAsia="en-US"/>
        </w:rPr>
        <w:t>Pair</w:t>
      </w:r>
      <w:r w:rsidR="00AB26BE">
        <w:rPr>
          <w:rFonts w:eastAsia="Times New Roman"/>
          <w:color w:val="0D0D0D"/>
          <w:lang w:eastAsia="en-US"/>
        </w:rPr>
        <w:t xml:space="preserve">s 2, 3, 4, 5, 6, 7, 8, </w:t>
      </w:r>
      <w:r w:rsidR="00AB26BE" w:rsidRPr="006B72EF">
        <w:rPr>
          <w:rFonts w:eastAsia="Times New Roman"/>
          <w:color w:val="0D0D0D"/>
          <w:lang w:eastAsia="en-US"/>
        </w:rPr>
        <w:t xml:space="preserve">9, </w:t>
      </w:r>
      <w:r w:rsidRPr="006B72EF">
        <w:rPr>
          <w:rFonts w:eastAsia="Times New Roman"/>
          <w:color w:val="0D0D0D"/>
          <w:lang w:eastAsia="en-US"/>
        </w:rPr>
        <w:t xml:space="preserve">were not statistically significant with a p value of 0.28, 0.861, 0.937, 0.701, 0.834, 0.904 and  0.517 respectively (Table </w:t>
      </w:r>
      <w:r w:rsidR="00D65C1C">
        <w:rPr>
          <w:rFonts w:eastAsia="Times New Roman"/>
          <w:color w:val="0D0D0D"/>
          <w:lang w:eastAsia="en-US"/>
        </w:rPr>
        <w:t>3-</w:t>
      </w:r>
      <w:r w:rsidR="00D7041F">
        <w:rPr>
          <w:rFonts w:eastAsia="Times New Roman"/>
          <w:color w:val="0D0D0D"/>
          <w:lang w:eastAsia="en-US"/>
        </w:rPr>
        <w:t>23</w:t>
      </w:r>
      <w:r w:rsidRPr="006B72EF">
        <w:rPr>
          <w:rFonts w:eastAsia="Times New Roman"/>
          <w:color w:val="0D0D0D"/>
          <w:lang w:eastAsia="en-US"/>
        </w:rPr>
        <w:t xml:space="preserve">). </w:t>
      </w:r>
    </w:p>
    <w:p w:rsidR="00424953" w:rsidRDefault="00424953" w:rsidP="00057B42">
      <w:pPr>
        <w:pBdr>
          <w:bottom w:val="single" w:sz="12" w:space="1" w:color="auto"/>
        </w:pBdr>
        <w:spacing w:after="240" w:line="360" w:lineRule="auto"/>
        <w:jc w:val="both"/>
        <w:rPr>
          <w:rFonts w:eastAsia="Times New Roman"/>
          <w:color w:val="0D0D0D"/>
          <w:lang w:eastAsia="en-US"/>
        </w:rPr>
      </w:pPr>
    </w:p>
    <w:p w:rsidR="00424953" w:rsidRPr="006B72EF" w:rsidRDefault="00424953"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rPr>
          <w:rFonts w:eastAsia="Times New Roman"/>
          <w:color w:val="0D0D0D"/>
          <w:lang w:eastAsia="en-US"/>
        </w:rPr>
      </w:pPr>
      <w:r w:rsidRPr="006B72EF">
        <w:rPr>
          <w:rFonts w:eastAsia="Times New Roman"/>
          <w:color w:val="0D0D0D"/>
          <w:lang w:eastAsia="en-US"/>
        </w:rPr>
        <w:br w:type="page"/>
      </w:r>
    </w:p>
    <w:tbl>
      <w:tblPr>
        <w:tblW w:w="503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44"/>
        <w:gridCol w:w="5105"/>
        <w:gridCol w:w="2363"/>
      </w:tblGrid>
      <w:tr w:rsidR="006B72EF" w:rsidRPr="006B72EF" w:rsidTr="006B72EF">
        <w:trPr>
          <w:cantSplit/>
          <w:trHeight w:val="701"/>
          <w:tblHeader/>
          <w:jc w:val="center"/>
        </w:trPr>
        <w:tc>
          <w:tcPr>
            <w:tcW w:w="5000" w:type="pct"/>
            <w:gridSpan w:val="3"/>
            <w:tcBorders>
              <w:top w:val="nil"/>
              <w:left w:val="nil"/>
              <w:bottom w:val="nil"/>
              <w:right w:val="nil"/>
            </w:tcBorders>
            <w:shd w:val="clear" w:color="auto" w:fill="FFFFFF"/>
            <w:vAlign w:val="center"/>
          </w:tcPr>
          <w:p w:rsidR="006B72EF" w:rsidRPr="006B72EF" w:rsidRDefault="006B72EF" w:rsidP="00057B42">
            <w:pPr>
              <w:spacing w:after="240" w:line="360" w:lineRule="auto"/>
              <w:jc w:val="center"/>
              <w:rPr>
                <w:rFonts w:eastAsia="Times New Roman"/>
                <w:b/>
                <w:color w:val="0D0D0D"/>
                <w:lang w:eastAsia="en-US"/>
              </w:rPr>
            </w:pPr>
            <w:r w:rsidRPr="006B72EF">
              <w:rPr>
                <w:rFonts w:eastAsia="Times New Roman"/>
                <w:b/>
                <w:color w:val="0D0D0D"/>
                <w:lang w:eastAsia="en-US"/>
              </w:rPr>
              <w:lastRenderedPageBreak/>
              <w:t>Paired Samples Test SAA 2</w:t>
            </w:r>
          </w:p>
        </w:tc>
      </w:tr>
      <w:tr w:rsidR="006B72EF" w:rsidRPr="006B72EF" w:rsidTr="006B72EF">
        <w:trPr>
          <w:cantSplit/>
          <w:trHeight w:val="74"/>
          <w:tblHeader/>
          <w:jc w:val="center"/>
        </w:trPr>
        <w:tc>
          <w:tcPr>
            <w:tcW w:w="3561" w:type="pct"/>
            <w:gridSpan w:val="2"/>
            <w:tcBorders>
              <w:top w:val="single" w:sz="16" w:space="0" w:color="000000"/>
              <w:left w:val="single" w:sz="16" w:space="0" w:color="000000"/>
              <w:bottom w:val="single" w:sz="4" w:space="0" w:color="auto"/>
              <w:right w:val="single" w:sz="16" w:space="0" w:color="000000"/>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p>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1439" w:type="pct"/>
            <w:tcBorders>
              <w:top w:val="single" w:sz="16" w:space="0" w:color="000000"/>
              <w:left w:val="single" w:sz="16" w:space="0" w:color="000000"/>
              <w:bottom w:val="single" w:sz="4" w:space="0" w:color="auto"/>
              <w:right w:val="single" w:sz="16" w:space="0" w:color="000000"/>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i/>
                <w:color w:val="0D0D0D"/>
                <w:lang w:eastAsia="en-US"/>
              </w:rPr>
              <w:t>p</w:t>
            </w:r>
            <w:r w:rsidRPr="006B72EF">
              <w:rPr>
                <w:rFonts w:eastAsia="Times New Roman"/>
                <w:color w:val="0D0D0D"/>
                <w:lang w:eastAsia="en-US"/>
              </w:rPr>
              <w:t>=</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1</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Stored in -20ºC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0.017</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2</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RT for one day then -80ºC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0.28</w:t>
            </w:r>
          </w:p>
        </w:tc>
      </w:tr>
      <w:tr w:rsidR="006B72EF" w:rsidRPr="006B72EF" w:rsidTr="006B72EF">
        <w:trPr>
          <w:cantSplit/>
          <w:trHeight w:val="754"/>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3</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RT for one day then -20ºC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0.038</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4</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0.861</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5</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0.937</w:t>
            </w:r>
          </w:p>
        </w:tc>
      </w:tr>
      <w:tr w:rsidR="006B72EF" w:rsidRPr="006B72EF" w:rsidTr="006B72EF">
        <w:trPr>
          <w:cantSplit/>
          <w:trHeight w:val="840"/>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6</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+4°C for one day then -80ºC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0.701</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7</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Stored in -80ºC - +4°C for one day then -20ºC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0.834</w:t>
            </w:r>
          </w:p>
        </w:tc>
      </w:tr>
      <w:tr w:rsidR="006B72EF" w:rsidRPr="006B72EF" w:rsidTr="006B72EF">
        <w:trPr>
          <w:cantSplit/>
          <w:trHeight w:val="727"/>
          <w:tblHeader/>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8</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0.904</w:t>
            </w:r>
          </w:p>
        </w:tc>
      </w:tr>
      <w:tr w:rsidR="006B72EF" w:rsidRPr="006B72EF" w:rsidTr="006B72EF">
        <w:trPr>
          <w:cantSplit/>
          <w:trHeight w:val="754"/>
          <w:jc w:val="center"/>
        </w:trPr>
        <w:tc>
          <w:tcPr>
            <w:tcW w:w="453"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Pair 9</w:t>
            </w:r>
          </w:p>
        </w:tc>
        <w:tc>
          <w:tcPr>
            <w:tcW w:w="3108"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1439" w:type="pct"/>
            <w:tcBorders>
              <w:top w:val="single" w:sz="4" w:space="0" w:color="auto"/>
              <w:left w:val="single" w:sz="4" w:space="0" w:color="auto"/>
              <w:bottom w:val="single" w:sz="4" w:space="0" w:color="auto"/>
              <w:right w:val="single" w:sz="4" w:space="0" w:color="auto"/>
            </w:tcBorders>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0.517</w:t>
            </w:r>
          </w:p>
        </w:tc>
      </w:tr>
    </w:tbl>
    <w:p w:rsidR="006B72EF" w:rsidRPr="006B72EF" w:rsidRDefault="006B72EF" w:rsidP="00057B42">
      <w:pPr>
        <w:spacing w:after="240" w:line="360" w:lineRule="auto"/>
        <w:jc w:val="both"/>
        <w:rPr>
          <w:rFonts w:eastAsia="Times New Roman"/>
          <w:color w:val="0D0D0D"/>
          <w:lang w:eastAsia="en-US"/>
        </w:rPr>
      </w:pP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23</w:t>
      </w:r>
      <w:r w:rsidR="00B55EFC">
        <w:rPr>
          <w:rFonts w:eastAsia="Times New Roman"/>
          <w:b/>
          <w:color w:val="0D0D0D"/>
          <w:lang w:eastAsia="en-US"/>
        </w:rPr>
        <w:fldChar w:fldCharType="end"/>
      </w:r>
      <w:r w:rsidRPr="006B72EF">
        <w:rPr>
          <w:rFonts w:eastAsia="Times New Roman"/>
          <w:b/>
          <w:color w:val="0D0D0D"/>
          <w:lang w:eastAsia="en-US"/>
        </w:rPr>
        <w:t xml:space="preserve"> shows Paired Samples Test SAA (2) analysis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SAA level, using a paired sample t-test. The 3rd column shows associated p value. The result for pair one </w:t>
      </w:r>
      <w:r w:rsidR="00D65C1C">
        <w:rPr>
          <w:rFonts w:eastAsia="Times New Roman"/>
          <w:b/>
          <w:color w:val="0D0D0D"/>
          <w:lang w:eastAsia="en-US"/>
        </w:rPr>
        <w:t xml:space="preserve">and three shows that there is </w:t>
      </w:r>
      <w:r w:rsidRPr="006B72EF">
        <w:rPr>
          <w:rFonts w:eastAsia="Times New Roman"/>
          <w:b/>
          <w:color w:val="0D0D0D"/>
          <w:lang w:eastAsia="en-US"/>
        </w:rPr>
        <w:t>statistically a difference in the level of SAA. Concentration of SAA was higher in the aliquots stored in -20°C and at RT for a day and then transferred to -20°C. There were no statistical significant changes in SAA level in the remaining pairs. This was a direct comparison of aliquots stored at -80°C using stringent protocols for sample storage with aliquots stored at other storage conditions. Abbreviations; RT: room temperature, SAA: Serum Amyloid A protein.</w:t>
      </w:r>
    </w:p>
    <w:p w:rsidR="006B72EF" w:rsidRDefault="00655AF9" w:rsidP="00645687">
      <w:pPr>
        <w:pStyle w:val="Heading4"/>
      </w:pPr>
      <w:r>
        <w:lastRenderedPageBreak/>
        <w:tab/>
      </w:r>
      <w:bookmarkStart w:id="1453" w:name="_Toc306570714"/>
      <w:bookmarkStart w:id="1454" w:name="_Toc307067775"/>
      <w:bookmarkStart w:id="1455" w:name="_Toc312169346"/>
      <w:bookmarkStart w:id="1456" w:name="_Toc312172273"/>
      <w:bookmarkStart w:id="1457" w:name="_Toc312257822"/>
      <w:r w:rsidR="006B72EF" w:rsidRPr="006B72EF">
        <w:t>Vitamin-D-binding-protein (VDB)</w:t>
      </w:r>
      <w:bookmarkEnd w:id="1453"/>
      <w:bookmarkEnd w:id="1454"/>
      <w:bookmarkEnd w:id="1455"/>
      <w:bookmarkEnd w:id="1456"/>
      <w:bookmarkEnd w:id="1457"/>
    </w:p>
    <w:p w:rsidR="00655AF9" w:rsidRDefault="00314A0E" w:rsidP="00057B42">
      <w:pPr>
        <w:pStyle w:val="Heading5"/>
        <w:spacing w:line="360" w:lineRule="auto"/>
      </w:pPr>
      <w:r>
        <w:tab/>
      </w:r>
      <w:r w:rsidR="00655AF9">
        <w:t>Paired Samples Test VDB 1</w:t>
      </w:r>
    </w:p>
    <w:p w:rsidR="006B72EF" w:rsidRPr="006B72EF" w:rsidRDefault="006B72EF" w:rsidP="00AB26BE">
      <w:pPr>
        <w:spacing w:before="240" w:after="240" w:line="360" w:lineRule="auto"/>
        <w:jc w:val="both"/>
        <w:rPr>
          <w:rFonts w:eastAsia="Times New Roman"/>
          <w:color w:val="0D0D0D"/>
          <w:lang w:eastAsia="en-US"/>
        </w:rPr>
      </w:pPr>
      <w:r w:rsidRPr="006B72EF">
        <w:rPr>
          <w:rFonts w:eastAsia="Times New Roman"/>
          <w:color w:val="0D0D0D"/>
          <w:lang w:eastAsia="en-US"/>
        </w:rPr>
        <w:t>In the first planned paired sample t-test analysis for serum VDB level, there was minimal difference between the aliquots store</w:t>
      </w:r>
      <w:r w:rsidR="00D7041F">
        <w:rPr>
          <w:rFonts w:eastAsia="Times New Roman"/>
          <w:color w:val="0D0D0D"/>
          <w:lang w:eastAsia="en-US"/>
        </w:rPr>
        <w:t>d at various storage conditions.</w:t>
      </w:r>
      <w:r w:rsidR="00314A0E">
        <w:rPr>
          <w:rFonts w:eastAsia="Times New Roman"/>
          <w:color w:val="0D0D0D"/>
          <w:lang w:eastAsia="en-US"/>
        </w:rPr>
        <w:t xml:space="preserve"> The result for Pair 1, 2, 3, 4 and </w:t>
      </w:r>
      <w:r w:rsidRPr="006B72EF">
        <w:rPr>
          <w:rFonts w:eastAsia="Times New Roman"/>
          <w:color w:val="0D0D0D"/>
          <w:lang w:eastAsia="en-US"/>
        </w:rPr>
        <w:t xml:space="preserve">5 showed that difference in serum concentration of VDB at various storage times </w:t>
      </w:r>
      <w:r w:rsidR="0010315E">
        <w:rPr>
          <w:rFonts w:eastAsia="Times New Roman"/>
          <w:color w:val="0D0D0D"/>
          <w:lang w:eastAsia="en-US"/>
        </w:rPr>
        <w:t>and</w:t>
      </w:r>
      <w:r w:rsidRPr="006B72EF">
        <w:rPr>
          <w:rFonts w:eastAsia="Times New Roman"/>
          <w:color w:val="0D0D0D"/>
          <w:lang w:eastAsia="en-US"/>
        </w:rPr>
        <w:t xml:space="preserve"> temperatures were not statistically significant with </w:t>
      </w:r>
      <w:r w:rsidRPr="00314A0E">
        <w:rPr>
          <w:rFonts w:eastAsia="Times New Roman"/>
          <w:i/>
          <w:color w:val="0D0D0D"/>
          <w:lang w:eastAsia="en-US"/>
        </w:rPr>
        <w:t>p</w:t>
      </w:r>
      <w:r w:rsidRPr="006B72EF">
        <w:rPr>
          <w:rFonts w:eastAsia="Times New Roman"/>
          <w:color w:val="0D0D0D"/>
          <w:lang w:eastAsia="en-US"/>
        </w:rPr>
        <w:t xml:space="preserve"> values of  0.864, 0.294, 0.894, 0.058, 0.607 respectively (Table </w:t>
      </w:r>
      <w:r w:rsidR="00314A0E">
        <w:rPr>
          <w:rFonts w:eastAsia="Times New Roman"/>
          <w:color w:val="0D0D0D"/>
          <w:lang w:eastAsia="en-US"/>
        </w:rPr>
        <w:t>3-</w:t>
      </w:r>
      <w:r w:rsidR="00D7041F">
        <w:rPr>
          <w:rFonts w:eastAsia="Times New Roman"/>
          <w:color w:val="0D0D0D"/>
          <w:lang w:eastAsia="en-US"/>
        </w:rPr>
        <w:t>24</w:t>
      </w:r>
      <w:r w:rsidRPr="006B72EF">
        <w:rPr>
          <w:rFonts w:eastAsia="Times New Roman"/>
          <w:color w:val="0D0D0D"/>
          <w:lang w:eastAsia="en-US"/>
        </w:rPr>
        <w:t xml:space="preserve">). </w:t>
      </w:r>
    </w:p>
    <w:p w:rsidR="006B72EF" w:rsidRPr="006B72EF" w:rsidRDefault="006B72EF" w:rsidP="00057B42">
      <w:pPr>
        <w:spacing w:after="240" w:line="360" w:lineRule="auto"/>
        <w:jc w:val="center"/>
        <w:rPr>
          <w:rFonts w:eastAsia="Times New Roman"/>
          <w:b/>
          <w:color w:val="0D0D0D"/>
          <w:lang w:eastAsia="en-US"/>
        </w:rPr>
      </w:pPr>
      <w:r w:rsidRPr="006B72EF">
        <w:rPr>
          <w:rFonts w:eastAsia="Times New Roman"/>
          <w:b/>
          <w:color w:val="0D0D0D"/>
          <w:lang w:eastAsia="en-US"/>
        </w:rPr>
        <w:t>Paired Samples Test VDB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60"/>
        <w:gridCol w:w="6682"/>
        <w:gridCol w:w="731"/>
      </w:tblGrid>
      <w:tr w:rsidR="006B72EF" w:rsidRPr="006B72EF" w:rsidTr="006B72EF">
        <w:trPr>
          <w:cantSplit/>
          <w:tblHeader/>
        </w:trPr>
        <w:tc>
          <w:tcPr>
            <w:tcW w:w="4553" w:type="pct"/>
            <w:gridSpan w:val="2"/>
            <w:shd w:val="clear" w:color="auto" w:fill="FFFFFF"/>
            <w:vAlign w:val="center"/>
          </w:tcPr>
          <w:p w:rsidR="006B4C84" w:rsidRDefault="006B4C84" w:rsidP="00057B42">
            <w:pPr>
              <w:spacing w:after="240" w:line="360" w:lineRule="auto"/>
              <w:jc w:val="center"/>
              <w:rPr>
                <w:rFonts w:eastAsia="Times New Roman"/>
                <w:color w:val="0D0D0D"/>
                <w:lang w:eastAsia="en-US"/>
              </w:rPr>
            </w:pPr>
          </w:p>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447" w:type="pct"/>
            <w:shd w:val="clear" w:color="auto" w:fill="FFFFFF"/>
            <w:vAlign w:val="bottom"/>
          </w:tcPr>
          <w:p w:rsidR="006B72EF" w:rsidRPr="006B72EF" w:rsidRDefault="006B72EF" w:rsidP="00057B42">
            <w:pPr>
              <w:spacing w:after="240" w:line="360" w:lineRule="auto"/>
              <w:jc w:val="both"/>
              <w:rPr>
                <w:rFonts w:eastAsia="Times New Roman"/>
                <w:color w:val="0D0D0D"/>
                <w:lang w:eastAsia="en-US"/>
              </w:rPr>
            </w:pPr>
            <w:r w:rsidRPr="006B4C84">
              <w:rPr>
                <w:rFonts w:eastAsia="Times New Roman"/>
                <w:i/>
                <w:color w:val="0D0D0D"/>
                <w:lang w:eastAsia="en-US"/>
              </w:rPr>
              <w:t>P</w:t>
            </w:r>
            <w:r w:rsidRPr="006B72EF">
              <w:rPr>
                <w:rFonts w:eastAsia="Times New Roman"/>
                <w:color w:val="0D0D0D"/>
                <w:lang w:eastAsia="en-US"/>
              </w:rPr>
              <w:t>=</w:t>
            </w:r>
          </w:p>
        </w:tc>
      </w:tr>
      <w:tr w:rsidR="006B72EF" w:rsidRPr="006B72EF" w:rsidTr="00000025">
        <w:trPr>
          <w:cantSplit/>
          <w:tblHeader/>
        </w:trPr>
        <w:tc>
          <w:tcPr>
            <w:tcW w:w="465"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1</w:t>
            </w:r>
          </w:p>
        </w:tc>
        <w:tc>
          <w:tcPr>
            <w:tcW w:w="4088"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Stored in -20ºC</w:t>
            </w:r>
          </w:p>
        </w:tc>
        <w:tc>
          <w:tcPr>
            <w:tcW w:w="447"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0.864</w:t>
            </w:r>
          </w:p>
        </w:tc>
      </w:tr>
      <w:tr w:rsidR="006B72EF" w:rsidRPr="006B72EF" w:rsidTr="00000025">
        <w:trPr>
          <w:cantSplit/>
          <w:tblHeader/>
        </w:trPr>
        <w:tc>
          <w:tcPr>
            <w:tcW w:w="465"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2</w:t>
            </w:r>
          </w:p>
        </w:tc>
        <w:tc>
          <w:tcPr>
            <w:tcW w:w="4088"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RT for one day then -80ºC - RT for one day then -20ºC</w:t>
            </w:r>
          </w:p>
        </w:tc>
        <w:tc>
          <w:tcPr>
            <w:tcW w:w="447"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0.294</w:t>
            </w:r>
          </w:p>
        </w:tc>
      </w:tr>
      <w:tr w:rsidR="006B72EF" w:rsidRPr="006B72EF" w:rsidTr="00000025">
        <w:trPr>
          <w:cantSplit/>
          <w:tblHeader/>
        </w:trPr>
        <w:tc>
          <w:tcPr>
            <w:tcW w:w="465"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3</w:t>
            </w:r>
          </w:p>
        </w:tc>
        <w:tc>
          <w:tcPr>
            <w:tcW w:w="4088"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RT for four days </w:t>
            </w:r>
            <w:r w:rsidR="004D56C5" w:rsidRPr="006B72EF">
              <w:rPr>
                <w:rFonts w:eastAsia="Times New Roman"/>
                <w:color w:val="0D0D0D"/>
                <w:lang w:eastAsia="en-US"/>
              </w:rPr>
              <w:t>than</w:t>
            </w:r>
            <w:r w:rsidRPr="006B72EF">
              <w:rPr>
                <w:rFonts w:eastAsia="Times New Roman"/>
                <w:color w:val="0D0D0D"/>
                <w:lang w:eastAsia="en-US"/>
              </w:rPr>
              <w:t xml:space="preserve">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447"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0.894</w:t>
            </w:r>
          </w:p>
        </w:tc>
      </w:tr>
      <w:tr w:rsidR="006B72EF" w:rsidRPr="006B72EF" w:rsidTr="00000025">
        <w:trPr>
          <w:cantSplit/>
          <w:tblHeader/>
        </w:trPr>
        <w:tc>
          <w:tcPr>
            <w:tcW w:w="465"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4</w:t>
            </w:r>
          </w:p>
        </w:tc>
        <w:tc>
          <w:tcPr>
            <w:tcW w:w="4088"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+4°C for one day then -80ºC - +4°C for one day then -20ºC</w:t>
            </w:r>
          </w:p>
        </w:tc>
        <w:tc>
          <w:tcPr>
            <w:tcW w:w="447"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0.058</w:t>
            </w:r>
          </w:p>
        </w:tc>
      </w:tr>
      <w:tr w:rsidR="006B72EF" w:rsidRPr="006B72EF" w:rsidTr="00000025">
        <w:trPr>
          <w:cantSplit/>
        </w:trPr>
        <w:tc>
          <w:tcPr>
            <w:tcW w:w="465"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5</w:t>
            </w:r>
          </w:p>
        </w:tc>
        <w:tc>
          <w:tcPr>
            <w:tcW w:w="4088"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+4°C for four days </w:t>
            </w:r>
            <w:r w:rsidR="004D56C5" w:rsidRPr="006B72EF">
              <w:rPr>
                <w:rFonts w:eastAsia="Times New Roman"/>
                <w:color w:val="0D0D0D"/>
                <w:lang w:eastAsia="en-US"/>
              </w:rPr>
              <w:t>than</w:t>
            </w:r>
            <w:r w:rsidRPr="006B72EF">
              <w:rPr>
                <w:rFonts w:eastAsia="Times New Roman"/>
                <w:color w:val="0D0D0D"/>
                <w:lang w:eastAsia="en-US"/>
              </w:rPr>
              <w:t xml:space="preserve">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447" w:type="pct"/>
            <w:shd w:val="clear" w:color="auto" w:fill="FFFFFF"/>
            <w:vAlign w:val="center"/>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0.607</w:t>
            </w:r>
          </w:p>
        </w:tc>
      </w:tr>
    </w:tbl>
    <w:p w:rsidR="006B72EF" w:rsidRPr="006B72EF" w:rsidRDefault="006B72EF" w:rsidP="00057B42">
      <w:pPr>
        <w:spacing w:after="240" w:line="360" w:lineRule="auto"/>
        <w:jc w:val="both"/>
        <w:rPr>
          <w:rFonts w:eastAsia="Times New Roman"/>
          <w:color w:val="0D0D0D"/>
          <w:lang w:eastAsia="en-US"/>
        </w:rPr>
      </w:pPr>
    </w:p>
    <w:p w:rsidR="00655AF9" w:rsidRDefault="006B72EF" w:rsidP="00873ABB">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24</w:t>
      </w:r>
      <w:r w:rsidR="00B55EFC">
        <w:rPr>
          <w:rFonts w:eastAsia="Times New Roman"/>
          <w:b/>
          <w:color w:val="0D0D0D"/>
          <w:lang w:eastAsia="en-US"/>
        </w:rPr>
        <w:fldChar w:fldCharType="end"/>
      </w:r>
      <w:r w:rsidR="00D7041F">
        <w:rPr>
          <w:rFonts w:eastAsia="Times New Roman"/>
          <w:b/>
          <w:color w:val="0D0D0D"/>
          <w:lang w:eastAsia="en-US"/>
        </w:rPr>
        <w:t xml:space="preserve"> </w:t>
      </w:r>
      <w:r w:rsidRPr="006B72EF">
        <w:rPr>
          <w:rFonts w:eastAsia="Times New Roman"/>
          <w:b/>
          <w:color w:val="0D0D0D"/>
          <w:lang w:eastAsia="en-US"/>
        </w:rPr>
        <w:t xml:space="preserve">shows Paired Samples Test VDB (1) analysis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VDB level, using a paired sample t-test. The 3rd column shows associated </w:t>
      </w:r>
      <w:r w:rsidRPr="00E45DCD">
        <w:rPr>
          <w:rFonts w:eastAsia="Times New Roman"/>
          <w:b/>
          <w:i/>
          <w:color w:val="0D0D0D"/>
          <w:lang w:eastAsia="en-US"/>
        </w:rPr>
        <w:t>p</w:t>
      </w:r>
      <w:r w:rsidRPr="006B72EF">
        <w:rPr>
          <w:rFonts w:eastAsia="Times New Roman"/>
          <w:b/>
          <w:color w:val="0D0D0D"/>
          <w:lang w:eastAsia="en-US"/>
        </w:rPr>
        <w:t xml:space="preserve"> value. The result shows that there were no statistical significant alterations in VDB level in all 5 compared pairs (p≤ 0.05).  Abbreviations; RT: room temperature, Hp: Haptoglobin. </w:t>
      </w:r>
    </w:p>
    <w:p w:rsidR="002676E3" w:rsidRDefault="002676E3" w:rsidP="00057B42">
      <w:pPr>
        <w:pBdr>
          <w:bottom w:val="single" w:sz="12" w:space="1" w:color="auto"/>
        </w:pBdr>
        <w:spacing w:after="240" w:line="360" w:lineRule="auto"/>
        <w:jc w:val="both"/>
        <w:rPr>
          <w:rFonts w:eastAsia="Times New Roman"/>
          <w:b/>
          <w:color w:val="0D0D0D"/>
          <w:lang w:eastAsia="en-US"/>
        </w:rPr>
      </w:pPr>
    </w:p>
    <w:p w:rsidR="00873ABB" w:rsidRDefault="00873ABB">
      <w:pPr>
        <w:rPr>
          <w:b/>
          <w:bCs/>
          <w:iCs/>
          <w:sz w:val="26"/>
          <w:szCs w:val="26"/>
          <w:lang w:eastAsia="en-US"/>
        </w:rPr>
      </w:pPr>
      <w:r>
        <w:br w:type="page"/>
      </w:r>
    </w:p>
    <w:p w:rsidR="006B72EF" w:rsidRDefault="00E45DCD" w:rsidP="00057B42">
      <w:pPr>
        <w:pStyle w:val="Heading5"/>
        <w:spacing w:line="360" w:lineRule="auto"/>
      </w:pPr>
      <w:r>
        <w:lastRenderedPageBreak/>
        <w:tab/>
      </w:r>
      <w:r w:rsidR="006B72EF" w:rsidRPr="006B72EF">
        <w:t>Paired Samples Test VDB 2</w:t>
      </w:r>
      <w:r w:rsidR="006B72EF" w:rsidRPr="006B72EF">
        <w:tab/>
      </w:r>
    </w:p>
    <w:p w:rsidR="006B72EF" w:rsidRPr="006B72EF" w:rsidRDefault="006B72EF" w:rsidP="00AB26BE">
      <w:pPr>
        <w:spacing w:before="240" w:after="240" w:line="360" w:lineRule="auto"/>
        <w:jc w:val="both"/>
        <w:rPr>
          <w:rFonts w:eastAsia="Times New Roman"/>
          <w:color w:val="0D0D0D"/>
          <w:lang w:eastAsia="en-US"/>
        </w:rPr>
      </w:pPr>
      <w:r w:rsidRPr="006B72EF">
        <w:rPr>
          <w:rFonts w:eastAsia="Times New Roman"/>
          <w:color w:val="0D0D0D"/>
          <w:lang w:eastAsia="en-US"/>
        </w:rPr>
        <w:t>In the second planned paired sample t-test analysis for serum Hp level, there was minimal difference between the aliquots stored at various storage conditions. The result for Pair</w:t>
      </w:r>
      <w:r w:rsidR="00E45DCD">
        <w:rPr>
          <w:rFonts w:eastAsia="Times New Roman"/>
          <w:color w:val="0D0D0D"/>
          <w:lang w:eastAsia="en-US"/>
        </w:rPr>
        <w:t xml:space="preserve">s 1, 2, 3, 4, 5, 6, 7, 8, </w:t>
      </w:r>
      <w:r w:rsidRPr="006B72EF">
        <w:rPr>
          <w:rFonts w:eastAsia="Times New Roman"/>
          <w:color w:val="0D0D0D"/>
          <w:lang w:eastAsia="en-US"/>
        </w:rPr>
        <w:t xml:space="preserve">9, showed that difference in serum concentration of Hp at various storage times </w:t>
      </w:r>
      <w:r w:rsidR="0010315E">
        <w:rPr>
          <w:rFonts w:eastAsia="Times New Roman"/>
          <w:color w:val="0D0D0D"/>
          <w:lang w:eastAsia="en-US"/>
        </w:rPr>
        <w:t>and</w:t>
      </w:r>
      <w:r w:rsidRPr="006B72EF">
        <w:rPr>
          <w:rFonts w:eastAsia="Times New Roman"/>
          <w:color w:val="0D0D0D"/>
          <w:lang w:eastAsia="en-US"/>
        </w:rPr>
        <w:t xml:space="preserve"> temperatures were not statistically significant with </w:t>
      </w:r>
      <w:r w:rsidRPr="00FA29F2">
        <w:rPr>
          <w:rFonts w:eastAsia="Times New Roman"/>
          <w:i/>
          <w:color w:val="0D0D0D"/>
          <w:lang w:eastAsia="en-US"/>
        </w:rPr>
        <w:t>p</w:t>
      </w:r>
      <w:r w:rsidRPr="006B72EF">
        <w:rPr>
          <w:rFonts w:eastAsia="Times New Roman"/>
          <w:color w:val="0D0D0D"/>
          <w:lang w:eastAsia="en-US"/>
        </w:rPr>
        <w:t xml:space="preserve"> value of  0.864, 0.619, 0.902, 0.155, 0.317, 0.241, 0.995, 0.772, 0.984 respectively (Table </w:t>
      </w:r>
      <w:r w:rsidR="00E45DCD">
        <w:rPr>
          <w:rFonts w:eastAsia="Times New Roman"/>
          <w:color w:val="0D0D0D"/>
          <w:lang w:eastAsia="en-US"/>
        </w:rPr>
        <w:t>3-</w:t>
      </w:r>
      <w:r w:rsidR="00D7041F">
        <w:rPr>
          <w:rFonts w:eastAsia="Times New Roman"/>
          <w:color w:val="0D0D0D"/>
          <w:lang w:eastAsia="en-US"/>
        </w:rPr>
        <w:t>25</w:t>
      </w:r>
      <w:r w:rsidRPr="006B72EF">
        <w:rPr>
          <w:rFonts w:eastAsia="Times New Roman"/>
          <w:color w:val="0D0D0D"/>
          <w:lang w:eastAsia="en-US"/>
        </w:rPr>
        <w:t xml:space="preserve"> ). </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ind w:firstLine="357"/>
        <w:rPr>
          <w:rFonts w:eastAsia="Times New Roman"/>
          <w:b/>
          <w:color w:val="0D0D0D"/>
          <w:lang w:eastAsia="en-US"/>
        </w:rPr>
      </w:pPr>
      <w:r w:rsidRPr="006B72EF">
        <w:rPr>
          <w:rFonts w:eastAsia="Times New Roman"/>
          <w:b/>
          <w:color w:val="0D0D0D"/>
          <w:lang w:eastAsia="en-US"/>
        </w:rPr>
        <w:br w:type="page"/>
      </w:r>
    </w:p>
    <w:p w:rsidR="006B72EF" w:rsidRPr="006B72EF" w:rsidRDefault="006B72EF" w:rsidP="00057B42">
      <w:pPr>
        <w:spacing w:after="240" w:line="360" w:lineRule="auto"/>
        <w:jc w:val="center"/>
        <w:rPr>
          <w:rFonts w:eastAsia="Times New Roman"/>
          <w:b/>
          <w:color w:val="0D0D0D"/>
          <w:lang w:eastAsia="en-US"/>
        </w:rPr>
      </w:pPr>
      <w:r w:rsidRPr="006B72EF">
        <w:rPr>
          <w:rFonts w:eastAsia="Times New Roman"/>
          <w:b/>
          <w:color w:val="0D0D0D"/>
          <w:lang w:eastAsia="en-US"/>
        </w:rPr>
        <w:lastRenderedPageBreak/>
        <w:t>Paired Samples Test VDB 2</w:t>
      </w:r>
    </w:p>
    <w:tbl>
      <w:tblPr>
        <w:tblW w:w="49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34"/>
        <w:gridCol w:w="6318"/>
        <w:gridCol w:w="896"/>
      </w:tblGrid>
      <w:tr w:rsidR="006B72EF" w:rsidRPr="006B72EF" w:rsidTr="006B72EF">
        <w:trPr>
          <w:cantSplit/>
          <w:trHeight w:val="1238"/>
          <w:tblHeader/>
        </w:trPr>
        <w:tc>
          <w:tcPr>
            <w:tcW w:w="4450" w:type="pct"/>
            <w:gridSpan w:val="2"/>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color w:val="0D0D0D"/>
                <w:lang w:eastAsia="en-US"/>
              </w:rPr>
              <w:t>Storage condition</w:t>
            </w:r>
          </w:p>
        </w:tc>
        <w:tc>
          <w:tcPr>
            <w:tcW w:w="550" w:type="pct"/>
            <w:shd w:val="clear" w:color="auto" w:fill="FFFFFF"/>
            <w:vAlign w:val="bottom"/>
          </w:tcPr>
          <w:p w:rsidR="006B72EF" w:rsidRPr="006B72EF" w:rsidRDefault="006B72EF" w:rsidP="00057B42">
            <w:pPr>
              <w:spacing w:after="240" w:line="360" w:lineRule="auto"/>
              <w:jc w:val="center"/>
              <w:rPr>
                <w:rFonts w:eastAsia="Times New Roman"/>
                <w:color w:val="0D0D0D"/>
                <w:lang w:eastAsia="en-US"/>
              </w:rPr>
            </w:pPr>
            <w:r w:rsidRPr="006B72EF">
              <w:rPr>
                <w:rFonts w:eastAsia="Times New Roman"/>
                <w:i/>
                <w:color w:val="0D0D0D"/>
                <w:lang w:eastAsia="en-US"/>
              </w:rPr>
              <w:t>P</w:t>
            </w:r>
            <w:r w:rsidRPr="006B72EF">
              <w:rPr>
                <w:rFonts w:eastAsia="Times New Roman"/>
                <w:color w:val="0D0D0D"/>
                <w:lang w:eastAsia="en-US"/>
              </w:rPr>
              <w:t>=</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1</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Stored in -20ºC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0.864</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2</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RT for one day then -80ºC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0.619</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3</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RT for one day then -20ºC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0.902</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4</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0.155</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5</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Stored in -80ºC - RT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0.317</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6</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+4°C for one day then -80ºC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0.241</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7</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Stored in -80ºC - +4°C for one day then -20ºC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0.995</w:t>
            </w:r>
          </w:p>
        </w:tc>
      </w:tr>
      <w:tr w:rsidR="006B72EF" w:rsidRPr="006B72EF" w:rsidTr="00000025">
        <w:trPr>
          <w:cantSplit/>
          <w:trHeight w:val="664"/>
          <w:tblHeader/>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8</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-80ºC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0.772</w:t>
            </w:r>
          </w:p>
        </w:tc>
      </w:tr>
      <w:tr w:rsidR="006B72EF" w:rsidRPr="006B72EF" w:rsidTr="00000025">
        <w:trPr>
          <w:cantSplit/>
          <w:trHeight w:val="664"/>
        </w:trPr>
        <w:tc>
          <w:tcPr>
            <w:tcW w:w="573"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Pair 9</w:t>
            </w:r>
          </w:p>
        </w:tc>
        <w:tc>
          <w:tcPr>
            <w:tcW w:w="3877"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 xml:space="preserve">Stored in -80ºC - +4°C for four days </w:t>
            </w:r>
            <w:r w:rsidR="004D56C5" w:rsidRPr="006B72EF">
              <w:rPr>
                <w:rFonts w:eastAsia="Times New Roman"/>
                <w:color w:val="0D0D0D"/>
                <w:lang w:eastAsia="en-US"/>
              </w:rPr>
              <w:t>than</w:t>
            </w:r>
            <w:r w:rsidRPr="006B72EF">
              <w:rPr>
                <w:rFonts w:eastAsia="Times New Roman"/>
                <w:color w:val="0D0D0D"/>
                <w:lang w:eastAsia="en-US"/>
              </w:rPr>
              <w:t xml:space="preserve"> -20ºC</w:t>
            </w:r>
          </w:p>
        </w:tc>
        <w:tc>
          <w:tcPr>
            <w:tcW w:w="550" w:type="pct"/>
            <w:shd w:val="clear" w:color="auto" w:fill="FFFFFF"/>
            <w:vAlign w:val="bottom"/>
          </w:tcPr>
          <w:p w:rsidR="006B72EF" w:rsidRPr="006B72EF" w:rsidRDefault="006B72EF" w:rsidP="00000025">
            <w:pPr>
              <w:spacing w:after="240" w:line="360" w:lineRule="auto"/>
              <w:rPr>
                <w:rFonts w:eastAsia="Times New Roman"/>
                <w:color w:val="0D0D0D"/>
                <w:lang w:eastAsia="en-US"/>
              </w:rPr>
            </w:pPr>
            <w:r w:rsidRPr="006B72EF">
              <w:rPr>
                <w:rFonts w:eastAsia="Times New Roman"/>
                <w:color w:val="0D0D0D"/>
                <w:lang w:eastAsia="en-US"/>
              </w:rPr>
              <w:t>0.984</w:t>
            </w:r>
          </w:p>
        </w:tc>
      </w:tr>
    </w:tbl>
    <w:p w:rsidR="006B72EF" w:rsidRPr="006B72EF" w:rsidRDefault="006B72EF" w:rsidP="00057B42">
      <w:pPr>
        <w:spacing w:after="240" w:line="360" w:lineRule="auto"/>
        <w:jc w:val="both"/>
        <w:rPr>
          <w:rFonts w:eastAsia="Times New Roman"/>
          <w:color w:val="0D0D0D"/>
          <w:lang w:eastAsia="en-US"/>
        </w:rPr>
      </w:pPr>
    </w:p>
    <w:p w:rsidR="003B3D88" w:rsidRDefault="006B72EF" w:rsidP="00057B42">
      <w:pPr>
        <w:pBdr>
          <w:bottom w:val="single" w:sz="12" w:space="1" w:color="auto"/>
        </w:pBd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25</w:t>
      </w:r>
      <w:r w:rsidR="00B55EFC">
        <w:rPr>
          <w:rFonts w:eastAsia="Times New Roman"/>
          <w:b/>
          <w:color w:val="0D0D0D"/>
          <w:lang w:eastAsia="en-US"/>
        </w:rPr>
        <w:fldChar w:fldCharType="end"/>
      </w:r>
      <w:r w:rsidRPr="006B72EF">
        <w:rPr>
          <w:rFonts w:eastAsia="Times New Roman"/>
          <w:b/>
          <w:color w:val="0D0D0D"/>
          <w:lang w:eastAsia="en-US"/>
        </w:rPr>
        <w:t xml:space="preserve"> shows Paired Samples Test VDB (2) analysis of various storage times </w:t>
      </w:r>
      <w:r w:rsidR="0010315E">
        <w:rPr>
          <w:rFonts w:eastAsia="Times New Roman"/>
          <w:b/>
          <w:color w:val="0D0D0D"/>
          <w:lang w:eastAsia="en-US"/>
        </w:rPr>
        <w:t>and</w:t>
      </w:r>
      <w:r w:rsidRPr="006B72EF">
        <w:rPr>
          <w:rFonts w:eastAsia="Times New Roman"/>
          <w:b/>
          <w:color w:val="0D0D0D"/>
          <w:lang w:eastAsia="en-US"/>
        </w:rPr>
        <w:t xml:space="preserve"> temperatures (column 2) on the VDB level, using a paired sample t-test. The 3rd column shows associated </w:t>
      </w:r>
      <w:r w:rsidRPr="006B72EF">
        <w:rPr>
          <w:rFonts w:eastAsia="Times New Roman"/>
          <w:b/>
          <w:i/>
          <w:color w:val="0D0D0D"/>
          <w:lang w:eastAsia="en-US"/>
        </w:rPr>
        <w:t>p</w:t>
      </w:r>
      <w:r w:rsidRPr="006B72EF">
        <w:rPr>
          <w:rFonts w:eastAsia="Times New Roman"/>
          <w:b/>
          <w:color w:val="0D0D0D"/>
          <w:lang w:eastAsia="en-US"/>
        </w:rPr>
        <w:t xml:space="preserve"> value. The result shows that there were no statistical significant changes in VDB level in all compared nine pairs (</w:t>
      </w:r>
      <w:r w:rsidRPr="00FA29F2">
        <w:rPr>
          <w:rFonts w:eastAsia="Times New Roman"/>
          <w:b/>
          <w:i/>
          <w:color w:val="0D0D0D"/>
          <w:lang w:eastAsia="en-US"/>
        </w:rPr>
        <w:t>p</w:t>
      </w:r>
      <w:r w:rsidR="007B4390">
        <w:rPr>
          <w:rFonts w:eastAsia="Times New Roman"/>
          <w:b/>
          <w:color w:val="0D0D0D"/>
          <w:lang w:eastAsia="en-US"/>
        </w:rPr>
        <w:t xml:space="preserve"> </w:t>
      </w:r>
      <w:r w:rsidRPr="006B72EF">
        <w:rPr>
          <w:rFonts w:eastAsia="Times New Roman"/>
          <w:b/>
          <w:color w:val="0D0D0D"/>
          <w:lang w:eastAsia="en-US"/>
        </w:rPr>
        <w:t>≤ 0.05). This was a direct comparison of aliquots stored in -80°C using stringent protocols for sample storage with aliquots stored at other storage conditions. Abbreviations; RT: room temperature, Hp: Haptoglobin.</w:t>
      </w:r>
      <w:r w:rsidR="007B4390">
        <w:rPr>
          <w:rFonts w:eastAsia="Times New Roman"/>
          <w:b/>
          <w:color w:val="0D0D0D"/>
          <w:lang w:eastAsia="en-US"/>
        </w:rPr>
        <w:t xml:space="preserve"> </w:t>
      </w:r>
    </w:p>
    <w:p w:rsidR="00424953" w:rsidRDefault="00424953" w:rsidP="00057B42">
      <w:pPr>
        <w:pBdr>
          <w:bottom w:val="single" w:sz="12" w:space="1" w:color="auto"/>
        </w:pBdr>
        <w:spacing w:after="240" w:line="360" w:lineRule="auto"/>
        <w:jc w:val="both"/>
        <w:rPr>
          <w:rFonts w:eastAsia="Times New Roman"/>
          <w:b/>
          <w:color w:val="0D0D0D"/>
          <w:lang w:eastAsia="en-US"/>
        </w:rPr>
      </w:pPr>
    </w:p>
    <w:p w:rsidR="00424953" w:rsidRDefault="00424953" w:rsidP="00057B42">
      <w:pPr>
        <w:spacing w:after="240" w:line="360" w:lineRule="auto"/>
        <w:jc w:val="both"/>
        <w:rPr>
          <w:rFonts w:eastAsia="Times New Roman"/>
          <w:b/>
          <w:color w:val="0D0D0D"/>
          <w:lang w:eastAsia="en-US"/>
        </w:rPr>
      </w:pPr>
    </w:p>
    <w:p w:rsidR="00424953" w:rsidRDefault="00424953" w:rsidP="00057B42">
      <w:pPr>
        <w:spacing w:after="240" w:line="360" w:lineRule="auto"/>
        <w:jc w:val="both"/>
        <w:rPr>
          <w:rFonts w:eastAsia="Times New Roman"/>
          <w:b/>
          <w:color w:val="0D0D0D"/>
          <w:lang w:eastAsia="en-US"/>
        </w:rPr>
      </w:pPr>
    </w:p>
    <w:p w:rsidR="006B72EF" w:rsidRDefault="006B72EF" w:rsidP="00645687">
      <w:pPr>
        <w:pStyle w:val="Heading4"/>
      </w:pPr>
      <w:r w:rsidRPr="006B72EF">
        <w:lastRenderedPageBreak/>
        <w:tab/>
      </w:r>
      <w:bookmarkStart w:id="1458" w:name="_Toc279658486"/>
      <w:bookmarkStart w:id="1459" w:name="_Toc306570715"/>
      <w:bookmarkStart w:id="1460" w:name="_Toc307067776"/>
      <w:bookmarkStart w:id="1461" w:name="_Toc312169347"/>
      <w:bookmarkStart w:id="1462" w:name="_Toc312172274"/>
      <w:bookmarkStart w:id="1463" w:name="_Toc312257823"/>
      <w:r w:rsidRPr="006B72EF">
        <w:t>Practical significance</w:t>
      </w:r>
      <w:bookmarkEnd w:id="1458"/>
      <w:bookmarkEnd w:id="1459"/>
      <w:bookmarkEnd w:id="1460"/>
      <w:bookmarkEnd w:id="1461"/>
      <w:bookmarkEnd w:id="1462"/>
      <w:bookmarkEnd w:id="1463"/>
    </w:p>
    <w:p w:rsidR="006B72EF" w:rsidRPr="006B72EF" w:rsidRDefault="00EA4B51" w:rsidP="00AB26BE">
      <w:pPr>
        <w:spacing w:before="240" w:after="240" w:line="360" w:lineRule="auto"/>
        <w:jc w:val="both"/>
        <w:rPr>
          <w:rFonts w:eastAsia="Times New Roman"/>
          <w:color w:val="0D0D0D"/>
          <w:lang w:eastAsia="en-US"/>
        </w:rPr>
      </w:pPr>
      <w:r>
        <w:rPr>
          <w:rFonts w:eastAsia="Times New Roman"/>
          <w:color w:val="0D0D0D"/>
          <w:lang w:eastAsia="en-US"/>
        </w:rPr>
        <w:t>The</w:t>
      </w:r>
      <w:r w:rsidR="006B72EF" w:rsidRPr="006B72EF">
        <w:rPr>
          <w:rFonts w:eastAsia="Times New Roman"/>
          <w:color w:val="0D0D0D"/>
          <w:lang w:eastAsia="en-US"/>
        </w:rPr>
        <w:t xml:space="preserve"> data described the result obtained using the 10 different storag</w:t>
      </w:r>
      <w:r>
        <w:rPr>
          <w:rFonts w:eastAsia="Times New Roman"/>
          <w:color w:val="0D0D0D"/>
          <w:lang w:eastAsia="en-US"/>
        </w:rPr>
        <w:t>e condi</w:t>
      </w:r>
      <w:r w:rsidR="00D7041F">
        <w:rPr>
          <w:rFonts w:eastAsia="Times New Roman"/>
          <w:color w:val="0D0D0D"/>
          <w:lang w:eastAsia="en-US"/>
        </w:rPr>
        <w:t>tions as described in Table 3-16</w:t>
      </w:r>
      <w:r w:rsidR="006B72EF" w:rsidRPr="006B72EF">
        <w:rPr>
          <w:rFonts w:eastAsia="Times New Roman"/>
          <w:color w:val="0D0D0D"/>
          <w:lang w:eastAsia="en-US"/>
        </w:rPr>
        <w:t xml:space="preserve">, can lead to some alteration in the </w:t>
      </w:r>
      <w:r>
        <w:rPr>
          <w:rFonts w:eastAsia="Times New Roman"/>
          <w:color w:val="0D0D0D"/>
          <w:lang w:eastAsia="en-US"/>
        </w:rPr>
        <w:t xml:space="preserve">measured level of </w:t>
      </w:r>
      <w:r w:rsidR="006B72EF" w:rsidRPr="006B72EF">
        <w:rPr>
          <w:rFonts w:eastAsia="Times New Roman"/>
          <w:color w:val="0D0D0D"/>
          <w:lang w:eastAsia="en-US"/>
        </w:rPr>
        <w:t>proteins biomarkers, in the individual serum samples. However, in the majority of cases there was no statistically significant difference in the detected levels of the proteins biomarkers (VDB, Hp, SAA)</w:t>
      </w:r>
      <w:r w:rsidR="005253AC">
        <w:rPr>
          <w:rFonts w:eastAsia="Times New Roman"/>
          <w:color w:val="0D0D0D"/>
          <w:lang w:eastAsia="en-US"/>
        </w:rPr>
        <w:t>, t</w:t>
      </w:r>
      <w:r w:rsidR="006B72EF" w:rsidRPr="006B72EF">
        <w:rPr>
          <w:rFonts w:eastAsia="Times New Roman"/>
          <w:color w:val="0D0D0D"/>
          <w:lang w:eastAsia="en-US"/>
        </w:rPr>
        <w:t>hough, sample to sample biomarker varia</w:t>
      </w:r>
      <w:r w:rsidR="00F13E09">
        <w:rPr>
          <w:rFonts w:eastAsia="Times New Roman"/>
          <w:color w:val="0D0D0D"/>
          <w:lang w:eastAsia="en-US"/>
        </w:rPr>
        <w:t>tions are of course present. However</w:t>
      </w:r>
      <w:r w:rsidR="006B72EF" w:rsidRPr="006B72EF">
        <w:rPr>
          <w:rFonts w:eastAsia="Times New Roman"/>
          <w:color w:val="0D0D0D"/>
          <w:lang w:eastAsia="en-US"/>
        </w:rPr>
        <w:t>, the differences in the serum concentration of protein biomarkers stored at -20°C vers</w:t>
      </w:r>
      <w:r w:rsidR="00F13E09">
        <w:rPr>
          <w:rFonts w:eastAsia="Times New Roman"/>
          <w:color w:val="0D0D0D"/>
          <w:lang w:eastAsia="en-US"/>
        </w:rPr>
        <w:t xml:space="preserve">us -80°C were not significant. </w:t>
      </w:r>
      <w:r w:rsidR="006B72EF" w:rsidRPr="006B72EF">
        <w:rPr>
          <w:rFonts w:eastAsia="Times New Roman"/>
          <w:color w:val="0D0D0D"/>
          <w:lang w:eastAsia="en-US"/>
        </w:rPr>
        <w:t>The one exception to this is SAA level, with a slight trend towards a higher level w</w:t>
      </w:r>
      <w:r w:rsidR="00F13E09">
        <w:rPr>
          <w:rFonts w:eastAsia="Times New Roman"/>
          <w:color w:val="0D0D0D"/>
          <w:lang w:eastAsia="en-US"/>
        </w:rPr>
        <w:t>hen storage at -20°C</w:t>
      </w:r>
      <w:r w:rsidR="006B72EF" w:rsidRPr="006B72EF">
        <w:rPr>
          <w:rFonts w:eastAsia="Times New Roman"/>
          <w:color w:val="0D0D0D"/>
          <w:lang w:eastAsia="en-US"/>
        </w:rPr>
        <w:t xml:space="preserve">. However this trend is not the case in all samples and the difference is generally small. </w:t>
      </w:r>
      <w:r w:rsidR="005860B0">
        <w:rPr>
          <w:rFonts w:eastAsia="Times New Roman"/>
          <w:color w:val="0D0D0D"/>
          <w:lang w:eastAsia="en-US"/>
        </w:rPr>
        <w:t xml:space="preserve">Therefore </w:t>
      </w:r>
      <w:r w:rsidR="00F1278D">
        <w:rPr>
          <w:rFonts w:eastAsia="Times New Roman"/>
          <w:color w:val="0D0D0D"/>
          <w:lang w:eastAsia="en-US"/>
        </w:rPr>
        <w:t>(</w:t>
      </w:r>
      <w:r w:rsidR="006B72EF" w:rsidRPr="006B72EF">
        <w:rPr>
          <w:rFonts w:eastAsia="Times New Roman"/>
          <w:color w:val="0D0D0D"/>
          <w:lang w:eastAsia="en-US"/>
        </w:rPr>
        <w:t>access of a</w:t>
      </w:r>
      <w:r w:rsidR="00F1278D">
        <w:rPr>
          <w:rFonts w:eastAsia="Times New Roman"/>
          <w:color w:val="0D0D0D"/>
          <w:lang w:eastAsia="en-US"/>
        </w:rPr>
        <w:t xml:space="preserve"> range of conditions studied</w:t>
      </w:r>
      <w:r w:rsidR="005860B0">
        <w:rPr>
          <w:rFonts w:eastAsia="Times New Roman"/>
          <w:color w:val="0D0D0D"/>
          <w:lang w:eastAsia="en-US"/>
        </w:rPr>
        <w:t xml:space="preserve"> above</w:t>
      </w:r>
      <w:r w:rsidR="00F1278D">
        <w:rPr>
          <w:rFonts w:eastAsia="Times New Roman"/>
          <w:color w:val="0D0D0D"/>
          <w:lang w:eastAsia="en-US"/>
        </w:rPr>
        <w:t>)</w:t>
      </w:r>
      <w:r w:rsidR="006B72EF" w:rsidRPr="006B72EF">
        <w:rPr>
          <w:rFonts w:eastAsia="Times New Roman"/>
          <w:color w:val="0D0D0D"/>
          <w:lang w:eastAsia="en-US"/>
        </w:rPr>
        <w:t xml:space="preserve"> the </w:t>
      </w:r>
      <w:r w:rsidR="005860B0">
        <w:rPr>
          <w:rFonts w:eastAsia="Times New Roman"/>
          <w:color w:val="0D0D0D"/>
          <w:lang w:eastAsia="en-US"/>
        </w:rPr>
        <w:t xml:space="preserve">serum </w:t>
      </w:r>
      <w:r w:rsidR="006B72EF" w:rsidRPr="006B72EF">
        <w:rPr>
          <w:rFonts w:eastAsia="Times New Roman"/>
          <w:color w:val="0D0D0D"/>
          <w:lang w:eastAsia="en-US"/>
        </w:rPr>
        <w:t>level</w:t>
      </w:r>
      <w:r w:rsidR="00E8604E">
        <w:rPr>
          <w:rFonts w:eastAsia="Times New Roman"/>
          <w:color w:val="0D0D0D"/>
          <w:lang w:eastAsia="en-US"/>
        </w:rPr>
        <w:t>s</w:t>
      </w:r>
      <w:r w:rsidR="006B72EF" w:rsidRPr="006B72EF">
        <w:rPr>
          <w:rFonts w:eastAsia="Times New Roman"/>
          <w:color w:val="0D0D0D"/>
          <w:lang w:eastAsia="en-US"/>
        </w:rPr>
        <w:t xml:space="preserve"> of discovered protein biomarkers were relatively stable, indicating that a delay in processing of samples, which is so often happening in a true clinical and hospital setting, may not adversely affect the result obtained. </w:t>
      </w:r>
    </w:p>
    <w:p w:rsidR="006B72EF" w:rsidRDefault="006B72EF" w:rsidP="00057B42">
      <w:pPr>
        <w:spacing w:after="240" w:line="360" w:lineRule="auto"/>
        <w:jc w:val="both"/>
        <w:rPr>
          <w:rFonts w:eastAsia="Times New Roman"/>
          <w:color w:val="0D0D0D"/>
          <w:lang w:eastAsia="en-US"/>
        </w:rPr>
      </w:pPr>
    </w:p>
    <w:p w:rsidR="006C4CCB" w:rsidRDefault="006C4CCB" w:rsidP="00057B42">
      <w:pPr>
        <w:spacing w:after="240" w:line="360" w:lineRule="auto"/>
        <w:jc w:val="both"/>
        <w:rPr>
          <w:rFonts w:eastAsia="Times New Roman"/>
          <w:color w:val="0D0D0D"/>
          <w:lang w:eastAsia="en-US"/>
        </w:rPr>
      </w:pPr>
    </w:p>
    <w:p w:rsidR="006C4CCB" w:rsidRDefault="006C4CCB" w:rsidP="00057B42">
      <w:pPr>
        <w:spacing w:after="240" w:line="360" w:lineRule="auto"/>
        <w:jc w:val="both"/>
        <w:rPr>
          <w:rFonts w:eastAsia="Times New Roman"/>
          <w:color w:val="0D0D0D"/>
          <w:lang w:eastAsia="en-US"/>
        </w:rPr>
      </w:pPr>
    </w:p>
    <w:p w:rsidR="006C4CCB" w:rsidRPr="006B72EF" w:rsidRDefault="006C4CCB" w:rsidP="00057B42">
      <w:pPr>
        <w:spacing w:after="240" w:line="360" w:lineRule="auto"/>
        <w:jc w:val="both"/>
        <w:rPr>
          <w:rFonts w:eastAsia="Times New Roman"/>
          <w:color w:val="0D0D0D"/>
          <w:lang w:eastAsia="en-US"/>
        </w:rPr>
      </w:pPr>
    </w:p>
    <w:p w:rsidR="00424953" w:rsidRDefault="00424953">
      <w:pPr>
        <w:rPr>
          <w:rFonts w:cs="Arial"/>
          <w:b/>
          <w:bCs/>
          <w:iCs/>
          <w:sz w:val="26"/>
          <w:szCs w:val="26"/>
          <w:lang w:eastAsia="en-US"/>
        </w:rPr>
      </w:pPr>
      <w:bookmarkStart w:id="1464" w:name="_Toc279658487"/>
      <w:bookmarkStart w:id="1465" w:name="_Toc306570716"/>
      <w:bookmarkStart w:id="1466" w:name="_Toc307067777"/>
      <w:r>
        <w:br w:type="page"/>
      </w:r>
    </w:p>
    <w:p w:rsidR="006B72EF" w:rsidRPr="00156F5A" w:rsidRDefault="00156F5A" w:rsidP="00645687">
      <w:pPr>
        <w:pStyle w:val="Heading2"/>
      </w:pPr>
      <w:r>
        <w:lastRenderedPageBreak/>
        <w:tab/>
      </w:r>
      <w:bookmarkStart w:id="1467" w:name="_Toc312169348"/>
      <w:bookmarkStart w:id="1468" w:name="_Toc312172275"/>
      <w:bookmarkStart w:id="1469" w:name="_Toc312257824"/>
      <w:r w:rsidR="006B72EF" w:rsidRPr="00156F5A">
        <w:t>Quantification of discovered protein biomarkers in the serum of original cohort of patients; three months (Day-100) after initiation of thalidomide based therapy</w:t>
      </w:r>
      <w:bookmarkEnd w:id="1464"/>
      <w:bookmarkEnd w:id="1465"/>
      <w:bookmarkEnd w:id="1466"/>
      <w:bookmarkEnd w:id="1467"/>
      <w:bookmarkEnd w:id="1468"/>
      <w:bookmarkEnd w:id="1469"/>
    </w:p>
    <w:p w:rsidR="003B3D88" w:rsidRPr="003B3D88" w:rsidRDefault="003B3D88" w:rsidP="00000025">
      <w:pPr>
        <w:spacing w:line="276" w:lineRule="auto"/>
        <w:jc w:val="both"/>
        <w:rPr>
          <w:lang w:eastAsia="en-US"/>
        </w:rPr>
      </w:pPr>
    </w:p>
    <w:p w:rsidR="006B72EF" w:rsidRPr="00156F5A" w:rsidRDefault="00B55EFC" w:rsidP="00645687">
      <w:pPr>
        <w:pStyle w:val="Heading3"/>
      </w:pPr>
      <w:bookmarkStart w:id="1470" w:name="_Toc279436700"/>
      <w:bookmarkStart w:id="1471" w:name="_Toc279436895"/>
      <w:bookmarkStart w:id="1472" w:name="_Toc279658396"/>
      <w:bookmarkStart w:id="1473" w:name="_Toc279658488"/>
      <w:bookmarkStart w:id="1474" w:name="_Toc279658489"/>
      <w:bookmarkStart w:id="1475" w:name="_Toc306570717"/>
      <w:bookmarkStart w:id="1476" w:name="_Toc307067778"/>
      <w:bookmarkEnd w:id="1470"/>
      <w:bookmarkEnd w:id="1471"/>
      <w:bookmarkEnd w:id="1472"/>
      <w:bookmarkEnd w:id="1473"/>
      <w:r>
        <w:tab/>
      </w:r>
      <w:bookmarkStart w:id="1477" w:name="_Toc312169349"/>
      <w:bookmarkStart w:id="1478" w:name="_Toc312172276"/>
      <w:bookmarkStart w:id="1479" w:name="_Toc312257825"/>
      <w:r w:rsidR="006B72EF" w:rsidRPr="00156F5A">
        <w:t>Back ground</w:t>
      </w:r>
      <w:bookmarkEnd w:id="1474"/>
      <w:bookmarkEnd w:id="1475"/>
      <w:bookmarkEnd w:id="1476"/>
      <w:bookmarkEnd w:id="1477"/>
      <w:bookmarkEnd w:id="1478"/>
      <w:bookmarkEnd w:id="1479"/>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our previous study, as discussed in chapter 3 section 1, we discovered a panel of potential serum based protein biomarkers, which can predict response to thalidomide based therapy. The identified protein biomarkers include Zinc-alpha-2-glycoprotein (ZAG), Vitamin-D-binding-Precursor (VDB), Transthyretin (TYR), Serum-Amyloid-A-protein (SAA), beta-2-microglobulin (B2M) and Haptoglobin (Hp). One of the best possible biomarker</w:t>
      </w:r>
      <w:r w:rsidR="006C4CCB">
        <w:rPr>
          <w:rFonts w:eastAsia="Times New Roman"/>
          <w:color w:val="0D0D0D"/>
          <w:lang w:eastAsia="en-US"/>
        </w:rPr>
        <w:t>s</w:t>
      </w:r>
      <w:r w:rsidRPr="006B72EF">
        <w:rPr>
          <w:rFonts w:eastAsia="Times New Roman"/>
          <w:color w:val="0D0D0D"/>
          <w:lang w:eastAsia="en-US"/>
        </w:rPr>
        <w:t xml:space="preserve"> for predicting response to thalidomide was using serum levels of Hp, VDB and SAA in combinations.  This combination can be successfully employed to predict response to</w:t>
      </w:r>
      <w:r w:rsidR="00940AB3">
        <w:rPr>
          <w:rFonts w:eastAsia="Times New Roman"/>
          <w:color w:val="0D0D0D"/>
          <w:lang w:eastAsia="en-US"/>
        </w:rPr>
        <w:t xml:space="preserve"> thalidomide in approximately 86</w:t>
      </w:r>
      <w:r w:rsidRPr="006B72EF">
        <w:rPr>
          <w:rFonts w:eastAsia="Times New Roman"/>
          <w:color w:val="0D0D0D"/>
          <w:lang w:eastAsia="en-US"/>
        </w:rPr>
        <w:t xml:space="preserve">% of cases. </w:t>
      </w:r>
    </w:p>
    <w:p w:rsidR="003B3D88" w:rsidRPr="006B72EF" w:rsidRDefault="003B3D88" w:rsidP="00057B42">
      <w:pPr>
        <w:spacing w:after="240" w:line="360" w:lineRule="auto"/>
        <w:jc w:val="both"/>
        <w:rPr>
          <w:rFonts w:eastAsia="Times New Roman"/>
          <w:color w:val="0D0D0D"/>
          <w:lang w:eastAsia="en-US"/>
        </w:rPr>
      </w:pPr>
    </w:p>
    <w:p w:rsidR="006B72EF" w:rsidRDefault="006B72EF" w:rsidP="00645687">
      <w:pPr>
        <w:pStyle w:val="Heading3"/>
      </w:pPr>
      <w:r w:rsidRPr="006B72EF">
        <w:tab/>
      </w:r>
      <w:bookmarkStart w:id="1480" w:name="_Toc279658490"/>
      <w:bookmarkStart w:id="1481" w:name="_Toc306570718"/>
      <w:bookmarkStart w:id="1482" w:name="_Toc307067779"/>
      <w:bookmarkStart w:id="1483" w:name="_Toc312169350"/>
      <w:bookmarkStart w:id="1484" w:name="_Toc312172277"/>
      <w:bookmarkStart w:id="1485" w:name="_Toc312257826"/>
      <w:r w:rsidRPr="006B72EF">
        <w:t>Objectives</w:t>
      </w:r>
      <w:bookmarkEnd w:id="1480"/>
      <w:bookmarkEnd w:id="1481"/>
      <w:bookmarkEnd w:id="1482"/>
      <w:bookmarkEnd w:id="1483"/>
      <w:bookmarkEnd w:id="1484"/>
      <w:bookmarkEnd w:id="1485"/>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overall goal of this study was to evaluate changes in the serum level of potential biomarkers in multiple myeloma patients. The levels of Hp, VDB and SAA were measured in unfractionated serum samples before and after three months of treatment with thalidomide using an ELISA based assay.</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We also sought to assess a potential correlation between the variations in serum level of these biomarkers and objective tumour response.</w:t>
      </w:r>
      <w:bookmarkStart w:id="1486" w:name="OLE_LINK7"/>
      <w:bookmarkStart w:id="1487" w:name="OLE_LINK9"/>
      <w:r w:rsidRPr="006B72EF">
        <w:rPr>
          <w:rFonts w:eastAsia="Times New Roman"/>
          <w:color w:val="0D0D0D"/>
          <w:lang w:eastAsia="en-US"/>
        </w:rPr>
        <w:t xml:space="preserve"> </w:t>
      </w:r>
      <w:bookmarkEnd w:id="1486"/>
      <w:bookmarkEnd w:id="1487"/>
      <w:r w:rsidRPr="006B72EF">
        <w:rPr>
          <w:rFonts w:eastAsia="Times New Roman"/>
          <w:color w:val="0D0D0D"/>
          <w:lang w:eastAsia="en-US"/>
        </w:rPr>
        <w:t>This was a prospective study and subjects included multiple myeloma patients attending the haematology department of Mater University Hospital. Sample preparation deta</w:t>
      </w:r>
      <w:r w:rsidR="00DC74BE">
        <w:rPr>
          <w:rFonts w:eastAsia="Times New Roman"/>
          <w:color w:val="0D0D0D"/>
          <w:lang w:eastAsia="en-US"/>
        </w:rPr>
        <w:t xml:space="preserve">ils are provided in ‘Chapter 2-Materials </w:t>
      </w:r>
      <w:r w:rsidR="0010315E">
        <w:rPr>
          <w:rFonts w:eastAsia="Times New Roman"/>
          <w:color w:val="0D0D0D"/>
          <w:lang w:eastAsia="en-US"/>
        </w:rPr>
        <w:t>and</w:t>
      </w:r>
      <w:r w:rsidR="00621943">
        <w:rPr>
          <w:rFonts w:eastAsia="Times New Roman"/>
          <w:color w:val="0D0D0D"/>
          <w:lang w:eastAsia="en-US"/>
        </w:rPr>
        <w:t xml:space="preserve"> Methods page 11</w:t>
      </w:r>
      <w:r w:rsidR="00DC74BE">
        <w:rPr>
          <w:rFonts w:eastAsia="Times New Roman"/>
          <w:color w:val="0D0D0D"/>
          <w:lang w:eastAsia="en-US"/>
        </w:rPr>
        <w:t>1</w:t>
      </w:r>
      <w:r w:rsidRPr="006B72EF">
        <w:rPr>
          <w:rFonts w:eastAsia="Times New Roman"/>
          <w:color w:val="0D0D0D"/>
          <w:lang w:eastAsia="en-US"/>
        </w:rPr>
        <w:t xml:space="preserve">’.  Briefly, this study was approved by the local ethics committee in Mater Misericordiae University Hospital and informed, written consent was obtained from all patients.  Serum samples were collected according to standard phlebotomy procedures, were coded and transported on ice to the laboratory. The tubes were centrifuged at 400xG for 30 minutes at 4°C. Serums samples were aliquoted in the cryovial tubes, labelled and stored at -80°C until time </w:t>
      </w:r>
      <w:r w:rsidRPr="006B72EF">
        <w:rPr>
          <w:rFonts w:eastAsia="Times New Roman"/>
          <w:color w:val="0D0D0D"/>
          <w:lang w:eastAsia="en-US"/>
        </w:rPr>
        <w:lastRenderedPageBreak/>
        <w:t xml:space="preserve">of analysis. The time from sample procurement to storage at -80ºC was less than 3 hours. Finally samples were analysed using commercially available ELISA kits. </w:t>
      </w:r>
    </w:p>
    <w:p w:rsidR="006B72EF" w:rsidRPr="006B72EF" w:rsidRDefault="006B72EF" w:rsidP="00057B42">
      <w:pPr>
        <w:spacing w:after="240" w:line="360" w:lineRule="auto"/>
        <w:jc w:val="both"/>
        <w:rPr>
          <w:rFonts w:eastAsia="Times New Roman"/>
          <w:color w:val="0D0D0D"/>
          <w:lang w:eastAsia="en-US"/>
        </w:rPr>
      </w:pPr>
    </w:p>
    <w:p w:rsidR="006B72EF" w:rsidRDefault="006B72EF" w:rsidP="00645687">
      <w:pPr>
        <w:pStyle w:val="Heading3"/>
      </w:pPr>
      <w:r w:rsidRPr="006B72EF">
        <w:tab/>
      </w:r>
      <w:bookmarkStart w:id="1488" w:name="_Toc279658491"/>
      <w:bookmarkStart w:id="1489" w:name="_Toc306570719"/>
      <w:bookmarkStart w:id="1490" w:name="_Toc307067780"/>
      <w:bookmarkStart w:id="1491" w:name="_Toc312169351"/>
      <w:bookmarkStart w:id="1492" w:name="_Toc312172278"/>
      <w:bookmarkStart w:id="1493" w:name="_Toc312257827"/>
      <w:r w:rsidRPr="006B72EF">
        <w:t>Patients’ samples data set fo</w:t>
      </w:r>
      <w:r w:rsidR="005D74B5">
        <w:t>r the biomarker level at D</w:t>
      </w:r>
      <w:r w:rsidRPr="006B72EF">
        <w:t>ay-100 restaging</w:t>
      </w:r>
      <w:bookmarkEnd w:id="1488"/>
      <w:bookmarkEnd w:id="1489"/>
      <w:bookmarkEnd w:id="1490"/>
      <w:bookmarkEnd w:id="1491"/>
      <w:bookmarkEnd w:id="1492"/>
      <w:bookmarkEnd w:id="1493"/>
    </w:p>
    <w:p w:rsidR="006B72EF" w:rsidRDefault="003B3D88" w:rsidP="00645687">
      <w:pPr>
        <w:pStyle w:val="Heading4"/>
      </w:pPr>
      <w:bookmarkStart w:id="1494" w:name="_Toc279658492"/>
      <w:r>
        <w:tab/>
      </w:r>
      <w:bookmarkStart w:id="1495" w:name="_Toc306570720"/>
      <w:bookmarkStart w:id="1496" w:name="_Toc307067781"/>
      <w:bookmarkStart w:id="1497" w:name="_Toc312169352"/>
      <w:bookmarkStart w:id="1498" w:name="_Toc312172279"/>
      <w:bookmarkStart w:id="1499" w:name="_Toc312257828"/>
      <w:r w:rsidR="006B72EF" w:rsidRPr="006B72EF">
        <w:t>Age and Gender</w:t>
      </w:r>
      <w:bookmarkEnd w:id="1494"/>
      <w:bookmarkEnd w:id="1495"/>
      <w:bookmarkEnd w:id="1496"/>
      <w:bookmarkEnd w:id="1497"/>
      <w:bookmarkEnd w:id="1498"/>
      <w:bookmarkEnd w:id="1499"/>
    </w:p>
    <w:p w:rsidR="006B72EF" w:rsidRDefault="006B72EF" w:rsidP="00621943">
      <w:pPr>
        <w:spacing w:before="240" w:after="240" w:line="360" w:lineRule="auto"/>
        <w:jc w:val="both"/>
        <w:rPr>
          <w:rFonts w:eastAsia="Times New Roman"/>
          <w:color w:val="0D0D0D"/>
          <w:lang w:eastAsia="en-US"/>
        </w:rPr>
      </w:pPr>
      <w:r w:rsidRPr="006B72EF">
        <w:rPr>
          <w:rFonts w:eastAsia="Times New Roman"/>
          <w:color w:val="0D0D0D"/>
          <w:lang w:eastAsia="en-US"/>
        </w:rPr>
        <w:t xml:space="preserve">The mean age of the patient group was </w:t>
      </w:r>
      <w:r w:rsidR="00621943">
        <w:rPr>
          <w:rFonts w:eastAsia="Times New Roman"/>
          <w:color w:val="0D0D0D"/>
          <w:lang w:eastAsia="en-US"/>
        </w:rPr>
        <w:t>67 SD +/- 4.95 years (range 60-</w:t>
      </w:r>
      <w:r w:rsidRPr="006B72EF">
        <w:rPr>
          <w:rFonts w:eastAsia="Times New Roman"/>
          <w:color w:val="0D0D0D"/>
          <w:lang w:eastAsia="en-US"/>
        </w:rPr>
        <w:t xml:space="preserve">78 years). There were 14 male </w:t>
      </w:r>
      <w:r w:rsidR="003B3D88">
        <w:rPr>
          <w:rFonts w:eastAsia="Times New Roman"/>
          <w:color w:val="0D0D0D"/>
          <w:lang w:eastAsia="en-US"/>
        </w:rPr>
        <w:t>and 11 female patients (Table 3-</w:t>
      </w:r>
      <w:r w:rsidR="00621943">
        <w:rPr>
          <w:rFonts w:eastAsia="Times New Roman"/>
          <w:color w:val="0D0D0D"/>
          <w:lang w:eastAsia="en-US"/>
        </w:rPr>
        <w:t>26</w:t>
      </w:r>
      <w:r w:rsidRPr="006B72EF">
        <w:rPr>
          <w:rFonts w:eastAsia="Times New Roman"/>
          <w:color w:val="0D0D0D"/>
          <w:lang w:eastAsia="en-US"/>
        </w:rPr>
        <w:t>).</w:t>
      </w:r>
    </w:p>
    <w:p w:rsidR="004721F1" w:rsidRDefault="004721F1" w:rsidP="00057B42">
      <w:pPr>
        <w:spacing w:after="240" w:line="360" w:lineRule="auto"/>
        <w:jc w:val="both"/>
        <w:rPr>
          <w:rFonts w:eastAsia="Times New Roman"/>
          <w:color w:val="0D0D0D"/>
          <w:lang w:eastAsia="en-US"/>
        </w:rPr>
      </w:pPr>
    </w:p>
    <w:p w:rsidR="006B72EF" w:rsidRDefault="003B3D88" w:rsidP="00645687">
      <w:pPr>
        <w:pStyle w:val="Heading4"/>
      </w:pPr>
      <w:bookmarkStart w:id="1500" w:name="_Toc279658493"/>
      <w:r>
        <w:tab/>
      </w:r>
      <w:bookmarkStart w:id="1501" w:name="_Toc306570721"/>
      <w:bookmarkStart w:id="1502" w:name="_Toc307067782"/>
      <w:bookmarkStart w:id="1503" w:name="_Toc312169353"/>
      <w:bookmarkStart w:id="1504" w:name="_Toc312172280"/>
      <w:bookmarkStart w:id="1505" w:name="_Toc312257829"/>
      <w:r w:rsidR="006B72EF" w:rsidRPr="006B72EF">
        <w:t>Response to anti- myeloma treatment</w:t>
      </w:r>
      <w:bookmarkEnd w:id="1500"/>
      <w:bookmarkEnd w:id="1501"/>
      <w:bookmarkEnd w:id="1502"/>
      <w:bookmarkEnd w:id="1503"/>
      <w:bookmarkEnd w:id="1504"/>
      <w:bookmarkEnd w:id="1505"/>
    </w:p>
    <w:p w:rsidR="006B72EF" w:rsidRPr="006B72EF" w:rsidRDefault="00C76C1D" w:rsidP="00057B42">
      <w:pPr>
        <w:spacing w:after="240" w:line="360" w:lineRule="auto"/>
        <w:jc w:val="both"/>
        <w:rPr>
          <w:rFonts w:eastAsia="Times New Roman"/>
          <w:color w:val="0D0D0D"/>
          <w:lang w:eastAsia="en-US"/>
        </w:rPr>
      </w:pPr>
      <w:r>
        <w:rPr>
          <w:rFonts w:eastAsia="Times New Roman"/>
          <w:color w:val="0D0D0D"/>
          <w:lang w:eastAsia="en-US"/>
        </w:rPr>
        <w:t xml:space="preserve"> Based on D</w:t>
      </w:r>
      <w:r w:rsidR="006B72EF" w:rsidRPr="006B72EF">
        <w:rPr>
          <w:rFonts w:eastAsia="Times New Roman"/>
          <w:color w:val="0D0D0D"/>
          <w:lang w:eastAsia="en-US"/>
        </w:rPr>
        <w:t xml:space="preserve">ay-100 re-staging investigations of multiple myeloma and using the International Myeloma Working Group uniform response criteria for MM, patients were classified as following: </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Fourteen patients were responders to thalidomide-based therapy. The median age for this group was 67 SD +/- 3.98 years (range, 60-72 years)</w:t>
      </w:r>
      <w:r w:rsidR="007876AD">
        <w:rPr>
          <w:rFonts w:eastAsia="Times New Roman"/>
          <w:color w:val="0D0D0D"/>
          <w:lang w:eastAsia="en-US"/>
        </w:rPr>
        <w:t>.</w:t>
      </w:r>
      <w:r w:rsidRPr="006B72EF">
        <w:rPr>
          <w:rFonts w:eastAsia="Times New Roman"/>
          <w:color w:val="0D0D0D"/>
          <w:lang w:eastAsia="en-US"/>
        </w:rPr>
        <w:t>Eleven patients were non-responders to thalidomide-based therapy. The median age for this group was 71 SD +/- 5.45 years (range, 61-78 years).</w:t>
      </w:r>
    </w:p>
    <w:p w:rsidR="004721F1" w:rsidRDefault="004721F1" w:rsidP="00057B42">
      <w:pPr>
        <w:spacing w:after="240" w:line="360" w:lineRule="auto"/>
        <w:jc w:val="both"/>
        <w:rPr>
          <w:rFonts w:eastAsia="Times New Roman"/>
          <w:color w:val="0D0D0D"/>
          <w:lang w:eastAsia="en-US"/>
        </w:rPr>
      </w:pPr>
    </w:p>
    <w:p w:rsidR="006B72EF" w:rsidRDefault="003B3D88" w:rsidP="00645687">
      <w:pPr>
        <w:pStyle w:val="Heading4"/>
      </w:pPr>
      <w:bookmarkStart w:id="1506" w:name="_Toc279658494"/>
      <w:r>
        <w:tab/>
      </w:r>
      <w:bookmarkStart w:id="1507" w:name="_Toc306570722"/>
      <w:bookmarkStart w:id="1508" w:name="_Toc307067783"/>
      <w:bookmarkStart w:id="1509" w:name="_Toc312169354"/>
      <w:bookmarkStart w:id="1510" w:name="_Toc312172281"/>
      <w:bookmarkStart w:id="1511" w:name="_Toc312257830"/>
      <w:r w:rsidR="006B72EF" w:rsidRPr="006B72EF">
        <w:t>Disease staging</w:t>
      </w:r>
      <w:bookmarkEnd w:id="1506"/>
      <w:bookmarkEnd w:id="1507"/>
      <w:bookmarkEnd w:id="1508"/>
      <w:bookmarkEnd w:id="1509"/>
      <w:bookmarkEnd w:id="1510"/>
      <w:bookmarkEnd w:id="1511"/>
    </w:p>
    <w:p w:rsidR="004721F1" w:rsidRPr="004721F1" w:rsidRDefault="004721F1" w:rsidP="004721F1">
      <w:pPr>
        <w:rPr>
          <w:lang w:eastAsia="en-US"/>
        </w:rPr>
      </w:pPr>
    </w:p>
    <w:p w:rsidR="006B72EF" w:rsidRPr="006B72EF" w:rsidRDefault="006B72EF" w:rsidP="007876AD">
      <w:pPr>
        <w:spacing w:line="360" w:lineRule="auto"/>
        <w:jc w:val="both"/>
        <w:rPr>
          <w:rFonts w:eastAsia="Times New Roman"/>
          <w:color w:val="0D0D0D"/>
          <w:lang w:eastAsia="en-US"/>
        </w:rPr>
      </w:pPr>
      <w:r w:rsidRPr="006B72EF">
        <w:rPr>
          <w:rFonts w:eastAsia="Times New Roman"/>
          <w:color w:val="0D0D0D"/>
          <w:lang w:eastAsia="en-US"/>
        </w:rPr>
        <w:t>Using International Staging System (ISS)</w:t>
      </w:r>
      <w:r w:rsidR="00E25D9A">
        <w:rPr>
          <w:rFonts w:eastAsia="Times New Roman"/>
          <w:color w:val="0D0D0D"/>
          <w:lang w:eastAsia="en-US"/>
        </w:rPr>
        <w:t xml:space="preserve"> MM</w:t>
      </w:r>
      <w:r w:rsidRPr="006B72EF">
        <w:rPr>
          <w:rFonts w:eastAsia="Times New Roman"/>
          <w:color w:val="0D0D0D"/>
          <w:lang w:eastAsia="en-US"/>
        </w:rPr>
        <w:t xml:space="preserve"> classification, patients</w:t>
      </w:r>
      <w:r w:rsidR="00E25D9A">
        <w:rPr>
          <w:rFonts w:eastAsia="Times New Roman"/>
          <w:color w:val="0D0D0D"/>
          <w:lang w:eastAsia="en-US"/>
        </w:rPr>
        <w:t xml:space="preserve"> disease was staged. </w:t>
      </w:r>
      <w:r w:rsidRPr="006B72EF">
        <w:rPr>
          <w:rFonts w:eastAsia="Times New Roman"/>
          <w:color w:val="0D0D0D"/>
          <w:lang w:eastAsia="en-US"/>
        </w:rPr>
        <w:t xml:space="preserve">Three responding multiple myeloma patients had stage I, seven had stage II and </w:t>
      </w:r>
      <w:r w:rsidR="00E25D9A">
        <w:rPr>
          <w:rFonts w:eastAsia="Times New Roman"/>
          <w:color w:val="0D0D0D"/>
          <w:lang w:eastAsia="en-US"/>
        </w:rPr>
        <w:t xml:space="preserve">the </w:t>
      </w:r>
      <w:r w:rsidRPr="006B72EF">
        <w:rPr>
          <w:rFonts w:eastAsia="Times New Roman"/>
          <w:color w:val="0D0D0D"/>
          <w:lang w:eastAsia="en-US"/>
        </w:rPr>
        <w:t>remaining four patients had stage III disease</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One non-resp</w:t>
      </w:r>
      <w:r w:rsidR="00E25D9A">
        <w:rPr>
          <w:rFonts w:eastAsia="Times New Roman"/>
          <w:color w:val="0D0D0D"/>
          <w:lang w:eastAsia="en-US"/>
        </w:rPr>
        <w:t>onding multiple myeloma patient</w:t>
      </w:r>
      <w:r w:rsidRPr="006B72EF">
        <w:rPr>
          <w:rFonts w:eastAsia="Times New Roman"/>
          <w:color w:val="0D0D0D"/>
          <w:lang w:eastAsia="en-US"/>
        </w:rPr>
        <w:t xml:space="preserve"> had stage I disease, five had stage II and remaining five patients</w:t>
      </w:r>
      <w:r w:rsidR="003B3D88">
        <w:rPr>
          <w:rFonts w:eastAsia="Times New Roman"/>
          <w:color w:val="0D0D0D"/>
          <w:lang w:eastAsia="en-US"/>
        </w:rPr>
        <w:t xml:space="preserve"> h</w:t>
      </w:r>
      <w:r w:rsidR="00621943">
        <w:rPr>
          <w:rFonts w:eastAsia="Times New Roman"/>
          <w:color w:val="0D0D0D"/>
          <w:lang w:eastAsia="en-US"/>
        </w:rPr>
        <w:t>ad stage III disease (Table 3-26</w:t>
      </w:r>
      <w:r w:rsidRPr="006B72EF">
        <w:rPr>
          <w:rFonts w:eastAsia="Times New Roman"/>
          <w:color w:val="0D0D0D"/>
          <w:lang w:eastAsia="en-US"/>
        </w:rPr>
        <w:t>).</w:t>
      </w:r>
    </w:p>
    <w:p w:rsidR="004721F1" w:rsidRDefault="006B72EF" w:rsidP="00645687">
      <w:pPr>
        <w:pStyle w:val="Heading4"/>
        <w:numPr>
          <w:ilvl w:val="0"/>
          <w:numId w:val="0"/>
        </w:numPr>
        <w:ind w:left="426"/>
      </w:pPr>
      <w:r w:rsidRPr="006B72EF">
        <w:tab/>
      </w:r>
      <w:bookmarkStart w:id="1512" w:name="_Toc279658495"/>
      <w:bookmarkStart w:id="1513" w:name="_Toc306570723"/>
      <w:bookmarkStart w:id="1514" w:name="_Toc307067784"/>
    </w:p>
    <w:p w:rsidR="004721F1" w:rsidRDefault="004721F1">
      <w:pPr>
        <w:rPr>
          <w:b/>
          <w:bCs/>
          <w:sz w:val="26"/>
          <w:szCs w:val="26"/>
          <w:lang w:eastAsia="en-US"/>
        </w:rPr>
      </w:pPr>
      <w:r>
        <w:br w:type="page"/>
      </w:r>
    </w:p>
    <w:p w:rsidR="006B72EF" w:rsidRDefault="004721F1" w:rsidP="00645687">
      <w:pPr>
        <w:pStyle w:val="Heading4"/>
      </w:pPr>
      <w:r>
        <w:lastRenderedPageBreak/>
        <w:tab/>
      </w:r>
      <w:bookmarkStart w:id="1515" w:name="_Toc312169355"/>
      <w:bookmarkStart w:id="1516" w:name="_Toc312172282"/>
      <w:bookmarkStart w:id="1517" w:name="_Toc312257831"/>
      <w:r w:rsidR="006B72EF" w:rsidRPr="006B72EF">
        <w:t>Treatment protocols</w:t>
      </w:r>
      <w:bookmarkEnd w:id="1512"/>
      <w:bookmarkEnd w:id="1513"/>
      <w:bookmarkEnd w:id="1514"/>
      <w:bookmarkEnd w:id="1515"/>
      <w:bookmarkEnd w:id="1516"/>
      <w:bookmarkEnd w:id="1517"/>
    </w:p>
    <w:p w:rsidR="004721F1" w:rsidRPr="004721F1" w:rsidRDefault="004721F1" w:rsidP="004721F1">
      <w:pPr>
        <w:rPr>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All patients received a standard thalidomide based anti-myeloma regimen. Responses to treatment were assessed based on Day-100 re-staging investigations and using the International Myeloma Working Group (IMWG) uniform response criteria (</w:t>
      </w:r>
      <w:r w:rsidR="00DC74BE">
        <w:rPr>
          <w:rFonts w:eastAsia="Times New Roman"/>
          <w:color w:val="0D0D0D"/>
          <w:lang w:eastAsia="en-US"/>
        </w:rPr>
        <w:t>Introduction-</w:t>
      </w:r>
      <w:r w:rsidRPr="006B72EF">
        <w:rPr>
          <w:rFonts w:eastAsia="Times New Roman"/>
          <w:color w:val="0D0D0D"/>
          <w:lang w:eastAsia="en-US"/>
        </w:rPr>
        <w:t xml:space="preserve">Chapter 1, </w:t>
      </w:r>
      <w:r w:rsidR="00DC74BE">
        <w:rPr>
          <w:rFonts w:eastAsia="Times New Roman"/>
          <w:color w:val="0D0D0D"/>
          <w:lang w:eastAsia="en-US"/>
        </w:rPr>
        <w:t>page 53</w:t>
      </w:r>
      <w:r w:rsidRPr="006B72EF">
        <w:rPr>
          <w:rFonts w:eastAsia="Times New Roman"/>
          <w:color w:val="0D0D0D"/>
          <w:lang w:eastAsia="en-US"/>
        </w:rPr>
        <w:t>). In this study, in the responder group, 6 patients achieved complete response (CR) and 8 achieved very good partial response (VGPR). Two of non-responders had Stable disease (SD) and the remaining nine were classified as Pro</w:t>
      </w:r>
      <w:r w:rsidR="00AC36BF">
        <w:rPr>
          <w:rFonts w:eastAsia="Times New Roman"/>
          <w:color w:val="0D0D0D"/>
          <w:lang w:eastAsia="en-US"/>
        </w:rPr>
        <w:t>g</w:t>
      </w:r>
      <w:r w:rsidR="00621943">
        <w:rPr>
          <w:rFonts w:eastAsia="Times New Roman"/>
          <w:color w:val="0D0D0D"/>
          <w:lang w:eastAsia="en-US"/>
        </w:rPr>
        <w:t>ressive disease (PD) (Table 3-26</w:t>
      </w:r>
      <w:r w:rsidRPr="006B72EF">
        <w:rPr>
          <w:rFonts w:eastAsia="Times New Roman"/>
          <w:color w:val="0D0D0D"/>
          <w:lang w:eastAsia="en-US"/>
        </w:rPr>
        <w:t xml:space="preserve">). </w:t>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1ED6C0EA" wp14:editId="2FB39D36">
            <wp:extent cx="5201920" cy="6443980"/>
            <wp:effectExtent l="0" t="0" r="0" b="0"/>
            <wp:docPr id="80"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01920" cy="6443980"/>
                    </a:xfrm>
                    <a:prstGeom prst="rect">
                      <a:avLst/>
                    </a:prstGeom>
                    <a:noFill/>
                    <a:ln>
                      <a:noFill/>
                    </a:ln>
                  </pic:spPr>
                </pic:pic>
              </a:graphicData>
            </a:graphic>
          </wp:inline>
        </w:drawing>
      </w:r>
    </w:p>
    <w:p w:rsidR="006B72EF" w:rsidRDefault="006B72EF" w:rsidP="00057B42">
      <w:pPr>
        <w:spacing w:after="240" w:line="360" w:lineRule="auto"/>
        <w:jc w:val="both"/>
        <w:rPr>
          <w:rFonts w:eastAsia="Times New Roman"/>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26</w:t>
      </w:r>
      <w:r w:rsidR="00B55EFC">
        <w:rPr>
          <w:rFonts w:eastAsia="Times New Roman"/>
          <w:b/>
          <w:color w:val="0D0D0D"/>
          <w:lang w:eastAsia="en-US"/>
        </w:rPr>
        <w:fldChar w:fldCharType="end"/>
      </w:r>
      <w:r w:rsidRPr="006B72EF">
        <w:rPr>
          <w:rFonts w:eastAsia="Times New Roman"/>
          <w:b/>
          <w:color w:val="0D0D0D"/>
          <w:lang w:eastAsia="en-US"/>
        </w:rPr>
        <w:t xml:space="preserve"> outlines the clinical details for the patients included in this study, including their age, sex, ISS (International Staging System), Day-100 restaging results based on IMWG uniform response criteria for MM. Abbreviations; CR: complete response, VGPR: very good partial response, SD: stable disease, PD: Progressive disease, R: Responders to thalidomide-based therapy, NR: Non-responders to thalidomide-based therapy, M: male, F: female. </w:t>
      </w:r>
      <w:r w:rsidRPr="006B72EF">
        <w:rPr>
          <w:rFonts w:eastAsia="Times New Roman"/>
          <w:color w:val="0D0D0D"/>
          <w:lang w:eastAsia="en-US"/>
        </w:rPr>
        <w:t xml:space="preserve"> </w:t>
      </w:r>
    </w:p>
    <w:p w:rsidR="004721F1" w:rsidRDefault="003B3D88" w:rsidP="00645687">
      <w:pPr>
        <w:pStyle w:val="Heading4"/>
        <w:numPr>
          <w:ilvl w:val="0"/>
          <w:numId w:val="0"/>
        </w:numPr>
        <w:ind w:left="426"/>
      </w:pPr>
      <w:r>
        <w:tab/>
      </w:r>
      <w:bookmarkStart w:id="1518" w:name="_Toc306570724"/>
      <w:bookmarkStart w:id="1519" w:name="_Toc307067785"/>
    </w:p>
    <w:p w:rsidR="004721F1" w:rsidRDefault="004721F1">
      <w:pPr>
        <w:rPr>
          <w:b/>
          <w:bCs/>
          <w:sz w:val="26"/>
          <w:szCs w:val="26"/>
          <w:lang w:eastAsia="en-US"/>
        </w:rPr>
      </w:pPr>
      <w:r>
        <w:br w:type="page"/>
      </w:r>
    </w:p>
    <w:p w:rsidR="006B72EF" w:rsidRDefault="004721F1" w:rsidP="00645687">
      <w:pPr>
        <w:pStyle w:val="Heading4"/>
      </w:pPr>
      <w:r>
        <w:lastRenderedPageBreak/>
        <w:tab/>
      </w:r>
      <w:bookmarkStart w:id="1520" w:name="_Toc312169356"/>
      <w:bookmarkStart w:id="1521" w:name="_Toc312172283"/>
      <w:bookmarkStart w:id="1522" w:name="_Toc312257832"/>
      <w:r w:rsidR="006B72EF" w:rsidRPr="006B72EF">
        <w:t>Statistical analysis</w:t>
      </w:r>
      <w:bookmarkEnd w:id="1518"/>
      <w:bookmarkEnd w:id="1519"/>
      <w:bookmarkEnd w:id="1520"/>
      <w:bookmarkEnd w:id="1521"/>
      <w:bookmarkEnd w:id="1522"/>
    </w:p>
    <w:p w:rsidR="006B72EF" w:rsidRDefault="006B72EF" w:rsidP="00596404">
      <w:pPr>
        <w:spacing w:before="240" w:after="240" w:line="360" w:lineRule="auto"/>
        <w:jc w:val="both"/>
        <w:rPr>
          <w:rFonts w:eastAsia="Times New Roman"/>
          <w:color w:val="0D0D0D"/>
          <w:lang w:eastAsia="en-US"/>
        </w:rPr>
      </w:pPr>
      <w:r w:rsidRPr="006B72EF">
        <w:rPr>
          <w:rFonts w:eastAsia="Times New Roman"/>
          <w:color w:val="0D0D0D"/>
          <w:lang w:eastAsia="en-US"/>
        </w:rPr>
        <w:t xml:space="preserve">Statistical analysis was performed using SPSS Statistics 17.0 software. A </w:t>
      </w:r>
      <w:r w:rsidRPr="00D774D1">
        <w:rPr>
          <w:rFonts w:eastAsia="Times New Roman"/>
          <w:i/>
          <w:color w:val="0D0D0D"/>
          <w:lang w:eastAsia="en-US"/>
        </w:rPr>
        <w:t>p</w:t>
      </w:r>
      <w:r w:rsidRPr="006B72EF">
        <w:rPr>
          <w:rFonts w:eastAsia="Times New Roman"/>
          <w:color w:val="0D0D0D"/>
          <w:lang w:eastAsia="en-US"/>
        </w:rPr>
        <w:t xml:space="preserve"> value of ≤ 0.05 was considered a statistically significant in difference </w:t>
      </w:r>
      <w:r w:rsidR="00D774D1">
        <w:rPr>
          <w:rFonts w:eastAsia="Times New Roman"/>
          <w:color w:val="0D0D0D"/>
          <w:lang w:eastAsia="en-US"/>
        </w:rPr>
        <w:t xml:space="preserve">in serum </w:t>
      </w:r>
      <w:r w:rsidRPr="006B72EF">
        <w:rPr>
          <w:rFonts w:eastAsia="Times New Roman"/>
          <w:color w:val="0D0D0D"/>
          <w:lang w:eastAsia="en-US"/>
        </w:rPr>
        <w:t>level.</w:t>
      </w:r>
    </w:p>
    <w:p w:rsidR="004721F1" w:rsidRDefault="004721F1" w:rsidP="00057B42">
      <w:pPr>
        <w:spacing w:after="240" w:line="360" w:lineRule="auto"/>
        <w:jc w:val="both"/>
        <w:rPr>
          <w:rFonts w:eastAsia="Times New Roman"/>
          <w:color w:val="0D0D0D"/>
          <w:lang w:eastAsia="en-US"/>
        </w:rPr>
      </w:pPr>
    </w:p>
    <w:p w:rsidR="006B72EF" w:rsidRDefault="006B72EF" w:rsidP="00645687">
      <w:pPr>
        <w:pStyle w:val="Heading4"/>
      </w:pPr>
      <w:r w:rsidRPr="006B72EF">
        <w:tab/>
      </w:r>
      <w:bookmarkStart w:id="1523" w:name="_Toc279658496"/>
      <w:bookmarkStart w:id="1524" w:name="_Toc306570725"/>
      <w:bookmarkStart w:id="1525" w:name="_Toc307067786"/>
      <w:bookmarkStart w:id="1526" w:name="_Toc312169357"/>
      <w:bookmarkStart w:id="1527" w:name="_Toc312172284"/>
      <w:bookmarkStart w:id="1528" w:name="_Toc312257833"/>
      <w:r w:rsidRPr="006B72EF">
        <w:t>Results</w:t>
      </w:r>
      <w:bookmarkEnd w:id="1523"/>
      <w:bookmarkEnd w:id="1524"/>
      <w:bookmarkEnd w:id="1525"/>
      <w:bookmarkEnd w:id="1526"/>
      <w:bookmarkEnd w:id="1527"/>
      <w:bookmarkEnd w:id="1528"/>
    </w:p>
    <w:p w:rsidR="006B72EF" w:rsidRPr="006B72EF" w:rsidRDefault="006B72EF" w:rsidP="00621943">
      <w:pPr>
        <w:spacing w:before="240" w:after="240" w:line="360" w:lineRule="auto"/>
        <w:jc w:val="both"/>
        <w:rPr>
          <w:rFonts w:eastAsia="Times New Roman"/>
          <w:color w:val="0D0D0D"/>
          <w:lang w:eastAsia="en-US"/>
        </w:rPr>
      </w:pPr>
      <w:r w:rsidRPr="006B72EF">
        <w:rPr>
          <w:rFonts w:eastAsia="Times New Roman"/>
          <w:color w:val="0D0D0D"/>
          <w:lang w:eastAsia="en-US"/>
        </w:rPr>
        <w:t xml:space="preserve">In line with our previously study discussed (Table </w:t>
      </w:r>
      <w:r w:rsidR="00DF5237">
        <w:rPr>
          <w:rFonts w:eastAsia="Times New Roman"/>
          <w:color w:val="0D0D0D"/>
          <w:lang w:eastAsia="en-US"/>
        </w:rPr>
        <w:t>3-</w:t>
      </w:r>
      <w:r w:rsidR="00621943">
        <w:rPr>
          <w:rFonts w:eastAsia="Times New Roman"/>
          <w:color w:val="0D0D0D"/>
          <w:lang w:eastAsia="en-US"/>
        </w:rPr>
        <w:t>4, 3-27)</w:t>
      </w:r>
      <w:r w:rsidRPr="006B72EF">
        <w:rPr>
          <w:rFonts w:eastAsia="Times New Roman"/>
          <w:color w:val="0D0D0D"/>
          <w:lang w:eastAsia="en-US"/>
        </w:rPr>
        <w:t xml:space="preserve"> in newly diagnosed multiple myeloma patients, the pre-treatment (Day-0) serum of levels of VDB and SAA were higher and Hp was lower in patients who are non-responsive to thalidomide based treatment. Th</w:t>
      </w:r>
      <w:r w:rsidR="00C76C1D">
        <w:rPr>
          <w:rFonts w:eastAsia="Times New Roman"/>
          <w:color w:val="0D0D0D"/>
          <w:lang w:eastAsia="en-US"/>
        </w:rPr>
        <w:t>e mean serum level of VDB at Day-</w:t>
      </w:r>
      <w:r w:rsidRPr="006B72EF">
        <w:rPr>
          <w:rFonts w:eastAsia="Times New Roman"/>
          <w:color w:val="0D0D0D"/>
          <w:lang w:eastAsia="en-US"/>
        </w:rPr>
        <w:t xml:space="preserve">0 was 521 ug/ml and 665 ug/ml and mean serum SAA level was 72 </w:t>
      </w:r>
      <w:r w:rsidR="00C853ED">
        <w:rPr>
          <w:rFonts w:eastAsia="Times New Roman"/>
          <w:color w:val="0D0D0D"/>
          <w:lang w:eastAsia="en-US"/>
        </w:rPr>
        <w:t>µ</w:t>
      </w:r>
      <w:r w:rsidRPr="006B72EF">
        <w:rPr>
          <w:rFonts w:eastAsia="Times New Roman"/>
          <w:color w:val="0D0D0D"/>
          <w:lang w:eastAsia="en-US"/>
        </w:rPr>
        <w:t xml:space="preserve">g/ml, 274 </w:t>
      </w:r>
      <w:r w:rsidR="00C853ED">
        <w:rPr>
          <w:rFonts w:eastAsia="Times New Roman"/>
          <w:color w:val="0D0D0D"/>
          <w:lang w:eastAsia="en-US"/>
        </w:rPr>
        <w:t>µ</w:t>
      </w:r>
      <w:r w:rsidRPr="006B72EF">
        <w:rPr>
          <w:rFonts w:eastAsia="Times New Roman"/>
          <w:color w:val="0D0D0D"/>
          <w:lang w:eastAsia="en-US"/>
        </w:rPr>
        <w:t xml:space="preserve">g/ml, respectively for responders and non-responders to thalidomide based therapy (Table </w:t>
      </w:r>
      <w:r w:rsidR="00AC36BF">
        <w:rPr>
          <w:rFonts w:eastAsia="Times New Roman"/>
          <w:color w:val="0D0D0D"/>
          <w:lang w:eastAsia="en-US"/>
        </w:rPr>
        <w:t>3-</w:t>
      </w:r>
      <w:r w:rsidR="00621943">
        <w:rPr>
          <w:rFonts w:eastAsia="Times New Roman"/>
          <w:color w:val="0D0D0D"/>
          <w:lang w:eastAsia="en-US"/>
        </w:rPr>
        <w:t>4, 3-5, 3-27</w:t>
      </w:r>
      <w:r w:rsidRPr="006B72EF">
        <w:rPr>
          <w:rFonts w:eastAsia="Times New Roman"/>
          <w:color w:val="0D0D0D"/>
          <w:lang w:eastAsia="en-US"/>
        </w:rPr>
        <w:t>).</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In this study we also found that after three months of anti-myeloma therapy (Day-100), the mean serum level of VDB was 279 </w:t>
      </w:r>
      <w:r w:rsidR="00C853ED">
        <w:rPr>
          <w:rFonts w:eastAsia="Times New Roman"/>
          <w:color w:val="0D0D0D"/>
          <w:lang w:eastAsia="en-US"/>
        </w:rPr>
        <w:t>µ</w:t>
      </w:r>
      <w:r w:rsidRPr="006B72EF">
        <w:rPr>
          <w:rFonts w:eastAsia="Times New Roman"/>
          <w:color w:val="0D0D0D"/>
          <w:lang w:eastAsia="en-US"/>
        </w:rPr>
        <w:t xml:space="preserve">g/ml, 287 </w:t>
      </w:r>
      <w:r w:rsidR="00C853ED">
        <w:rPr>
          <w:rFonts w:eastAsia="Times New Roman"/>
          <w:color w:val="0D0D0D"/>
          <w:lang w:eastAsia="en-US"/>
        </w:rPr>
        <w:t>µ</w:t>
      </w:r>
      <w:r w:rsidRPr="006B72EF">
        <w:rPr>
          <w:rFonts w:eastAsia="Times New Roman"/>
          <w:color w:val="0D0D0D"/>
          <w:lang w:eastAsia="en-US"/>
        </w:rPr>
        <w:t xml:space="preserve">g/ml and mean serum level of SAA was 61 ug/ml, 75 </w:t>
      </w:r>
      <w:r w:rsidR="00C853ED">
        <w:rPr>
          <w:rFonts w:eastAsia="Times New Roman"/>
          <w:color w:val="0D0D0D"/>
          <w:lang w:eastAsia="en-US"/>
        </w:rPr>
        <w:t>µ</w:t>
      </w:r>
      <w:r w:rsidRPr="006B72EF">
        <w:rPr>
          <w:rFonts w:eastAsia="Times New Roman"/>
          <w:color w:val="0D0D0D"/>
          <w:lang w:eastAsia="en-US"/>
        </w:rPr>
        <w:t xml:space="preserve">g/ml respectively for responders and non-responders to thalidomide based therapy (Figure </w:t>
      </w:r>
      <w:r w:rsidR="00AC36BF">
        <w:rPr>
          <w:rFonts w:eastAsia="Times New Roman"/>
          <w:color w:val="0D0D0D"/>
          <w:lang w:eastAsia="en-US"/>
        </w:rPr>
        <w:t>3-</w:t>
      </w:r>
      <w:r w:rsidR="00621943">
        <w:rPr>
          <w:rFonts w:eastAsia="Times New Roman"/>
          <w:color w:val="0D0D0D"/>
          <w:lang w:eastAsia="en-US"/>
        </w:rPr>
        <w:t>47</w:t>
      </w:r>
      <w:r w:rsidRPr="006B72EF">
        <w:rPr>
          <w:rFonts w:eastAsia="Times New Roman"/>
          <w:color w:val="0D0D0D"/>
          <w:lang w:eastAsia="en-US"/>
        </w:rPr>
        <w:t xml:space="preserve">). </w:t>
      </w:r>
      <w:r w:rsidR="00C853ED">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above data indicates that the difference in the serum level of VDB and SAA at Day-100 restaging between responders and non-responders to thalidomide was minimal. Although the serum level of VDB and</w:t>
      </w:r>
      <w:r w:rsidR="00D774D1">
        <w:rPr>
          <w:rFonts w:eastAsia="Times New Roman"/>
          <w:color w:val="0D0D0D"/>
          <w:lang w:eastAsia="en-US"/>
        </w:rPr>
        <w:t xml:space="preserve"> SAA remained slightly higher i</w:t>
      </w:r>
      <w:r w:rsidR="00DF5237">
        <w:rPr>
          <w:rFonts w:eastAsia="Times New Roman"/>
          <w:color w:val="0D0D0D"/>
          <w:lang w:eastAsia="en-US"/>
        </w:rPr>
        <w:t>n the</w:t>
      </w:r>
      <w:r w:rsidRPr="006B72EF">
        <w:rPr>
          <w:rFonts w:eastAsia="Times New Roman"/>
          <w:color w:val="0D0D0D"/>
          <w:lang w:eastAsia="en-US"/>
        </w:rPr>
        <w:t xml:space="preserve"> non-responders group. However, </w:t>
      </w:r>
      <w:r w:rsidR="00AC36BF">
        <w:rPr>
          <w:rFonts w:eastAsia="Times New Roman"/>
          <w:color w:val="0D0D0D"/>
          <w:lang w:eastAsia="en-US"/>
        </w:rPr>
        <w:t xml:space="preserve">the </w:t>
      </w:r>
      <w:r w:rsidRPr="006B72EF">
        <w:rPr>
          <w:rFonts w:eastAsia="Times New Roman"/>
          <w:color w:val="0D0D0D"/>
          <w:lang w:eastAsia="en-US"/>
        </w:rPr>
        <w:t xml:space="preserve">difference in the level was statistically not significant with a </w:t>
      </w:r>
      <w:r w:rsidRPr="006B72EF">
        <w:rPr>
          <w:rFonts w:eastAsia="Times New Roman"/>
          <w:i/>
          <w:color w:val="0D0D0D"/>
          <w:lang w:eastAsia="en-US"/>
        </w:rPr>
        <w:t>p</w:t>
      </w:r>
      <w:r w:rsidRPr="006B72EF">
        <w:rPr>
          <w:rFonts w:eastAsia="Times New Roman"/>
          <w:color w:val="0D0D0D"/>
          <w:lang w:eastAsia="en-US"/>
        </w:rPr>
        <w:t xml:space="preserve"> value of 0.81 and 0.29 respectively for VDB and SAA (Figure </w:t>
      </w:r>
      <w:r w:rsidR="00AC36BF">
        <w:rPr>
          <w:rFonts w:eastAsia="Times New Roman"/>
          <w:color w:val="0D0D0D"/>
          <w:lang w:eastAsia="en-US"/>
        </w:rPr>
        <w:t>3-</w:t>
      </w:r>
      <w:r w:rsidR="00C853ED">
        <w:rPr>
          <w:rFonts w:eastAsia="Times New Roman"/>
          <w:color w:val="0D0D0D"/>
          <w:lang w:eastAsia="en-US"/>
        </w:rPr>
        <w:t>47 and 3-48</w:t>
      </w:r>
      <w:r w:rsidRPr="006B72EF">
        <w:rPr>
          <w:rFonts w:eastAsia="Times New Roman"/>
          <w:color w:val="0D0D0D"/>
          <w:lang w:eastAsia="en-US"/>
        </w:rPr>
        <w:t xml:space="preserve">). </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The serum level of Hp at Day-100 remained higher in multiple myeloma patients who are responsive to the thalidomide based regimen. The mean serum value was 2413 </w:t>
      </w:r>
      <w:r w:rsidR="00C853ED">
        <w:rPr>
          <w:rFonts w:eastAsia="Times New Roman"/>
          <w:color w:val="0D0D0D"/>
          <w:lang w:eastAsia="en-US"/>
        </w:rPr>
        <w:t>µ</w:t>
      </w:r>
      <w:r w:rsidRPr="006B72EF">
        <w:rPr>
          <w:rFonts w:eastAsia="Times New Roman"/>
          <w:color w:val="0D0D0D"/>
          <w:lang w:eastAsia="en-US"/>
        </w:rPr>
        <w:t xml:space="preserve">g/ml and 1195 </w:t>
      </w:r>
      <w:r w:rsidR="00C853ED">
        <w:rPr>
          <w:rFonts w:eastAsia="Times New Roman"/>
          <w:color w:val="0D0D0D"/>
          <w:lang w:eastAsia="en-US"/>
        </w:rPr>
        <w:t>µ</w:t>
      </w:r>
      <w:r w:rsidRPr="006B72EF">
        <w:rPr>
          <w:rFonts w:eastAsia="Times New Roman"/>
          <w:color w:val="0D0D0D"/>
          <w:lang w:eastAsia="en-US"/>
        </w:rPr>
        <w:t xml:space="preserve">g/ml respectively for responders and non-responders patients. The difference in serum level was statistically significant with a </w:t>
      </w:r>
      <w:r w:rsidRPr="00DF5237">
        <w:rPr>
          <w:rFonts w:eastAsia="Times New Roman"/>
          <w:i/>
          <w:color w:val="0D0D0D"/>
          <w:lang w:eastAsia="en-US"/>
        </w:rPr>
        <w:t>p</w:t>
      </w:r>
      <w:r w:rsidRPr="006B72EF">
        <w:rPr>
          <w:rFonts w:eastAsia="Times New Roman"/>
          <w:color w:val="0D0D0D"/>
          <w:lang w:eastAsia="en-US"/>
        </w:rPr>
        <w:t xml:space="preserve"> value of 0.03 (Figure </w:t>
      </w:r>
      <w:r w:rsidR="00AC36BF">
        <w:rPr>
          <w:rFonts w:eastAsia="Times New Roman"/>
          <w:color w:val="0D0D0D"/>
          <w:lang w:eastAsia="en-US"/>
        </w:rPr>
        <w:t>3-</w:t>
      </w:r>
      <w:r w:rsidR="00C853ED">
        <w:rPr>
          <w:rFonts w:eastAsia="Times New Roman"/>
          <w:color w:val="0D0D0D"/>
          <w:lang w:eastAsia="en-US"/>
        </w:rPr>
        <w:t>48</w:t>
      </w:r>
      <w:r w:rsidRPr="006B72EF">
        <w:rPr>
          <w:rFonts w:eastAsia="Times New Roman"/>
          <w:color w:val="0D0D0D"/>
          <w:lang w:eastAsia="en-US"/>
        </w:rPr>
        <w:t xml:space="preserv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lastRenderedPageBreak/>
        <w:t xml:space="preserve">. </w:t>
      </w:r>
      <w:r w:rsidR="00B55EFC" w:rsidRPr="00B55EFC">
        <w:rPr>
          <w:noProof/>
          <w:lang w:eastAsia="en-IE"/>
        </w:rPr>
        <w:drawing>
          <wp:inline distT="0" distB="0" distL="0" distR="0" wp14:anchorId="01C12F15" wp14:editId="6B37EC7A">
            <wp:extent cx="5038096" cy="3400000"/>
            <wp:effectExtent l="0" t="0" r="0" b="0"/>
            <wp:docPr id="290839" name="Picture 29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038096" cy="3400000"/>
                    </a:xfrm>
                    <a:prstGeom prst="rect">
                      <a:avLst/>
                    </a:prstGeom>
                  </pic:spPr>
                </pic:pic>
              </a:graphicData>
            </a:graphic>
          </wp:inline>
        </w:drawing>
      </w: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27</w:t>
      </w:r>
      <w:r w:rsidR="00B55EFC">
        <w:rPr>
          <w:rFonts w:eastAsia="Times New Roman"/>
          <w:b/>
          <w:color w:val="0D0D0D"/>
          <w:lang w:eastAsia="en-US"/>
        </w:rPr>
        <w:fldChar w:fldCharType="end"/>
      </w:r>
      <w:r w:rsidRPr="006B72EF">
        <w:rPr>
          <w:rFonts w:eastAsia="Times New Roman"/>
          <w:b/>
          <w:color w:val="0D0D0D"/>
          <w:lang w:eastAsia="en-US"/>
        </w:rPr>
        <w:t xml:space="preserve"> </w:t>
      </w:r>
      <w:bookmarkStart w:id="1529" w:name="_Toc274587635"/>
      <w:r w:rsidR="00B55EFC">
        <w:rPr>
          <w:rFonts w:eastAsia="Times New Roman"/>
          <w:b/>
          <w:color w:val="0D0D0D"/>
          <w:lang w:eastAsia="en-US"/>
        </w:rPr>
        <w:t xml:space="preserve">shows </w:t>
      </w:r>
      <w:r w:rsidRPr="006B72EF">
        <w:rPr>
          <w:rFonts w:eastAsia="Times New Roman"/>
          <w:b/>
          <w:color w:val="0D0D0D"/>
          <w:lang w:eastAsia="en-US"/>
        </w:rPr>
        <w:t xml:space="preserve">the </w:t>
      </w:r>
      <w:r w:rsidR="00B55EFC">
        <w:rPr>
          <w:rFonts w:eastAsia="Times New Roman"/>
          <w:b/>
          <w:color w:val="0D0D0D"/>
          <w:lang w:eastAsia="en-US"/>
        </w:rPr>
        <w:t xml:space="preserve">serum levels of VDB, Hp and SAA </w:t>
      </w:r>
      <w:r w:rsidRPr="006B72EF">
        <w:rPr>
          <w:rFonts w:eastAsia="Times New Roman"/>
          <w:b/>
          <w:color w:val="0D0D0D"/>
          <w:lang w:eastAsia="en-US"/>
        </w:rPr>
        <w:t>after three mon</w:t>
      </w:r>
      <w:r w:rsidR="00C76C1D">
        <w:rPr>
          <w:rFonts w:eastAsia="Times New Roman"/>
          <w:b/>
          <w:color w:val="0D0D0D"/>
          <w:lang w:eastAsia="en-US"/>
        </w:rPr>
        <w:t>ths of treatment (Day-</w:t>
      </w:r>
      <w:r w:rsidR="00B55EFC">
        <w:rPr>
          <w:rFonts w:eastAsia="Times New Roman"/>
          <w:b/>
          <w:color w:val="0D0D0D"/>
          <w:lang w:eastAsia="en-US"/>
        </w:rPr>
        <w:t>100) in 14</w:t>
      </w:r>
      <w:r w:rsidRPr="006B72EF">
        <w:rPr>
          <w:rFonts w:eastAsia="Times New Roman"/>
          <w:b/>
          <w:color w:val="0D0D0D"/>
          <w:lang w:eastAsia="en-US"/>
        </w:rPr>
        <w:t xml:space="preserve"> individual </w:t>
      </w:r>
      <w:r w:rsidR="00B55EFC">
        <w:rPr>
          <w:rFonts w:eastAsia="Times New Roman"/>
          <w:b/>
          <w:color w:val="0D0D0D"/>
          <w:lang w:eastAsia="en-US"/>
        </w:rPr>
        <w:t>responder to thalidomide</w:t>
      </w:r>
      <w:r w:rsidR="00B55EFC" w:rsidRPr="006B72EF">
        <w:rPr>
          <w:rFonts w:eastAsia="Times New Roman"/>
          <w:b/>
          <w:color w:val="0D0D0D"/>
          <w:lang w:eastAsia="en-US"/>
        </w:rPr>
        <w:t xml:space="preserve"> </w:t>
      </w:r>
      <w:r w:rsidR="00B55EFC">
        <w:rPr>
          <w:rFonts w:eastAsia="Times New Roman"/>
          <w:b/>
          <w:color w:val="0D0D0D"/>
          <w:lang w:eastAsia="en-US"/>
        </w:rPr>
        <w:t xml:space="preserve">MM </w:t>
      </w:r>
      <w:r w:rsidRPr="006B72EF">
        <w:rPr>
          <w:rFonts w:eastAsia="Times New Roman"/>
          <w:b/>
          <w:color w:val="0D0D0D"/>
          <w:lang w:eastAsia="en-US"/>
        </w:rPr>
        <w:t>patients with the mean value</w:t>
      </w:r>
      <w:r w:rsidR="00C76C1D">
        <w:rPr>
          <w:rFonts w:eastAsia="Times New Roman"/>
          <w:b/>
          <w:color w:val="0D0D0D"/>
          <w:lang w:eastAsia="en-US"/>
        </w:rPr>
        <w:t xml:space="preserve"> at Day-</w:t>
      </w:r>
      <w:r w:rsidR="00B55EFC">
        <w:rPr>
          <w:rFonts w:eastAsia="Times New Roman"/>
          <w:b/>
          <w:color w:val="0D0D0D"/>
          <w:lang w:eastAsia="en-US"/>
        </w:rPr>
        <w:t>100</w:t>
      </w:r>
      <w:r w:rsidRPr="006B72EF">
        <w:rPr>
          <w:rFonts w:eastAsia="Times New Roman"/>
          <w:b/>
          <w:color w:val="0D0D0D"/>
          <w:lang w:eastAsia="en-US"/>
        </w:rPr>
        <w:t>. This table also shows the mean serum value at diagnosis and prior to commencing thalidomide based treatment (Day</w:t>
      </w:r>
      <w:r w:rsidR="00C76C1D">
        <w:rPr>
          <w:rFonts w:eastAsia="Times New Roman"/>
          <w:b/>
          <w:color w:val="0D0D0D"/>
          <w:lang w:eastAsia="en-US"/>
        </w:rPr>
        <w:t>-</w:t>
      </w:r>
      <w:r w:rsidRPr="006B72EF">
        <w:rPr>
          <w:rFonts w:eastAsia="Times New Roman"/>
          <w:b/>
          <w:color w:val="0D0D0D"/>
          <w:lang w:eastAsia="en-US"/>
        </w:rPr>
        <w:t>0)</w:t>
      </w:r>
      <w:bookmarkEnd w:id="1529"/>
      <w:r w:rsidRPr="006B72EF">
        <w:rPr>
          <w:rFonts w:eastAsia="Times New Roman"/>
          <w:b/>
          <w:color w:val="0D0D0D"/>
          <w:lang w:eastAsia="en-US"/>
        </w:rPr>
        <w:t xml:space="preserve">. </w:t>
      </w:r>
      <w:r w:rsidR="00B55EFC" w:rsidRPr="006B72EF">
        <w:rPr>
          <w:rFonts w:eastAsia="Times New Roman"/>
          <w:b/>
          <w:color w:val="0D0D0D"/>
          <w:lang w:eastAsia="en-US"/>
        </w:rPr>
        <w:t xml:space="preserve">The serum levels were measured using ELISA based assay on unfractionated serum samples. </w:t>
      </w:r>
      <w:r w:rsidRPr="006B72EF">
        <w:rPr>
          <w:rFonts w:eastAsia="Times New Roman"/>
          <w:b/>
          <w:color w:val="0D0D0D"/>
          <w:lang w:eastAsia="en-US"/>
        </w:rPr>
        <w:t>Abbreviations: Vitamin-D-binding-Precursor (VDB), Serum-Amyloid-A-protein (SAA) and Haptoglobin (Hp).</w:t>
      </w:r>
    </w:p>
    <w:p w:rsidR="00B55EFC" w:rsidRDefault="00B55EFC" w:rsidP="00057B42">
      <w:pPr>
        <w:pBdr>
          <w:bottom w:val="single" w:sz="12" w:space="1" w:color="auto"/>
        </w:pBdr>
        <w:spacing w:after="240" w:line="360" w:lineRule="auto"/>
        <w:jc w:val="both"/>
        <w:rPr>
          <w:rFonts w:eastAsia="Times New Roman"/>
          <w:b/>
          <w:color w:val="0D0D0D"/>
          <w:lang w:eastAsia="en-US"/>
        </w:rPr>
      </w:pPr>
    </w:p>
    <w:p w:rsidR="00B55EFC" w:rsidRDefault="00B55EFC" w:rsidP="00057B42">
      <w:pPr>
        <w:spacing w:after="240" w:line="360" w:lineRule="auto"/>
        <w:jc w:val="both"/>
        <w:rPr>
          <w:rFonts w:eastAsia="Times New Roman"/>
          <w:b/>
          <w:color w:val="0D0D0D"/>
          <w:lang w:eastAsia="en-US"/>
        </w:rPr>
      </w:pPr>
    </w:p>
    <w:p w:rsidR="00B55EFC" w:rsidRDefault="00B55EFC" w:rsidP="00057B42">
      <w:pPr>
        <w:spacing w:line="360" w:lineRule="auto"/>
        <w:rPr>
          <w:rFonts w:eastAsia="Times New Roman"/>
          <w:b/>
          <w:color w:val="0D0D0D"/>
          <w:lang w:eastAsia="en-US"/>
        </w:rPr>
      </w:pPr>
      <w:r>
        <w:rPr>
          <w:rFonts w:eastAsia="Times New Roman"/>
          <w:b/>
          <w:color w:val="0D0D0D"/>
          <w:lang w:eastAsia="en-US"/>
        </w:rPr>
        <w:br w:type="page"/>
      </w:r>
    </w:p>
    <w:p w:rsidR="00B55EFC" w:rsidRDefault="00B55EFC" w:rsidP="00057B42">
      <w:pPr>
        <w:keepNext/>
        <w:spacing w:line="360" w:lineRule="auto"/>
      </w:pPr>
      <w:r w:rsidRPr="00B55EFC">
        <w:rPr>
          <w:noProof/>
          <w:lang w:eastAsia="en-IE"/>
        </w:rPr>
        <w:lastRenderedPageBreak/>
        <w:drawing>
          <wp:inline distT="0" distB="0" distL="0" distR="0" wp14:anchorId="5B77F8D6" wp14:editId="24920588">
            <wp:extent cx="5044440" cy="2987040"/>
            <wp:effectExtent l="0" t="0" r="3810" b="3810"/>
            <wp:docPr id="290840" name="Picture 29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038096" cy="2983283"/>
                    </a:xfrm>
                    <a:prstGeom prst="rect">
                      <a:avLst/>
                    </a:prstGeom>
                  </pic:spPr>
                </pic:pic>
              </a:graphicData>
            </a:graphic>
          </wp:inline>
        </w:drawing>
      </w:r>
    </w:p>
    <w:p w:rsidR="00B55EFC" w:rsidRDefault="00B55EFC" w:rsidP="00057B42">
      <w:pPr>
        <w:pStyle w:val="Caption"/>
      </w:pPr>
    </w:p>
    <w:p w:rsidR="00B55EFC" w:rsidRDefault="00B55EFC" w:rsidP="00057B42">
      <w:pPr>
        <w:pStyle w:val="Caption"/>
        <w:jc w:val="both"/>
      </w:pPr>
      <w:r>
        <w:t xml:space="preserve">Table </w:t>
      </w:r>
      <w:fldSimple w:instr=" STYLEREF 1 \s ">
        <w:r w:rsidR="0081644B">
          <w:rPr>
            <w:noProof/>
          </w:rPr>
          <w:t>3</w:t>
        </w:r>
      </w:fldSimple>
      <w:r>
        <w:noBreakHyphen/>
      </w:r>
      <w:fldSimple w:instr=" SEQ Table \* ARABIC \s 1 ">
        <w:r w:rsidR="0081644B">
          <w:rPr>
            <w:noProof/>
          </w:rPr>
          <w:t>28</w:t>
        </w:r>
      </w:fldSimple>
      <w:r>
        <w:t xml:space="preserve"> </w:t>
      </w:r>
      <w:r w:rsidRPr="00B55EFC">
        <w:t>shows the serum levels of VDB, Hp and SAA after</w:t>
      </w:r>
      <w:r w:rsidR="00C76C1D">
        <w:t xml:space="preserve"> three months of treatment (Day-</w:t>
      </w:r>
      <w:r w:rsidRPr="00B55EFC">
        <w:t xml:space="preserve">100) in 14 individual </w:t>
      </w:r>
      <w:r>
        <w:t>non-</w:t>
      </w:r>
      <w:r w:rsidRPr="00B55EFC">
        <w:t>responder to thalidomide MM patie</w:t>
      </w:r>
      <w:r w:rsidR="00C76C1D">
        <w:t>nts with the mean value at Day-</w:t>
      </w:r>
      <w:r w:rsidRPr="00B55EFC">
        <w:t>100. This table also shows the mean serum value at diagnosis and prior to commencing thalidomide based treatment (Day</w:t>
      </w:r>
      <w:r w:rsidR="00C76C1D">
        <w:t>-</w:t>
      </w:r>
      <w:r w:rsidRPr="00B55EFC">
        <w:t>0). The serum levels were measured using ELISA based assay on unfractionated serum samples. Abbreviations: Vitamin-D-binding-Precursor (VDB), Serum-Amyloid-A-protein (SAA) and Haptoglobin (Hp).</w:t>
      </w:r>
    </w:p>
    <w:p w:rsidR="00B55EFC" w:rsidRDefault="00B55EFC" w:rsidP="00057B42">
      <w:pPr>
        <w:spacing w:line="360" w:lineRule="auto"/>
      </w:pPr>
    </w:p>
    <w:p w:rsidR="00B55EFC" w:rsidRDefault="00B55EFC" w:rsidP="00057B42">
      <w:pPr>
        <w:pBdr>
          <w:bottom w:val="single" w:sz="12" w:space="1" w:color="auto"/>
        </w:pBdr>
        <w:spacing w:line="360" w:lineRule="auto"/>
      </w:pPr>
    </w:p>
    <w:p w:rsidR="00B55EFC" w:rsidRPr="00B55EFC" w:rsidRDefault="00B55EFC" w:rsidP="00057B42">
      <w:pPr>
        <w:spacing w:line="360" w:lineRule="auto"/>
      </w:pPr>
    </w:p>
    <w:p w:rsidR="00B55EFC" w:rsidRDefault="00B55EFC" w:rsidP="00057B42">
      <w:pPr>
        <w:spacing w:line="360" w:lineRule="auto"/>
        <w:rPr>
          <w:rFonts w:eastAsia="Times New Roman"/>
          <w:b/>
          <w:color w:val="0D0D0D"/>
          <w:lang w:eastAsia="en-US"/>
        </w:rPr>
      </w:pPr>
      <w:r>
        <w:rPr>
          <w:rFonts w:eastAsia="Times New Roman"/>
          <w:b/>
          <w:color w:val="0D0D0D"/>
          <w:lang w:eastAsia="en-US"/>
        </w:rPr>
        <w:br w:type="page"/>
      </w: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10EAF971" wp14:editId="21701F06">
            <wp:extent cx="5111750" cy="4050665"/>
            <wp:effectExtent l="0" t="0" r="12700" b="26035"/>
            <wp:docPr id="82" name="Chart 10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530" w:name="_Toc279441925"/>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47</w:t>
      </w:r>
      <w:r w:rsidR="008A68DC">
        <w:rPr>
          <w:rFonts w:eastAsia="Times New Roman"/>
          <w:b/>
          <w:bCs/>
          <w:color w:val="000000"/>
          <w:lang w:eastAsia="en-US"/>
        </w:rPr>
        <w:fldChar w:fldCharType="end"/>
      </w:r>
      <w:r w:rsidRPr="006B72EF">
        <w:rPr>
          <w:rFonts w:eastAsia="Times New Roman"/>
          <w:b/>
          <w:bCs/>
          <w:color w:val="000000"/>
          <w:lang w:eastAsia="en-US"/>
        </w:rPr>
        <w:t xml:space="preserve"> displays the mean serum value of VDB, Hp and SAA, in multiple </w:t>
      </w:r>
      <w:r w:rsidR="00C76C1D">
        <w:rPr>
          <w:rFonts w:eastAsia="Times New Roman"/>
          <w:b/>
          <w:bCs/>
          <w:color w:val="000000"/>
          <w:lang w:eastAsia="en-US"/>
        </w:rPr>
        <w:t>myeloma patients at diagnosis (D</w:t>
      </w:r>
      <w:r w:rsidRPr="006B72EF">
        <w:rPr>
          <w:rFonts w:eastAsia="Times New Roman"/>
          <w:b/>
          <w:bCs/>
          <w:color w:val="000000"/>
          <w:lang w:eastAsia="en-US"/>
        </w:rPr>
        <w:t>ay</w:t>
      </w:r>
      <w:r w:rsidR="00C76C1D">
        <w:rPr>
          <w:rFonts w:eastAsia="Times New Roman"/>
          <w:b/>
          <w:bCs/>
          <w:color w:val="000000"/>
          <w:lang w:eastAsia="en-US"/>
        </w:rPr>
        <w:t>-</w:t>
      </w:r>
      <w:r w:rsidRPr="006B72EF">
        <w:rPr>
          <w:rFonts w:eastAsia="Times New Roman"/>
          <w:b/>
          <w:bCs/>
          <w:color w:val="000000"/>
          <w:lang w:eastAsia="en-US"/>
        </w:rPr>
        <w:t xml:space="preserve">0). The serum levels of VDB and SAA were higher and Hp was </w:t>
      </w:r>
      <w:r w:rsidR="00DF5237">
        <w:rPr>
          <w:rFonts w:eastAsia="Times New Roman"/>
          <w:b/>
          <w:bCs/>
          <w:color w:val="000000"/>
          <w:lang w:eastAsia="en-US"/>
        </w:rPr>
        <w:t xml:space="preserve">lower in patients who </w:t>
      </w:r>
      <w:r w:rsidRPr="006B72EF">
        <w:rPr>
          <w:rFonts w:eastAsia="Times New Roman"/>
          <w:b/>
          <w:bCs/>
          <w:color w:val="000000"/>
          <w:lang w:eastAsia="en-US"/>
        </w:rPr>
        <w:t>s</w:t>
      </w:r>
      <w:r w:rsidR="00DF5237">
        <w:rPr>
          <w:rFonts w:eastAsia="Times New Roman"/>
          <w:b/>
          <w:bCs/>
          <w:color w:val="000000"/>
          <w:lang w:eastAsia="en-US"/>
        </w:rPr>
        <w:t>ubsequently were classified as</w:t>
      </w:r>
      <w:r w:rsidRPr="006B72EF">
        <w:rPr>
          <w:rFonts w:eastAsia="Times New Roman"/>
          <w:b/>
          <w:bCs/>
          <w:color w:val="000000"/>
          <w:lang w:eastAsia="en-US"/>
        </w:rPr>
        <w:t xml:space="preserve"> non-responsive to thalidomide based treatment. The </w:t>
      </w:r>
      <w:r w:rsidRPr="00DF5237">
        <w:rPr>
          <w:rFonts w:eastAsia="Times New Roman"/>
          <w:b/>
          <w:bCs/>
          <w:i/>
          <w:color w:val="000000"/>
          <w:lang w:eastAsia="en-US"/>
        </w:rPr>
        <w:t>p</w:t>
      </w:r>
      <w:r w:rsidRPr="006B72EF">
        <w:rPr>
          <w:rFonts w:eastAsia="Times New Roman"/>
          <w:b/>
          <w:bCs/>
          <w:color w:val="000000"/>
          <w:lang w:eastAsia="en-US"/>
        </w:rPr>
        <w:t xml:space="preserve"> value was 0.02, 0.0015 and 0.006 for VDB, Hp and SAA respectively. Abbreviations: Vitamin-D-binding-Precursor (VDB), Serum-Amyloid-A-protein (SAA) and Haptoglobin (Hp), R: Responders to thalidomide- based therapy, NR: Non-responders to thalidomide-based therapy.</w:t>
      </w:r>
      <w:bookmarkEnd w:id="1530"/>
      <w:r w:rsidRPr="006B72EF">
        <w:rPr>
          <w:rFonts w:eastAsia="Times New Roman"/>
          <w:b/>
          <w:bCs/>
          <w:color w:val="000000"/>
          <w:lang w:eastAsia="en-US"/>
        </w:rPr>
        <w:t xml:space="preserve"> </w:t>
      </w:r>
    </w:p>
    <w:p w:rsidR="00491A81" w:rsidRDefault="00491A81" w:rsidP="00057B42">
      <w:pPr>
        <w:pBdr>
          <w:bottom w:val="single" w:sz="12" w:space="1" w:color="auto"/>
        </w:pBdr>
        <w:spacing w:before="240" w:line="360" w:lineRule="auto"/>
        <w:ind w:right="-1"/>
        <w:jc w:val="both"/>
        <w:rPr>
          <w:rFonts w:eastAsia="Times New Roman"/>
          <w:b/>
          <w:bCs/>
          <w:color w:val="000000"/>
          <w:lang w:eastAsia="en-US"/>
        </w:rPr>
      </w:pPr>
    </w:p>
    <w:p w:rsidR="00491A81" w:rsidRPr="006B72EF" w:rsidRDefault="00491A81"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6562DAC8" wp14:editId="1C700DF0">
            <wp:extent cx="5346065" cy="3696335"/>
            <wp:effectExtent l="0" t="0" r="26035" b="18415"/>
            <wp:docPr id="83" name="Chart 10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6B72EF" w:rsidRDefault="006B72EF" w:rsidP="00057B42">
      <w:pPr>
        <w:spacing w:before="240" w:line="360" w:lineRule="auto"/>
        <w:ind w:right="-1"/>
        <w:jc w:val="both"/>
        <w:rPr>
          <w:rFonts w:eastAsia="Times New Roman"/>
          <w:b/>
          <w:bCs/>
          <w:color w:val="000000"/>
          <w:lang w:eastAsia="en-US"/>
        </w:rPr>
      </w:pPr>
      <w:bookmarkStart w:id="1531" w:name="_Toc279441926"/>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48</w:t>
      </w:r>
      <w:r w:rsidR="008A68DC">
        <w:rPr>
          <w:rFonts w:eastAsia="Times New Roman"/>
          <w:b/>
          <w:bCs/>
          <w:color w:val="000000"/>
          <w:lang w:eastAsia="en-US"/>
        </w:rPr>
        <w:fldChar w:fldCharType="end"/>
      </w:r>
      <w:r w:rsidRPr="006B72EF">
        <w:rPr>
          <w:rFonts w:eastAsia="Times New Roman"/>
          <w:b/>
          <w:bCs/>
          <w:color w:val="000000"/>
          <w:lang w:eastAsia="en-US"/>
        </w:rPr>
        <w:t xml:space="preserve"> demonstrates the serum level of Hp, VDB and SAA after three months of anti-myeloma treatment at the clinical restaging (Day-100). Comparing responders and non-responders to thalidomide, the difference in serum level of VDB and SAA were minimal and statistically not significant. The </w:t>
      </w:r>
      <w:r w:rsidRPr="00B5704C">
        <w:rPr>
          <w:rFonts w:eastAsia="Times New Roman"/>
          <w:b/>
          <w:bCs/>
          <w:i/>
          <w:color w:val="000000"/>
          <w:lang w:eastAsia="en-US"/>
        </w:rPr>
        <w:t>p</w:t>
      </w:r>
      <w:r w:rsidRPr="006B72EF">
        <w:rPr>
          <w:rFonts w:eastAsia="Times New Roman"/>
          <w:b/>
          <w:bCs/>
          <w:color w:val="000000"/>
          <w:lang w:eastAsia="en-US"/>
        </w:rPr>
        <w:t xml:space="preserve"> value was 0.81 and 0.29 respectively. Serum Hp level remained higher in thalidomide responsive patients. This difference was statistically significant with a p value of 0.03. Abbreviations: Vitamin-D-binding-Precursor (VDB), Serum-Amyloid-A-protein (SAA) and Haptoglobin (Hp), R: Responders to thalidomide- based therapy, NR: Non-responders to thalidomide-based therapy.</w:t>
      </w:r>
      <w:bookmarkEnd w:id="1531"/>
      <w:r w:rsidRPr="006B72EF">
        <w:rPr>
          <w:rFonts w:eastAsia="Times New Roman"/>
          <w:b/>
          <w:bCs/>
          <w:color w:val="000000"/>
          <w:lang w:eastAsia="en-US"/>
        </w:rPr>
        <w:t xml:space="preserve"> </w:t>
      </w:r>
    </w:p>
    <w:p w:rsidR="00491A81" w:rsidRDefault="00491A81" w:rsidP="00057B42">
      <w:pPr>
        <w:pBdr>
          <w:bottom w:val="single" w:sz="12" w:space="1" w:color="auto"/>
        </w:pBdr>
        <w:spacing w:before="240" w:line="360" w:lineRule="auto"/>
        <w:ind w:right="-1"/>
        <w:jc w:val="both"/>
        <w:rPr>
          <w:rFonts w:eastAsia="Times New Roman"/>
          <w:b/>
          <w:bCs/>
          <w:color w:val="000000"/>
          <w:lang w:eastAsia="en-US"/>
        </w:rPr>
      </w:pPr>
    </w:p>
    <w:p w:rsidR="00491A81" w:rsidRPr="006B72EF" w:rsidRDefault="00491A81" w:rsidP="00057B42">
      <w:pPr>
        <w:spacing w:before="240" w:line="360" w:lineRule="auto"/>
        <w:ind w:right="-1"/>
        <w:jc w:val="both"/>
        <w:rPr>
          <w:rFonts w:eastAsia="Times New Roman"/>
          <w:b/>
          <w:bCs/>
          <w:color w:val="000000"/>
          <w:lang w:eastAsia="en-US"/>
        </w:rPr>
      </w:pPr>
    </w:p>
    <w:p w:rsidR="006B72EF" w:rsidRPr="006B72EF" w:rsidRDefault="00ED7D82" w:rsidP="00057B42">
      <w:pPr>
        <w:keepNext/>
        <w:spacing w:after="240" w:line="360" w:lineRule="auto"/>
        <w:jc w:val="both"/>
        <w:rPr>
          <w:rFonts w:eastAsia="Times New Roman"/>
          <w:color w:val="0D0D0D"/>
          <w:lang w:eastAsia="en-US"/>
        </w:rPr>
      </w:pPr>
      <w:r>
        <w:rPr>
          <w:rFonts w:eastAsia="Times New Roman"/>
          <w:noProof/>
          <w:color w:val="0D0D0D"/>
          <w:lang w:eastAsia="en-IE"/>
        </w:rPr>
        <w:lastRenderedPageBreak/>
        <w:drawing>
          <wp:inline distT="0" distB="0" distL="0" distR="0" wp14:anchorId="11D37D84" wp14:editId="7982F5CF">
            <wp:extent cx="5361940" cy="4260215"/>
            <wp:effectExtent l="0" t="0" r="10160" b="26035"/>
            <wp:docPr id="84" name="Chart 10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6B72EF" w:rsidRDefault="006B72EF" w:rsidP="004721F1">
      <w:pPr>
        <w:spacing w:before="240" w:line="360" w:lineRule="auto"/>
        <w:ind w:right="-201"/>
        <w:jc w:val="both"/>
        <w:rPr>
          <w:rFonts w:eastAsia="Times New Roman"/>
          <w:b/>
          <w:bCs/>
          <w:color w:val="000000"/>
          <w:lang w:eastAsia="en-US"/>
        </w:rPr>
      </w:pPr>
      <w:bookmarkStart w:id="1532" w:name="_Toc279441927"/>
      <w:r w:rsidRPr="006B72EF">
        <w:rPr>
          <w:rFonts w:eastAsia="Times New Roman"/>
          <w:b/>
          <w:bCs/>
          <w:color w:val="000000"/>
          <w:lang w:eastAsia="en-US"/>
        </w:rPr>
        <w:t xml:space="preserve">Figure </w:t>
      </w:r>
      <w:r w:rsidR="008A68DC">
        <w:rPr>
          <w:rFonts w:eastAsia="Times New Roman"/>
          <w:b/>
          <w:bCs/>
          <w:color w:val="000000"/>
          <w:lang w:eastAsia="en-US"/>
        </w:rPr>
        <w:fldChar w:fldCharType="begin"/>
      </w:r>
      <w:r w:rsidR="008A68DC">
        <w:rPr>
          <w:rFonts w:eastAsia="Times New Roman"/>
          <w:b/>
          <w:bCs/>
          <w:color w:val="000000"/>
          <w:lang w:eastAsia="en-US"/>
        </w:rPr>
        <w:instrText xml:space="preserve"> STYLEREF 1 \s </w:instrText>
      </w:r>
      <w:r w:rsidR="008A68DC">
        <w:rPr>
          <w:rFonts w:eastAsia="Times New Roman"/>
          <w:b/>
          <w:bCs/>
          <w:color w:val="000000"/>
          <w:lang w:eastAsia="en-US"/>
        </w:rPr>
        <w:fldChar w:fldCharType="separate"/>
      </w:r>
      <w:r w:rsidR="0081644B">
        <w:rPr>
          <w:rFonts w:eastAsia="Times New Roman"/>
          <w:b/>
          <w:bCs/>
          <w:noProof/>
          <w:color w:val="000000"/>
          <w:lang w:eastAsia="en-US"/>
        </w:rPr>
        <w:t>3</w:t>
      </w:r>
      <w:r w:rsidR="008A68DC">
        <w:rPr>
          <w:rFonts w:eastAsia="Times New Roman"/>
          <w:b/>
          <w:bCs/>
          <w:color w:val="000000"/>
          <w:lang w:eastAsia="en-US"/>
        </w:rPr>
        <w:fldChar w:fldCharType="end"/>
      </w:r>
      <w:r w:rsidR="008A68DC">
        <w:rPr>
          <w:rFonts w:eastAsia="Times New Roman"/>
          <w:b/>
          <w:bCs/>
          <w:color w:val="000000"/>
          <w:lang w:eastAsia="en-US"/>
        </w:rPr>
        <w:noBreakHyphen/>
      </w:r>
      <w:r w:rsidR="008A68DC">
        <w:rPr>
          <w:rFonts w:eastAsia="Times New Roman"/>
          <w:b/>
          <w:bCs/>
          <w:color w:val="000000"/>
          <w:lang w:eastAsia="en-US"/>
        </w:rPr>
        <w:fldChar w:fldCharType="begin"/>
      </w:r>
      <w:r w:rsidR="008A68DC">
        <w:rPr>
          <w:rFonts w:eastAsia="Times New Roman"/>
          <w:b/>
          <w:bCs/>
          <w:color w:val="000000"/>
          <w:lang w:eastAsia="en-US"/>
        </w:rPr>
        <w:instrText xml:space="preserve"> SEQ Figure \* ARABIC \s 1 </w:instrText>
      </w:r>
      <w:r w:rsidR="008A68DC">
        <w:rPr>
          <w:rFonts w:eastAsia="Times New Roman"/>
          <w:b/>
          <w:bCs/>
          <w:color w:val="000000"/>
          <w:lang w:eastAsia="en-US"/>
        </w:rPr>
        <w:fldChar w:fldCharType="separate"/>
      </w:r>
      <w:r w:rsidR="0081644B">
        <w:rPr>
          <w:rFonts w:eastAsia="Times New Roman"/>
          <w:b/>
          <w:bCs/>
          <w:noProof/>
          <w:color w:val="000000"/>
          <w:lang w:eastAsia="en-US"/>
        </w:rPr>
        <w:t>49</w:t>
      </w:r>
      <w:r w:rsidR="008A68DC">
        <w:rPr>
          <w:rFonts w:eastAsia="Times New Roman"/>
          <w:b/>
          <w:bCs/>
          <w:color w:val="000000"/>
          <w:lang w:eastAsia="en-US"/>
        </w:rPr>
        <w:fldChar w:fldCharType="end"/>
      </w:r>
      <w:r w:rsidR="00491A81">
        <w:rPr>
          <w:rFonts w:eastAsia="Times New Roman"/>
          <w:b/>
          <w:bCs/>
          <w:color w:val="000000"/>
          <w:lang w:eastAsia="en-US"/>
        </w:rPr>
        <w:t xml:space="preserve"> </w:t>
      </w:r>
      <w:r w:rsidRPr="006B72EF">
        <w:rPr>
          <w:rFonts w:eastAsia="Times New Roman"/>
          <w:b/>
          <w:bCs/>
          <w:color w:val="000000"/>
          <w:lang w:eastAsia="en-US"/>
        </w:rPr>
        <w:t>shows the serum level of Hp, VDB and SAA in multiple myeloma patients at two time</w:t>
      </w:r>
      <w:r w:rsidR="00C76C1D">
        <w:rPr>
          <w:rFonts w:eastAsia="Times New Roman"/>
          <w:b/>
          <w:bCs/>
          <w:color w:val="000000"/>
          <w:lang w:eastAsia="en-US"/>
        </w:rPr>
        <w:t>s point scale at diagnosis (Day-</w:t>
      </w:r>
      <w:r w:rsidRPr="006B72EF">
        <w:rPr>
          <w:rFonts w:eastAsia="Times New Roman"/>
          <w:b/>
          <w:bCs/>
          <w:color w:val="000000"/>
          <w:lang w:eastAsia="en-US"/>
        </w:rPr>
        <w:t>0) and after</w:t>
      </w:r>
      <w:r w:rsidR="00C76C1D">
        <w:rPr>
          <w:rFonts w:eastAsia="Times New Roman"/>
          <w:b/>
          <w:bCs/>
          <w:color w:val="000000"/>
          <w:lang w:eastAsia="en-US"/>
        </w:rPr>
        <w:t xml:space="preserve"> three months of treatment (Day-</w:t>
      </w:r>
      <w:r w:rsidRPr="006B72EF">
        <w:rPr>
          <w:rFonts w:eastAsia="Times New Roman"/>
          <w:b/>
          <w:bCs/>
          <w:color w:val="000000"/>
          <w:lang w:eastAsia="en-US"/>
        </w:rPr>
        <w:t>100) in both patients groups, i.e. responders and non-responders to thalidomide. Serum level of VDB and SAA remained marginally higher in the non-responders group; however, the difference was statistically not significant. Serum Hp level remained higher in thalidomide</w:t>
      </w:r>
      <w:r w:rsidR="005D74B5">
        <w:rPr>
          <w:rFonts w:eastAsia="Times New Roman"/>
          <w:b/>
          <w:bCs/>
          <w:color w:val="000000"/>
          <w:lang w:eastAsia="en-US"/>
        </w:rPr>
        <w:t xml:space="preserve"> responsive patients versus non-</w:t>
      </w:r>
      <w:r w:rsidRPr="006B72EF">
        <w:rPr>
          <w:rFonts w:eastAsia="Times New Roman"/>
          <w:b/>
          <w:bCs/>
          <w:color w:val="000000"/>
          <w:lang w:eastAsia="en-US"/>
        </w:rPr>
        <w:t>responders to thalidomide. Abbreviations: Vitamin-D-binding-Precursor (VDB), Serum-Amyloid-A-protein (SAA) and Haptoglobin (Hp), R: Responders to thalidomide- based therapy, NR: Non-responders to thalidomide-based therapy.</w:t>
      </w:r>
      <w:bookmarkEnd w:id="1532"/>
      <w:r w:rsidRPr="006B72EF">
        <w:rPr>
          <w:rFonts w:eastAsia="Times New Roman"/>
          <w:b/>
          <w:bCs/>
          <w:color w:val="000000"/>
          <w:lang w:eastAsia="en-US"/>
        </w:rPr>
        <w:t xml:space="preserve">  </w:t>
      </w:r>
      <w:bookmarkStart w:id="1533" w:name="_Toc279658498"/>
    </w:p>
    <w:p w:rsidR="00491A81" w:rsidRDefault="00491A81" w:rsidP="004721F1">
      <w:pPr>
        <w:pBdr>
          <w:bottom w:val="single" w:sz="12" w:space="1" w:color="auto"/>
        </w:pBdr>
        <w:spacing w:before="240" w:line="360" w:lineRule="auto"/>
        <w:ind w:right="-201"/>
        <w:jc w:val="both"/>
        <w:rPr>
          <w:rFonts w:eastAsia="Times New Roman"/>
          <w:b/>
          <w:bCs/>
          <w:color w:val="000000"/>
          <w:lang w:eastAsia="en-US"/>
        </w:rPr>
      </w:pPr>
    </w:p>
    <w:p w:rsidR="007876AD" w:rsidRDefault="007876AD">
      <w:pPr>
        <w:rPr>
          <w:rFonts w:cs="Arial"/>
          <w:b/>
          <w:bCs/>
          <w:iCs/>
          <w:sz w:val="26"/>
          <w:szCs w:val="26"/>
          <w:lang w:eastAsia="en-US"/>
        </w:rPr>
      </w:pPr>
      <w:bookmarkStart w:id="1534" w:name="_Toc306570727"/>
      <w:bookmarkStart w:id="1535" w:name="_Toc307067788"/>
      <w:r>
        <w:br w:type="page"/>
      </w:r>
    </w:p>
    <w:p w:rsidR="006B72EF" w:rsidRDefault="00103EE4" w:rsidP="00645687">
      <w:pPr>
        <w:pStyle w:val="Heading2"/>
      </w:pPr>
      <w:r>
        <w:lastRenderedPageBreak/>
        <w:tab/>
      </w:r>
      <w:bookmarkStart w:id="1536" w:name="_Toc312169358"/>
      <w:bookmarkStart w:id="1537" w:name="_Toc312172285"/>
      <w:bookmarkStart w:id="1538" w:name="_Toc312257834"/>
      <w:r w:rsidR="006B72EF" w:rsidRPr="006B72EF">
        <w:t>Study evaluating the relationship between incidence of adverse events and treatment efficacy with thalidomide serum concentrations in multiple myeloma patients</w:t>
      </w:r>
      <w:bookmarkEnd w:id="1533"/>
      <w:bookmarkEnd w:id="1534"/>
      <w:bookmarkEnd w:id="1535"/>
      <w:bookmarkEnd w:id="1536"/>
      <w:bookmarkEnd w:id="1537"/>
      <w:bookmarkEnd w:id="1538"/>
      <w:r w:rsidR="006B72EF" w:rsidRPr="006B72EF">
        <w:t xml:space="preserve"> </w:t>
      </w:r>
    </w:p>
    <w:p w:rsidR="004721F1" w:rsidRPr="004721F1" w:rsidRDefault="004721F1" w:rsidP="004721F1">
      <w:pPr>
        <w:rPr>
          <w:lang w:eastAsia="en-US"/>
        </w:rPr>
      </w:pPr>
    </w:p>
    <w:p w:rsidR="006B72EF" w:rsidRPr="006B72EF" w:rsidRDefault="006B72EF" w:rsidP="00645687">
      <w:pPr>
        <w:pStyle w:val="Heading3"/>
      </w:pPr>
      <w:bookmarkStart w:id="1539" w:name="_Toc279436707"/>
      <w:bookmarkStart w:id="1540" w:name="_Toc279436906"/>
      <w:bookmarkStart w:id="1541" w:name="_Toc279658407"/>
      <w:bookmarkStart w:id="1542" w:name="_Toc279658499"/>
      <w:bookmarkStart w:id="1543" w:name="_Toc279658500"/>
      <w:bookmarkEnd w:id="1539"/>
      <w:bookmarkEnd w:id="1540"/>
      <w:bookmarkEnd w:id="1541"/>
      <w:bookmarkEnd w:id="1542"/>
      <w:r w:rsidRPr="006B72EF">
        <w:tab/>
      </w:r>
      <w:bookmarkStart w:id="1544" w:name="_Toc306570728"/>
      <w:bookmarkStart w:id="1545" w:name="_Toc307067789"/>
      <w:bookmarkStart w:id="1546" w:name="_Toc312169359"/>
      <w:bookmarkStart w:id="1547" w:name="_Toc312172286"/>
      <w:bookmarkStart w:id="1548" w:name="_Toc312257835"/>
      <w:r w:rsidRPr="006B72EF">
        <w:t>Back ground</w:t>
      </w:r>
      <w:bookmarkEnd w:id="1543"/>
      <w:bookmarkEnd w:id="1544"/>
      <w:bookmarkEnd w:id="1545"/>
      <w:bookmarkEnd w:id="1546"/>
      <w:bookmarkEnd w:id="1547"/>
      <w:bookmarkEnd w:id="1548"/>
      <w:r w:rsidRPr="006B72EF">
        <w:t xml:space="preserve"> </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Currently, the pharmacology, and especially the pharmacokinetics of thalidomide, is poorly described. In addition, the optimal thalidomide dosage and schedule are still undecided and unlike many chemotherapeutic agents, thalidomide starting dosages does not depend on the patients’ body weight or body surface area.</w:t>
      </w:r>
    </w:p>
    <w:p w:rsidR="006B72EF" w:rsidRPr="006B72EF" w:rsidRDefault="00B55EFC" w:rsidP="00645687">
      <w:pPr>
        <w:pStyle w:val="Heading3"/>
      </w:pPr>
      <w:bookmarkStart w:id="1549" w:name="_Toc279658501"/>
      <w:bookmarkStart w:id="1550" w:name="_Toc306570729"/>
      <w:bookmarkStart w:id="1551" w:name="_Toc307067790"/>
      <w:r>
        <w:tab/>
      </w:r>
      <w:bookmarkStart w:id="1552" w:name="_Toc312169360"/>
      <w:bookmarkStart w:id="1553" w:name="_Toc312172287"/>
      <w:bookmarkStart w:id="1554" w:name="_Toc312257836"/>
      <w:r w:rsidR="006B72EF" w:rsidRPr="006B72EF">
        <w:t>Thalidomide side effects</w:t>
      </w:r>
      <w:bookmarkEnd w:id="1549"/>
      <w:bookmarkEnd w:id="1550"/>
      <w:bookmarkEnd w:id="1551"/>
      <w:bookmarkEnd w:id="1552"/>
      <w:bookmarkEnd w:id="1553"/>
      <w:bookmarkEnd w:id="1554"/>
      <w:r w:rsidR="006B72EF" w:rsidRPr="006B72EF">
        <w:t xml:space="preserve"> </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Patients receiving thalidomide may experience various side effects with diffe</w:t>
      </w:r>
      <w:r w:rsidR="00724D2A">
        <w:rPr>
          <w:rFonts w:eastAsia="Times New Roman"/>
          <w:color w:val="0D0D0D"/>
          <w:lang w:eastAsia="en-US"/>
        </w:rPr>
        <w:t>ring intensity (</w:t>
      </w:r>
      <w:r w:rsidRPr="006B72EF">
        <w:rPr>
          <w:rFonts w:eastAsia="Times New Roman"/>
          <w:color w:val="0D0D0D"/>
          <w:lang w:eastAsia="en-US"/>
        </w:rPr>
        <w:t>section 1, Introduction). The incidence and severity of adverse events are related to the dose of the drug. Patients receiving 200 mg or less/day seem to tolerate the treatment well with lesser side effects. On the other hand, almost all patients taking more than 400 mg/day, experience thalidomide-related toxicities.  This may depend on the thalidomide blood level and capacity of individual patient to metabolize and excrete thalidomide.</w:t>
      </w:r>
    </w:p>
    <w:p w:rsidR="006B72EF" w:rsidRPr="006B72EF" w:rsidRDefault="00491A81" w:rsidP="00645687">
      <w:pPr>
        <w:pStyle w:val="Heading3"/>
      </w:pPr>
      <w:bookmarkStart w:id="1555" w:name="_Toc279658502"/>
      <w:bookmarkStart w:id="1556" w:name="_Toc274586853"/>
      <w:bookmarkStart w:id="1557" w:name="_Toc274736213"/>
      <w:r>
        <w:tab/>
      </w:r>
      <w:bookmarkStart w:id="1558" w:name="_Toc306570730"/>
      <w:bookmarkStart w:id="1559" w:name="_Toc307067791"/>
      <w:bookmarkStart w:id="1560" w:name="_Toc312169361"/>
      <w:bookmarkStart w:id="1561" w:name="_Toc312172288"/>
      <w:bookmarkStart w:id="1562" w:name="_Toc312257837"/>
      <w:r w:rsidR="006B72EF" w:rsidRPr="006B72EF">
        <w:t>Sample set</w:t>
      </w:r>
      <w:bookmarkEnd w:id="1555"/>
      <w:bookmarkEnd w:id="1558"/>
      <w:bookmarkEnd w:id="1559"/>
      <w:bookmarkEnd w:id="1560"/>
      <w:bookmarkEnd w:id="1561"/>
      <w:bookmarkEnd w:id="1562"/>
      <w:r w:rsidR="006B72EF" w:rsidRPr="006B72EF">
        <w:t xml:space="preserve"> </w:t>
      </w:r>
      <w:bookmarkEnd w:id="1556"/>
      <w:bookmarkEnd w:id="1557"/>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21 serum samples were collected, from 8 multiple myeloma patients - 1 female and 7 male. The 13 additional serum samples were collected from the above 8 patients when their thalidomide dosage was adjusted on clinical grounds (Table </w:t>
      </w:r>
      <w:r w:rsidR="00103EE4">
        <w:rPr>
          <w:rFonts w:eastAsia="Times New Roman"/>
          <w:color w:val="0D0D0D"/>
          <w:lang w:eastAsia="en-US"/>
        </w:rPr>
        <w:t>3-29</w:t>
      </w:r>
      <w:r w:rsidRPr="006B72EF">
        <w:rPr>
          <w:rFonts w:eastAsia="Times New Roman"/>
          <w:color w:val="0D0D0D"/>
          <w:lang w:eastAsia="en-US"/>
        </w:rPr>
        <w:t>).</w:t>
      </w:r>
    </w:p>
    <w:p w:rsidR="006B72EF" w:rsidRPr="006B72EF" w:rsidRDefault="006B72EF" w:rsidP="00645687">
      <w:pPr>
        <w:pStyle w:val="Heading3"/>
      </w:pPr>
      <w:r w:rsidRPr="006B72EF">
        <w:tab/>
      </w:r>
      <w:bookmarkStart w:id="1563" w:name="_Toc279658503"/>
      <w:bookmarkStart w:id="1564" w:name="_Toc306570731"/>
      <w:bookmarkStart w:id="1565" w:name="_Toc307067792"/>
      <w:bookmarkStart w:id="1566" w:name="_Toc312169362"/>
      <w:bookmarkStart w:id="1567" w:name="_Toc312172289"/>
      <w:bookmarkStart w:id="1568" w:name="_Toc312257838"/>
      <w:r w:rsidRPr="006B72EF">
        <w:t>Objective</w:t>
      </w:r>
      <w:bookmarkEnd w:id="1563"/>
      <w:bookmarkEnd w:id="1564"/>
      <w:bookmarkEnd w:id="1565"/>
      <w:bookmarkEnd w:id="1566"/>
      <w:bookmarkEnd w:id="1567"/>
      <w:bookmarkEnd w:id="1568"/>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objective of this pilot study was to determine whether the serum concentration of thalidomide is related to the development of side effects experienced by MM patients. In addition we also explored the relationship between the serum thalidomide concentration and the efficacy of thalidomide by measuring the clinical response. Samples were initially processed as discussed in Materia</w:t>
      </w:r>
      <w:r w:rsidR="00724D2A">
        <w:rPr>
          <w:rFonts w:eastAsia="Times New Roman"/>
          <w:color w:val="0D0D0D"/>
          <w:lang w:eastAsia="en-US"/>
        </w:rPr>
        <w:t>l and Methods section</w:t>
      </w:r>
      <w:r w:rsidRPr="006B72EF">
        <w:rPr>
          <w:rFonts w:eastAsia="Times New Roman"/>
          <w:color w:val="0D0D0D"/>
          <w:lang w:eastAsia="en-US"/>
        </w:rPr>
        <w:t xml:space="preserve">. Prescribed thalidomide dose range was: 50 mg /day to 300 mg/day as a single dose, (depending on tolerability of patients). The time from sample procurement to storage at -80ºC was less than 3 hours. </w:t>
      </w:r>
    </w:p>
    <w:p w:rsidR="006B72EF" w:rsidRPr="006B72EF" w:rsidRDefault="006B72EF" w:rsidP="00645687">
      <w:pPr>
        <w:pStyle w:val="Heading3"/>
      </w:pPr>
      <w:r w:rsidRPr="006B72EF">
        <w:lastRenderedPageBreak/>
        <w:tab/>
      </w:r>
      <w:bookmarkStart w:id="1569" w:name="_Toc279658504"/>
      <w:bookmarkStart w:id="1570" w:name="_Toc306570732"/>
      <w:bookmarkStart w:id="1571" w:name="_Toc307067793"/>
      <w:bookmarkStart w:id="1572" w:name="_Toc312169363"/>
      <w:bookmarkStart w:id="1573" w:name="_Toc312172290"/>
      <w:bookmarkStart w:id="1574" w:name="_Toc312257839"/>
      <w:r w:rsidRPr="006B72EF">
        <w:t>Results</w:t>
      </w:r>
      <w:bookmarkEnd w:id="1569"/>
      <w:bookmarkEnd w:id="1570"/>
      <w:bookmarkEnd w:id="1571"/>
      <w:bookmarkEnd w:id="1572"/>
      <w:bookmarkEnd w:id="1573"/>
      <w:bookmarkEnd w:id="1574"/>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serum thalidomide level w</w:t>
      </w:r>
      <w:r w:rsidR="0003061A">
        <w:rPr>
          <w:rFonts w:eastAsia="Times New Roman"/>
          <w:color w:val="0D0D0D"/>
          <w:lang w:eastAsia="en-US"/>
        </w:rPr>
        <w:t>as below that detectable in f</w:t>
      </w:r>
      <w:r w:rsidR="005701DA">
        <w:rPr>
          <w:rFonts w:eastAsia="Times New Roman"/>
          <w:color w:val="0D0D0D"/>
          <w:lang w:eastAsia="en-US"/>
        </w:rPr>
        <w:t>ive</w:t>
      </w:r>
      <w:r w:rsidRPr="006B72EF">
        <w:rPr>
          <w:rFonts w:eastAsia="Times New Roman"/>
          <w:color w:val="0D0D0D"/>
          <w:lang w:eastAsia="en-US"/>
        </w:rPr>
        <w:t xml:space="preserve"> samples</w:t>
      </w:r>
      <w:r w:rsidR="0003061A">
        <w:rPr>
          <w:rFonts w:eastAsia="Times New Roman"/>
          <w:color w:val="0D0D0D"/>
          <w:lang w:eastAsia="en-US"/>
        </w:rPr>
        <w:t>.</w:t>
      </w:r>
      <w:r w:rsidRPr="006B72EF">
        <w:rPr>
          <w:rFonts w:eastAsia="Times New Roman"/>
          <w:color w:val="0D0D0D"/>
          <w:lang w:eastAsia="en-US"/>
        </w:rPr>
        <w:t xml:space="preserve"> Of these, 1 patient was non-compliant with the medication</w:t>
      </w:r>
      <w:r w:rsidR="0003061A">
        <w:rPr>
          <w:rFonts w:eastAsia="Times New Roman"/>
          <w:color w:val="0D0D0D"/>
          <w:lang w:eastAsia="en-US"/>
        </w:rPr>
        <w:t xml:space="preserve"> (In outpatient clinic, p</w:t>
      </w:r>
      <w:r w:rsidR="0003061A" w:rsidRPr="0003061A">
        <w:rPr>
          <w:rFonts w:eastAsia="Times New Roman"/>
          <w:color w:val="0D0D0D"/>
          <w:lang w:eastAsia="en-US"/>
        </w:rPr>
        <w:t>atient agreed</w:t>
      </w:r>
      <w:r w:rsidR="0003061A">
        <w:rPr>
          <w:rFonts w:eastAsia="Times New Roman"/>
          <w:color w:val="0D0D0D"/>
          <w:lang w:eastAsia="en-US"/>
        </w:rPr>
        <w:t xml:space="preserve"> that</w:t>
      </w:r>
      <w:r w:rsidR="0003061A" w:rsidRPr="0003061A">
        <w:rPr>
          <w:rFonts w:eastAsia="Times New Roman"/>
          <w:color w:val="0D0D0D"/>
          <w:lang w:eastAsia="en-US"/>
        </w:rPr>
        <w:t xml:space="preserve"> he was non-compliance</w:t>
      </w:r>
      <w:r w:rsidR="0003061A">
        <w:rPr>
          <w:rFonts w:eastAsia="Times New Roman"/>
          <w:color w:val="0D0D0D"/>
          <w:lang w:eastAsia="en-US"/>
        </w:rPr>
        <w:t xml:space="preserve"> with the prescribed medication as he was feeling well)</w:t>
      </w:r>
      <w:r w:rsidRPr="006B72EF">
        <w:rPr>
          <w:rFonts w:eastAsia="Times New Roman"/>
          <w:color w:val="0D0D0D"/>
          <w:lang w:eastAsia="en-US"/>
        </w:rPr>
        <w:t>, in 2 patients thalidomide was stopped 14-21 days prior</w:t>
      </w:r>
      <w:r w:rsidR="0003061A">
        <w:rPr>
          <w:rFonts w:eastAsia="Times New Roman"/>
          <w:color w:val="0D0D0D"/>
          <w:lang w:eastAsia="en-US"/>
        </w:rPr>
        <w:t xml:space="preserve"> to sampling and the remaining 1</w:t>
      </w:r>
      <w:r w:rsidRPr="006B72EF">
        <w:rPr>
          <w:rFonts w:eastAsia="Times New Roman"/>
          <w:color w:val="0D0D0D"/>
          <w:lang w:eastAsia="en-US"/>
        </w:rPr>
        <w:t xml:space="preserve"> samples were taken from a</w:t>
      </w:r>
      <w:r w:rsidR="00724D2A">
        <w:rPr>
          <w:rFonts w:eastAsia="Times New Roman"/>
          <w:color w:val="0D0D0D"/>
          <w:lang w:eastAsia="en-US"/>
        </w:rPr>
        <w:t xml:space="preserve"> patient </w:t>
      </w:r>
      <w:r w:rsidRPr="006B72EF">
        <w:rPr>
          <w:rFonts w:eastAsia="Times New Roman"/>
          <w:color w:val="0D0D0D"/>
          <w:lang w:eastAsia="en-US"/>
        </w:rPr>
        <w:t>when</w:t>
      </w:r>
      <w:r w:rsidR="00D7041F">
        <w:rPr>
          <w:rFonts w:eastAsia="Times New Roman"/>
          <w:color w:val="0D0D0D"/>
          <w:lang w:eastAsia="en-US"/>
        </w:rPr>
        <w:t xml:space="preserve"> he was still on Lenalidomide (T</w:t>
      </w:r>
      <w:r w:rsidRPr="006B72EF">
        <w:rPr>
          <w:rFonts w:eastAsia="Times New Roman"/>
          <w:color w:val="0D0D0D"/>
          <w:lang w:eastAsia="en-US"/>
        </w:rPr>
        <w:t xml:space="preserve">able </w:t>
      </w:r>
      <w:r w:rsidR="00D7041F">
        <w:rPr>
          <w:rFonts w:eastAsia="Times New Roman"/>
          <w:color w:val="0D0D0D"/>
          <w:lang w:eastAsia="en-US"/>
        </w:rPr>
        <w:t>3-29</w:t>
      </w:r>
      <w:r w:rsidRPr="006B72EF">
        <w:rPr>
          <w:rFonts w:eastAsia="Times New Roman"/>
          <w:color w:val="0D0D0D"/>
          <w:lang w:eastAsia="en-US"/>
        </w:rPr>
        <w:t>)</w:t>
      </w:r>
      <w:r w:rsidR="00162601">
        <w:rPr>
          <w:rFonts w:eastAsia="Times New Roman"/>
          <w:color w:val="0D0D0D"/>
          <w:lang w:eastAsia="en-US"/>
        </w:rPr>
        <w:t>.</w:t>
      </w:r>
    </w:p>
    <w:p w:rsidR="006B72EF" w:rsidRDefault="003144E4" w:rsidP="00645687">
      <w:pPr>
        <w:pStyle w:val="Heading4"/>
      </w:pPr>
      <w:bookmarkStart w:id="1575" w:name="_Toc279658505"/>
      <w:r>
        <w:tab/>
      </w:r>
      <w:bookmarkStart w:id="1576" w:name="_Toc306570733"/>
      <w:bookmarkStart w:id="1577" w:name="_Toc307067794"/>
      <w:bookmarkStart w:id="1578" w:name="_Toc312169364"/>
      <w:bookmarkStart w:id="1579" w:name="_Toc312172291"/>
      <w:bookmarkStart w:id="1580" w:name="_Toc312257840"/>
      <w:r w:rsidR="006B72EF" w:rsidRPr="006B72EF">
        <w:t>Serum thalidomide level and daily dosage</w:t>
      </w:r>
      <w:bookmarkEnd w:id="1575"/>
      <w:bookmarkEnd w:id="1576"/>
      <w:bookmarkEnd w:id="1577"/>
      <w:bookmarkEnd w:id="1578"/>
      <w:bookmarkEnd w:id="1579"/>
      <w:bookmarkEnd w:id="1580"/>
      <w:r w:rsidR="006B72EF" w:rsidRPr="006B72EF">
        <w:t xml:space="preserve"> </w:t>
      </w:r>
    </w:p>
    <w:p w:rsidR="006B72EF" w:rsidRDefault="00162601" w:rsidP="00103EE4">
      <w:pPr>
        <w:spacing w:before="240" w:after="240" w:line="360" w:lineRule="auto"/>
        <w:jc w:val="both"/>
        <w:rPr>
          <w:rFonts w:eastAsia="Times New Roman"/>
          <w:color w:val="0D0D0D"/>
          <w:lang w:eastAsia="en-US"/>
        </w:rPr>
      </w:pPr>
      <w:r w:rsidRPr="006B72EF">
        <w:rPr>
          <w:rFonts w:eastAsia="Times New Roman"/>
          <w:color w:val="0D0D0D"/>
          <w:lang w:eastAsia="en-US"/>
        </w:rPr>
        <w:t xml:space="preserve">This study </w:t>
      </w:r>
      <w:r>
        <w:rPr>
          <w:rFonts w:eastAsia="Times New Roman"/>
          <w:color w:val="0D0D0D"/>
          <w:lang w:eastAsia="en-US"/>
        </w:rPr>
        <w:t>demonstrates</w:t>
      </w:r>
      <w:r w:rsidR="006B72EF" w:rsidRPr="006B72EF">
        <w:rPr>
          <w:rFonts w:eastAsia="Times New Roman"/>
          <w:color w:val="0D0D0D"/>
          <w:lang w:eastAsia="en-US"/>
        </w:rPr>
        <w:t xml:space="preserve"> that </w:t>
      </w:r>
      <w:r w:rsidR="00724D2A">
        <w:rPr>
          <w:rFonts w:eastAsia="Times New Roman"/>
          <w:color w:val="0D0D0D"/>
          <w:lang w:eastAsia="en-US"/>
        </w:rPr>
        <w:t xml:space="preserve">the </w:t>
      </w:r>
      <w:r w:rsidR="006B72EF" w:rsidRPr="006B72EF">
        <w:rPr>
          <w:rFonts w:eastAsia="Times New Roman"/>
          <w:color w:val="0D0D0D"/>
          <w:lang w:eastAsia="en-US"/>
        </w:rPr>
        <w:t>ser</w:t>
      </w:r>
      <w:r w:rsidR="00724D2A">
        <w:rPr>
          <w:rFonts w:eastAsia="Times New Roman"/>
          <w:color w:val="0D0D0D"/>
          <w:lang w:eastAsia="en-US"/>
        </w:rPr>
        <w:t xml:space="preserve">um thalidomide </w:t>
      </w:r>
      <w:r w:rsidR="004D56C5">
        <w:rPr>
          <w:rFonts w:eastAsia="Times New Roman"/>
          <w:color w:val="0D0D0D"/>
          <w:lang w:eastAsia="en-US"/>
        </w:rPr>
        <w:t>levels are</w:t>
      </w:r>
      <w:r w:rsidR="00724D2A">
        <w:rPr>
          <w:rFonts w:eastAsia="Times New Roman"/>
          <w:color w:val="0D0D0D"/>
          <w:lang w:eastAsia="en-US"/>
        </w:rPr>
        <w:t xml:space="preserve"> </w:t>
      </w:r>
      <w:r>
        <w:rPr>
          <w:rFonts w:eastAsia="Times New Roman"/>
          <w:color w:val="0D0D0D"/>
          <w:lang w:eastAsia="en-US"/>
        </w:rPr>
        <w:t>approximately correlated with the dose the patient was receiving, i.e. larger dose resulted in greater serum thalidomide concentration.</w:t>
      </w:r>
      <w:r w:rsidR="006B72EF" w:rsidRPr="006B72EF">
        <w:rPr>
          <w:rFonts w:eastAsia="Times New Roman"/>
          <w:color w:val="0D0D0D"/>
          <w:lang w:eastAsia="en-US"/>
        </w:rPr>
        <w:t xml:space="preserve"> In this study, patients who </w:t>
      </w:r>
      <w:r>
        <w:rPr>
          <w:rFonts w:eastAsia="Times New Roman"/>
          <w:color w:val="0D0D0D"/>
          <w:lang w:eastAsia="en-US"/>
        </w:rPr>
        <w:t>were</w:t>
      </w:r>
      <w:r w:rsidR="006B72EF" w:rsidRPr="006B72EF">
        <w:rPr>
          <w:rFonts w:eastAsia="Times New Roman"/>
          <w:color w:val="0D0D0D"/>
          <w:lang w:eastAsia="en-US"/>
        </w:rPr>
        <w:t xml:space="preserve"> on lower thalidomide </w:t>
      </w:r>
      <w:r w:rsidR="00724D2A">
        <w:rPr>
          <w:rFonts w:eastAsia="Times New Roman"/>
          <w:color w:val="0D0D0D"/>
          <w:lang w:eastAsia="en-US"/>
        </w:rPr>
        <w:t xml:space="preserve"> daily dosage of 50-150 mg /day</w:t>
      </w:r>
      <w:r>
        <w:rPr>
          <w:rFonts w:eastAsia="Times New Roman"/>
          <w:color w:val="0D0D0D"/>
          <w:lang w:eastAsia="en-US"/>
        </w:rPr>
        <w:t xml:space="preserve"> had</w:t>
      </w:r>
      <w:r w:rsidR="006B72EF" w:rsidRPr="006B72EF">
        <w:rPr>
          <w:rFonts w:eastAsia="Times New Roman"/>
          <w:color w:val="0D0D0D"/>
          <w:lang w:eastAsia="en-US"/>
        </w:rPr>
        <w:t xml:space="preserve"> statistically significant</w:t>
      </w:r>
      <w:r>
        <w:rPr>
          <w:rFonts w:eastAsia="Times New Roman"/>
          <w:color w:val="0D0D0D"/>
          <w:lang w:eastAsia="en-US"/>
        </w:rPr>
        <w:t xml:space="preserve"> (using student t-test)</w:t>
      </w:r>
      <w:r w:rsidR="006B72EF" w:rsidRPr="006B72EF">
        <w:rPr>
          <w:rFonts w:eastAsia="Times New Roman"/>
          <w:color w:val="0D0D0D"/>
          <w:lang w:eastAsia="en-US"/>
        </w:rPr>
        <w:t xml:space="preserve"> lower serum thalidomide level as compared to the patients taking more commonly prescribed daily dosage of 200 </w:t>
      </w:r>
      <w:r w:rsidR="00103EE4">
        <w:rPr>
          <w:rFonts w:eastAsia="Times New Roman"/>
          <w:color w:val="0D0D0D"/>
          <w:lang w:eastAsia="en-US"/>
        </w:rPr>
        <w:t>mg/day (</w:t>
      </w:r>
      <w:r w:rsidR="0010315E" w:rsidRPr="0010315E">
        <w:rPr>
          <w:rFonts w:eastAsia="Times New Roman"/>
          <w:i/>
          <w:color w:val="0D0D0D"/>
          <w:lang w:eastAsia="en-US"/>
        </w:rPr>
        <w:t>p=</w:t>
      </w:r>
      <w:r w:rsidR="006B72EF" w:rsidRPr="006B72EF">
        <w:rPr>
          <w:rFonts w:eastAsia="Times New Roman"/>
          <w:color w:val="0D0D0D"/>
          <w:lang w:eastAsia="en-US"/>
        </w:rPr>
        <w:t xml:space="preserve"> 0.00001) ( Table </w:t>
      </w:r>
      <w:r w:rsidR="00724D2A">
        <w:rPr>
          <w:rFonts w:eastAsia="Times New Roman"/>
          <w:color w:val="0D0D0D"/>
          <w:lang w:eastAsia="en-US"/>
        </w:rPr>
        <w:t>3-</w:t>
      </w:r>
      <w:r w:rsidR="006B72EF" w:rsidRPr="006B72EF">
        <w:rPr>
          <w:rFonts w:eastAsia="Times New Roman"/>
          <w:color w:val="0D0D0D"/>
          <w:lang w:eastAsia="en-US"/>
        </w:rPr>
        <w:t>30).</w:t>
      </w:r>
    </w:p>
    <w:p w:rsidR="006B72EF" w:rsidRPr="006B72EF" w:rsidRDefault="00B96DE7" w:rsidP="00057B42">
      <w:pPr>
        <w:keepNext/>
        <w:spacing w:after="240" w:line="360" w:lineRule="auto"/>
        <w:jc w:val="center"/>
        <w:rPr>
          <w:rFonts w:eastAsia="Times New Roman"/>
          <w:color w:val="0D0D0D"/>
          <w:lang w:eastAsia="en-US"/>
        </w:rPr>
      </w:pPr>
      <w:r w:rsidRPr="00B96DE7">
        <w:rPr>
          <w:noProof/>
          <w:lang w:eastAsia="en-IE"/>
        </w:rPr>
        <w:lastRenderedPageBreak/>
        <w:drawing>
          <wp:inline distT="0" distB="0" distL="0" distR="0" wp14:anchorId="354B9D48" wp14:editId="30DD9146">
            <wp:extent cx="4552381" cy="5209524"/>
            <wp:effectExtent l="0" t="0" r="635" b="0"/>
            <wp:docPr id="290845" name="Picture 29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552381" cy="5209524"/>
                    </a:xfrm>
                    <a:prstGeom prst="rect">
                      <a:avLst/>
                    </a:prstGeom>
                  </pic:spPr>
                </pic:pic>
              </a:graphicData>
            </a:graphic>
          </wp:inline>
        </w:drawing>
      </w:r>
    </w:p>
    <w:p w:rsidR="006B72EF" w:rsidRDefault="006B72EF" w:rsidP="00057B42">
      <w:pPr>
        <w:pBdr>
          <w:bottom w:val="single" w:sz="12" w:space="1" w:color="auto"/>
        </w:pBdr>
        <w:spacing w:before="240" w:line="360" w:lineRule="auto"/>
        <w:ind w:right="-1"/>
        <w:jc w:val="both"/>
        <w:rPr>
          <w:rFonts w:eastAsia="Times New Roman"/>
          <w:b/>
          <w:bCs/>
          <w:color w:val="000000"/>
          <w:lang w:eastAsia="en-US"/>
        </w:rPr>
      </w:pPr>
      <w:r w:rsidRPr="006B72EF">
        <w:rPr>
          <w:rFonts w:eastAsia="Times New Roman"/>
          <w:b/>
          <w:bCs/>
          <w:color w:val="000000"/>
          <w:lang w:eastAsia="en-US"/>
        </w:rPr>
        <w:t xml:space="preserve">Table </w:t>
      </w:r>
      <w:r w:rsidR="00B55EFC">
        <w:rPr>
          <w:rFonts w:eastAsia="Times New Roman"/>
          <w:b/>
          <w:bCs/>
          <w:color w:val="000000"/>
          <w:lang w:eastAsia="en-US"/>
        </w:rPr>
        <w:fldChar w:fldCharType="begin"/>
      </w:r>
      <w:r w:rsidR="00B55EFC">
        <w:rPr>
          <w:rFonts w:eastAsia="Times New Roman"/>
          <w:b/>
          <w:bCs/>
          <w:color w:val="000000"/>
          <w:lang w:eastAsia="en-US"/>
        </w:rPr>
        <w:instrText xml:space="preserve"> STYLEREF 1 \s </w:instrText>
      </w:r>
      <w:r w:rsidR="00B55EFC">
        <w:rPr>
          <w:rFonts w:eastAsia="Times New Roman"/>
          <w:b/>
          <w:bCs/>
          <w:color w:val="000000"/>
          <w:lang w:eastAsia="en-US"/>
        </w:rPr>
        <w:fldChar w:fldCharType="separate"/>
      </w:r>
      <w:r w:rsidR="0081644B">
        <w:rPr>
          <w:rFonts w:eastAsia="Times New Roman"/>
          <w:b/>
          <w:bCs/>
          <w:noProof/>
          <w:color w:val="000000"/>
          <w:lang w:eastAsia="en-US"/>
        </w:rPr>
        <w:t>3</w:t>
      </w:r>
      <w:r w:rsidR="00B55EFC">
        <w:rPr>
          <w:rFonts w:eastAsia="Times New Roman"/>
          <w:b/>
          <w:bCs/>
          <w:color w:val="000000"/>
          <w:lang w:eastAsia="en-US"/>
        </w:rPr>
        <w:fldChar w:fldCharType="end"/>
      </w:r>
      <w:r w:rsidR="00B55EFC">
        <w:rPr>
          <w:rFonts w:eastAsia="Times New Roman"/>
          <w:b/>
          <w:bCs/>
          <w:color w:val="000000"/>
          <w:lang w:eastAsia="en-US"/>
        </w:rPr>
        <w:noBreakHyphen/>
      </w:r>
      <w:r w:rsidR="00B55EFC">
        <w:rPr>
          <w:rFonts w:eastAsia="Times New Roman"/>
          <w:b/>
          <w:bCs/>
          <w:color w:val="000000"/>
          <w:lang w:eastAsia="en-US"/>
        </w:rPr>
        <w:fldChar w:fldCharType="begin"/>
      </w:r>
      <w:r w:rsidR="00B55EFC">
        <w:rPr>
          <w:rFonts w:eastAsia="Times New Roman"/>
          <w:b/>
          <w:bCs/>
          <w:color w:val="000000"/>
          <w:lang w:eastAsia="en-US"/>
        </w:rPr>
        <w:instrText xml:space="preserve"> SEQ Table \* ARABIC \s 1 </w:instrText>
      </w:r>
      <w:r w:rsidR="00B55EFC">
        <w:rPr>
          <w:rFonts w:eastAsia="Times New Roman"/>
          <w:b/>
          <w:bCs/>
          <w:color w:val="000000"/>
          <w:lang w:eastAsia="en-US"/>
        </w:rPr>
        <w:fldChar w:fldCharType="separate"/>
      </w:r>
      <w:r w:rsidR="0081644B">
        <w:rPr>
          <w:rFonts w:eastAsia="Times New Roman"/>
          <w:b/>
          <w:bCs/>
          <w:noProof/>
          <w:color w:val="000000"/>
          <w:lang w:eastAsia="en-US"/>
        </w:rPr>
        <w:t>29</w:t>
      </w:r>
      <w:r w:rsidR="00B55EFC">
        <w:rPr>
          <w:rFonts w:eastAsia="Times New Roman"/>
          <w:b/>
          <w:bCs/>
          <w:color w:val="000000"/>
          <w:lang w:eastAsia="en-US"/>
        </w:rPr>
        <w:fldChar w:fldCharType="end"/>
      </w:r>
      <w:r w:rsidRPr="006B72EF">
        <w:rPr>
          <w:rFonts w:eastAsia="Times New Roman"/>
          <w:b/>
          <w:bCs/>
          <w:color w:val="000000"/>
          <w:lang w:eastAsia="en-US"/>
        </w:rPr>
        <w:t xml:space="preserve"> displays the ser</w:t>
      </w:r>
      <w:r w:rsidR="00724D2A">
        <w:rPr>
          <w:rFonts w:eastAsia="Times New Roman"/>
          <w:b/>
          <w:bCs/>
          <w:color w:val="000000"/>
          <w:lang w:eastAsia="en-US"/>
        </w:rPr>
        <w:t>um thalidomide level</w:t>
      </w:r>
      <w:r w:rsidR="00192E99">
        <w:rPr>
          <w:rFonts w:eastAsia="Times New Roman"/>
          <w:b/>
          <w:bCs/>
          <w:color w:val="000000"/>
          <w:lang w:eastAsia="en-US"/>
        </w:rPr>
        <w:t xml:space="preserve"> varied according to the dose the patient received</w:t>
      </w:r>
      <w:r w:rsidRPr="006B72EF">
        <w:rPr>
          <w:rFonts w:eastAsia="Times New Roman"/>
          <w:b/>
          <w:bCs/>
          <w:color w:val="000000"/>
          <w:lang w:eastAsia="en-US"/>
        </w:rPr>
        <w:t>. Patients on lower daily dosage of th</w:t>
      </w:r>
      <w:r w:rsidR="00192E99">
        <w:rPr>
          <w:rFonts w:eastAsia="Times New Roman"/>
          <w:b/>
          <w:bCs/>
          <w:color w:val="000000"/>
          <w:lang w:eastAsia="en-US"/>
        </w:rPr>
        <w:t>alidomide = 50-150 mg /day; had</w:t>
      </w:r>
      <w:r w:rsidRPr="006B72EF">
        <w:rPr>
          <w:rFonts w:eastAsia="Times New Roman"/>
          <w:b/>
          <w:bCs/>
          <w:color w:val="000000"/>
          <w:lang w:eastAsia="en-US"/>
        </w:rPr>
        <w:t xml:space="preserve"> a statistically significant lower serum thalidomide level as compared to the patients taking</w:t>
      </w:r>
      <w:r w:rsidR="00192E99">
        <w:rPr>
          <w:rFonts w:eastAsia="Times New Roman"/>
          <w:b/>
          <w:bCs/>
          <w:color w:val="000000"/>
          <w:lang w:eastAsia="en-US"/>
        </w:rPr>
        <w:t xml:space="preserve"> daily dosage of ≥ 200 mg/day</w:t>
      </w:r>
      <w:r w:rsidRPr="006B72EF">
        <w:rPr>
          <w:rFonts w:eastAsia="Times New Roman"/>
          <w:b/>
          <w:bCs/>
          <w:color w:val="000000"/>
          <w:lang w:eastAsia="en-US"/>
        </w:rPr>
        <w:t xml:space="preserve">. At the time of serum collection, samples numbers 18-21 were from patients not ingesting thalidomide.  </w:t>
      </w:r>
    </w:p>
    <w:p w:rsidR="00103EE4" w:rsidRDefault="00103EE4" w:rsidP="00057B42">
      <w:pPr>
        <w:pBdr>
          <w:bottom w:val="single" w:sz="12" w:space="1" w:color="auto"/>
        </w:pBdr>
        <w:spacing w:before="240" w:line="360" w:lineRule="auto"/>
        <w:ind w:right="-1"/>
        <w:jc w:val="both"/>
        <w:rPr>
          <w:rFonts w:eastAsia="Times New Roman"/>
          <w:b/>
          <w:bCs/>
          <w:color w:val="000000"/>
          <w:lang w:eastAsia="en-US"/>
        </w:rPr>
      </w:pPr>
    </w:p>
    <w:p w:rsidR="00724D2A" w:rsidRPr="006B72EF" w:rsidRDefault="00724D2A" w:rsidP="00057B42">
      <w:pPr>
        <w:spacing w:before="240" w:line="360" w:lineRule="auto"/>
        <w:ind w:right="-1"/>
        <w:jc w:val="both"/>
        <w:rPr>
          <w:rFonts w:eastAsia="Times New Roman"/>
          <w:b/>
          <w:bCs/>
          <w:color w:val="000000"/>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On the individual patient basis, five serums samples are from two patients (samples number 269, 292, patient-1; 342, 377, 388 patient-2), shows a corresponding difference in serum thalidomide levels when the thalidomide daily dosages were altered (Table </w:t>
      </w:r>
      <w:r w:rsidR="00D7041F">
        <w:rPr>
          <w:rFonts w:eastAsia="Times New Roman"/>
          <w:color w:val="0D0D0D"/>
          <w:lang w:eastAsia="en-US"/>
        </w:rPr>
        <w:t>3-30</w:t>
      </w:r>
      <w:r w:rsidRPr="006B72EF">
        <w:rPr>
          <w:rFonts w:eastAsia="Times New Roman"/>
          <w:color w:val="0D0D0D"/>
          <w:lang w:eastAsia="en-US"/>
        </w:rPr>
        <w:t xml:space="preserve">). </w:t>
      </w:r>
    </w:p>
    <w:p w:rsidR="00103EE4" w:rsidRDefault="00103EE4" w:rsidP="00103EE4">
      <w:pPr>
        <w:spacing w:after="240" w:line="360" w:lineRule="auto"/>
        <w:jc w:val="center"/>
        <w:rPr>
          <w:noProof/>
          <w:lang w:eastAsia="en-IE"/>
        </w:rPr>
      </w:pPr>
    </w:p>
    <w:p w:rsidR="006B72EF" w:rsidRPr="006B72EF" w:rsidRDefault="005701DA" w:rsidP="00103EE4">
      <w:pPr>
        <w:spacing w:after="240" w:line="360" w:lineRule="auto"/>
        <w:jc w:val="center"/>
        <w:rPr>
          <w:rFonts w:eastAsia="Times New Roman"/>
          <w:color w:val="0D0D0D"/>
          <w:lang w:eastAsia="en-US"/>
        </w:rPr>
      </w:pPr>
      <w:r w:rsidRPr="005701DA">
        <w:rPr>
          <w:noProof/>
          <w:lang w:eastAsia="en-IE"/>
        </w:rPr>
        <w:drawing>
          <wp:inline distT="0" distB="0" distL="0" distR="0" wp14:anchorId="3F1AF429" wp14:editId="0815988C">
            <wp:extent cx="3342857" cy="2676191"/>
            <wp:effectExtent l="0" t="0" r="0" b="0"/>
            <wp:docPr id="290846" name="Picture 29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342857" cy="2676191"/>
                    </a:xfrm>
                    <a:prstGeom prst="rect">
                      <a:avLst/>
                    </a:prstGeom>
                  </pic:spPr>
                </pic:pic>
              </a:graphicData>
            </a:graphic>
          </wp:inline>
        </w:drawing>
      </w: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30</w:t>
      </w:r>
      <w:r w:rsidR="00B55EFC">
        <w:rPr>
          <w:rFonts w:eastAsia="Times New Roman"/>
          <w:b/>
          <w:color w:val="0D0D0D"/>
          <w:lang w:eastAsia="en-US"/>
        </w:rPr>
        <w:fldChar w:fldCharType="end"/>
      </w:r>
      <w:r w:rsidR="00724D2A">
        <w:rPr>
          <w:rFonts w:eastAsia="Times New Roman"/>
          <w:b/>
          <w:color w:val="0D0D0D"/>
          <w:lang w:eastAsia="en-US"/>
        </w:rPr>
        <w:t xml:space="preserve"> shows that</w:t>
      </w:r>
      <w:r w:rsidRPr="006B72EF">
        <w:rPr>
          <w:rFonts w:eastAsia="Times New Roman"/>
          <w:b/>
          <w:color w:val="0D0D0D"/>
          <w:lang w:eastAsia="en-US"/>
        </w:rPr>
        <w:t xml:space="preserve"> when the Patient 1 </w:t>
      </w:r>
      <w:r w:rsidR="0010315E">
        <w:rPr>
          <w:rFonts w:eastAsia="Times New Roman"/>
          <w:b/>
          <w:color w:val="0D0D0D"/>
          <w:lang w:eastAsia="en-US"/>
        </w:rPr>
        <w:t>and</w:t>
      </w:r>
      <w:r w:rsidRPr="006B72EF">
        <w:rPr>
          <w:rFonts w:eastAsia="Times New Roman"/>
          <w:b/>
          <w:color w:val="0D0D0D"/>
          <w:lang w:eastAsia="en-US"/>
        </w:rPr>
        <w:t xml:space="preserve"> 2 thalidomide dosage was altered from 100 to 50 and 150 to 200 mg/day respectively, the resultant serum thalido</w:t>
      </w:r>
      <w:r w:rsidR="005701DA">
        <w:rPr>
          <w:rFonts w:eastAsia="Times New Roman"/>
          <w:b/>
          <w:color w:val="0D0D0D"/>
          <w:lang w:eastAsia="en-US"/>
        </w:rPr>
        <w:t>mide was also altered from 164 ng/mL to 63 and from 781 to 573 ng/mL</w:t>
      </w:r>
      <w:r w:rsidRPr="006B72EF">
        <w:rPr>
          <w:rFonts w:eastAsia="Times New Roman"/>
          <w:b/>
          <w:color w:val="0D0D0D"/>
          <w:lang w:eastAsia="en-US"/>
        </w:rPr>
        <w:t xml:space="preserve"> respectively.</w:t>
      </w:r>
    </w:p>
    <w:p w:rsidR="003144E4" w:rsidRDefault="003144E4" w:rsidP="00057B42">
      <w:pPr>
        <w:pBdr>
          <w:bottom w:val="single" w:sz="12" w:space="1" w:color="auto"/>
        </w:pBdr>
        <w:spacing w:after="240" w:line="360" w:lineRule="auto"/>
        <w:jc w:val="both"/>
        <w:rPr>
          <w:rFonts w:eastAsia="Times New Roman"/>
          <w:b/>
          <w:color w:val="0D0D0D"/>
          <w:lang w:eastAsia="en-US"/>
        </w:rPr>
      </w:pPr>
    </w:p>
    <w:p w:rsidR="003144E4" w:rsidRPr="006B72EF" w:rsidRDefault="003144E4" w:rsidP="00057B42">
      <w:pPr>
        <w:spacing w:after="240" w:line="360" w:lineRule="auto"/>
        <w:jc w:val="both"/>
        <w:rPr>
          <w:rFonts w:eastAsia="Times New Roman"/>
          <w:b/>
          <w:color w:val="0D0D0D"/>
          <w:lang w:eastAsia="en-US"/>
        </w:rPr>
      </w:pPr>
    </w:p>
    <w:p w:rsidR="006B72EF" w:rsidRDefault="003144E4" w:rsidP="00645687">
      <w:pPr>
        <w:pStyle w:val="Heading4"/>
      </w:pPr>
      <w:bookmarkStart w:id="1581" w:name="_Toc279658506"/>
      <w:r>
        <w:br w:type="page"/>
      </w:r>
      <w:r>
        <w:lastRenderedPageBreak/>
        <w:t xml:space="preserve"> </w:t>
      </w:r>
      <w:r>
        <w:tab/>
      </w:r>
      <w:bookmarkStart w:id="1582" w:name="_Toc306570734"/>
      <w:bookmarkStart w:id="1583" w:name="_Toc307067795"/>
      <w:bookmarkStart w:id="1584" w:name="_Toc312169365"/>
      <w:bookmarkStart w:id="1585" w:name="_Toc312172292"/>
      <w:bookmarkStart w:id="1586" w:name="_Toc312257841"/>
      <w:r w:rsidR="006B72EF" w:rsidRPr="006B72EF">
        <w:t>Serum thalidomide level and neuropathy</w:t>
      </w:r>
      <w:bookmarkEnd w:id="1581"/>
      <w:bookmarkEnd w:id="1582"/>
      <w:bookmarkEnd w:id="1583"/>
      <w:bookmarkEnd w:id="1584"/>
      <w:bookmarkEnd w:id="1585"/>
      <w:bookmarkEnd w:id="1586"/>
      <w:r w:rsidR="006B72EF" w:rsidRPr="006B72EF">
        <w:t xml:space="preserve"> </w:t>
      </w:r>
    </w:p>
    <w:p w:rsidR="006B72EF" w:rsidRPr="006B72EF" w:rsidRDefault="006B72EF" w:rsidP="00084FBA">
      <w:pPr>
        <w:spacing w:before="240" w:after="240" w:line="360" w:lineRule="auto"/>
        <w:jc w:val="both"/>
        <w:rPr>
          <w:rFonts w:eastAsia="Times New Roman"/>
          <w:color w:val="0D0D0D"/>
          <w:lang w:eastAsia="en-US"/>
        </w:rPr>
      </w:pPr>
      <w:r w:rsidRPr="006B72EF">
        <w:rPr>
          <w:rFonts w:eastAsia="Times New Roman"/>
          <w:color w:val="0D0D0D"/>
          <w:lang w:eastAsia="en-US"/>
        </w:rPr>
        <w:t xml:space="preserve">In this study, thalidomide-related neuropathy was classified based on National Cancer Institute Common Toxicity Criteria for thalidomide as described </w:t>
      </w:r>
      <w:r w:rsidR="00724D2A">
        <w:rPr>
          <w:rFonts w:eastAsia="Times New Roman"/>
          <w:color w:val="0D0D0D"/>
          <w:lang w:eastAsia="en-US"/>
        </w:rPr>
        <w:t>in chapter 1 introduction</w:t>
      </w:r>
      <w:r w:rsidRPr="006B72EF">
        <w:rPr>
          <w:rFonts w:eastAsia="Times New Roman"/>
          <w:color w:val="0D0D0D"/>
          <w:lang w:eastAsia="en-US"/>
        </w:rPr>
        <w:t>, briefly peripheral neuropathy was graded as follows:</w:t>
      </w:r>
      <w:r w:rsidR="003144E4">
        <w:rPr>
          <w:rFonts w:eastAsia="Times New Roman"/>
          <w:color w:val="0D0D0D"/>
          <w:lang w:eastAsia="en-US"/>
        </w:rPr>
        <w:t xml:space="preserve"> Grade 0 = </w:t>
      </w:r>
      <w:r w:rsidRPr="006B72EF">
        <w:rPr>
          <w:rFonts w:eastAsia="Times New Roman"/>
          <w:color w:val="0D0D0D"/>
          <w:lang w:eastAsia="en-US"/>
        </w:rPr>
        <w:t>Normal</w:t>
      </w:r>
      <w:r w:rsidR="003144E4">
        <w:rPr>
          <w:rFonts w:eastAsia="Times New Roman"/>
          <w:color w:val="0D0D0D"/>
          <w:lang w:eastAsia="en-US"/>
        </w:rPr>
        <w:t>, Grade =</w:t>
      </w:r>
      <w:r w:rsidRPr="006B72EF">
        <w:rPr>
          <w:rFonts w:eastAsia="Times New Roman"/>
          <w:color w:val="0D0D0D"/>
          <w:lang w:eastAsia="en-US"/>
        </w:rPr>
        <w:t>Loss of deep tendon reflexes or paresthesia (including tingling and numbness) but not interfering with function</w:t>
      </w:r>
      <w:r w:rsidR="003144E4">
        <w:rPr>
          <w:rFonts w:eastAsia="Times New Roman"/>
          <w:color w:val="0D0D0D"/>
          <w:lang w:eastAsia="en-US"/>
        </w:rPr>
        <w:t xml:space="preserve">. Grade 2= </w:t>
      </w:r>
      <w:r w:rsidRPr="006B72EF">
        <w:rPr>
          <w:rFonts w:eastAsia="Times New Roman"/>
          <w:color w:val="0D0D0D"/>
          <w:lang w:eastAsia="en-US"/>
        </w:rPr>
        <w:t xml:space="preserve">Objective sensory loss or paresthesia (including tingling), that is interfering with the normal function but not interfering with the activities of daily routine living. </w:t>
      </w:r>
      <w:r w:rsidR="003144E4">
        <w:rPr>
          <w:rFonts w:eastAsia="Times New Roman"/>
          <w:color w:val="0D0D0D"/>
          <w:lang w:eastAsia="en-US"/>
        </w:rPr>
        <w:t xml:space="preserve">Grade 3= </w:t>
      </w:r>
      <w:r w:rsidRPr="006B72EF">
        <w:rPr>
          <w:rFonts w:eastAsia="Times New Roman"/>
          <w:color w:val="0D0D0D"/>
          <w:lang w:eastAsia="en-US"/>
        </w:rPr>
        <w:t>Sensory loss or paresthesia interfering with activities of daily living</w:t>
      </w:r>
      <w:r w:rsidR="003144E4">
        <w:rPr>
          <w:rFonts w:eastAsia="Times New Roman"/>
          <w:color w:val="0D0D0D"/>
          <w:lang w:eastAsia="en-US"/>
        </w:rPr>
        <w:t>. Grade 4=</w:t>
      </w:r>
      <w:r w:rsidRPr="006B72EF">
        <w:rPr>
          <w:rFonts w:eastAsia="Times New Roman"/>
          <w:color w:val="0D0D0D"/>
          <w:lang w:eastAsia="en-US"/>
        </w:rPr>
        <w:t xml:space="preserve"> Permanent sensory loss that interferes with function</w:t>
      </w:r>
      <w:r w:rsidR="003144E4">
        <w:rPr>
          <w:rFonts w:eastAsia="Times New Roman"/>
          <w:color w:val="0D0D0D"/>
          <w:lang w:eastAsia="en-US"/>
        </w:rPr>
        <w:t>.</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At the time of sampling 5 patients had grade III, 12 patients had</w:t>
      </w:r>
      <w:r w:rsidR="00C643F0">
        <w:rPr>
          <w:rFonts w:eastAsia="Times New Roman"/>
          <w:color w:val="0D0D0D"/>
          <w:lang w:eastAsia="en-US"/>
        </w:rPr>
        <w:t xml:space="preserve"> grade II, 2 patients had grade </w:t>
      </w:r>
      <w:r w:rsidRPr="006B72EF">
        <w:rPr>
          <w:rFonts w:eastAsia="Times New Roman"/>
          <w:color w:val="0D0D0D"/>
          <w:lang w:eastAsia="en-US"/>
        </w:rPr>
        <w:t>I and 2 patients had grade 0 peripheral ne</w:t>
      </w:r>
      <w:r w:rsidR="00724D2A">
        <w:rPr>
          <w:rFonts w:eastAsia="Times New Roman"/>
          <w:color w:val="0D0D0D"/>
          <w:lang w:eastAsia="en-US"/>
        </w:rPr>
        <w:t>uropathy requiring</w:t>
      </w:r>
      <w:r w:rsidRPr="006B72EF">
        <w:rPr>
          <w:rFonts w:eastAsia="Times New Roman"/>
          <w:color w:val="0D0D0D"/>
          <w:lang w:eastAsia="en-US"/>
        </w:rPr>
        <w:t xml:space="preserve">, discontinuation of thalidomide in one patient and thalidomide dosage reduction in two patients. However, </w:t>
      </w:r>
      <w:r w:rsidR="005701DA">
        <w:rPr>
          <w:rFonts w:eastAsia="Times New Roman"/>
          <w:color w:val="0D0D0D"/>
          <w:lang w:eastAsia="en-US"/>
        </w:rPr>
        <w:t xml:space="preserve">using student t-test </w:t>
      </w:r>
      <w:r w:rsidRPr="006B72EF">
        <w:rPr>
          <w:rFonts w:eastAsia="Times New Roman"/>
          <w:color w:val="0D0D0D"/>
          <w:lang w:eastAsia="en-US"/>
        </w:rPr>
        <w:t>there was no statistically significant correlation between serum thalidomide level</w:t>
      </w:r>
      <w:r w:rsidR="00724D2A">
        <w:rPr>
          <w:rFonts w:eastAsia="Times New Roman"/>
          <w:color w:val="0D0D0D"/>
          <w:lang w:eastAsia="en-US"/>
        </w:rPr>
        <w:t>s</w:t>
      </w:r>
      <w:r w:rsidRPr="006B72EF">
        <w:rPr>
          <w:rFonts w:eastAsia="Times New Roman"/>
          <w:color w:val="0D0D0D"/>
          <w:lang w:eastAsia="en-US"/>
        </w:rPr>
        <w:t xml:space="preserve"> and </w:t>
      </w:r>
      <w:r w:rsidR="00C70E8F">
        <w:rPr>
          <w:rFonts w:eastAsia="Times New Roman"/>
          <w:color w:val="0D0D0D"/>
          <w:lang w:eastAsia="en-US"/>
        </w:rPr>
        <w:t xml:space="preserve">the </w:t>
      </w:r>
      <w:r w:rsidRPr="006B72EF">
        <w:rPr>
          <w:rFonts w:eastAsia="Times New Roman"/>
          <w:color w:val="0D0D0D"/>
          <w:lang w:eastAsia="en-US"/>
        </w:rPr>
        <w:t>grade of neuropathy experienced by patients (</w:t>
      </w:r>
      <w:r w:rsidR="0010315E" w:rsidRPr="0010315E">
        <w:rPr>
          <w:rFonts w:eastAsia="Times New Roman"/>
          <w:i/>
          <w:color w:val="0D0D0D"/>
          <w:lang w:eastAsia="en-US"/>
        </w:rPr>
        <w:t>p=</w:t>
      </w:r>
      <w:r w:rsidRPr="006B72EF">
        <w:rPr>
          <w:rFonts w:eastAsia="Times New Roman"/>
          <w:color w:val="0D0D0D"/>
          <w:lang w:eastAsia="en-US"/>
        </w:rPr>
        <w:t xml:space="preserve"> 0.17) (Table </w:t>
      </w:r>
      <w:r w:rsidR="00A25D26">
        <w:rPr>
          <w:rFonts w:eastAsia="Times New Roman"/>
          <w:color w:val="0D0D0D"/>
          <w:lang w:eastAsia="en-US"/>
        </w:rPr>
        <w:t>3-</w:t>
      </w:r>
      <w:r w:rsidR="001D011B">
        <w:rPr>
          <w:rFonts w:eastAsia="Times New Roman"/>
          <w:color w:val="0D0D0D"/>
          <w:lang w:eastAsia="en-US"/>
        </w:rPr>
        <w:t>33</w:t>
      </w:r>
      <w:r w:rsidRPr="006B72EF">
        <w:rPr>
          <w:rFonts w:eastAsia="Times New Roman"/>
          <w:color w:val="0D0D0D"/>
          <w:lang w:eastAsia="en-US"/>
        </w:rPr>
        <w:t xml:space="preserve">). </w:t>
      </w:r>
    </w:p>
    <w:p w:rsidR="008E15EA" w:rsidRPr="006B72EF" w:rsidRDefault="008E15EA" w:rsidP="00057B42">
      <w:pPr>
        <w:spacing w:after="240" w:line="360" w:lineRule="auto"/>
        <w:jc w:val="both"/>
        <w:rPr>
          <w:rFonts w:eastAsia="Times New Roman"/>
          <w:color w:val="0D0D0D"/>
          <w:lang w:eastAsia="en-US"/>
        </w:rPr>
      </w:pPr>
    </w:p>
    <w:p w:rsidR="006B72EF" w:rsidRPr="006B72EF" w:rsidRDefault="005701DA" w:rsidP="00057B42">
      <w:pPr>
        <w:spacing w:after="240" w:line="360" w:lineRule="auto"/>
        <w:jc w:val="center"/>
        <w:rPr>
          <w:rFonts w:eastAsia="Times New Roman"/>
          <w:color w:val="0D0D0D"/>
          <w:lang w:eastAsia="en-US"/>
        </w:rPr>
      </w:pPr>
      <w:r w:rsidRPr="005701DA">
        <w:rPr>
          <w:noProof/>
          <w:lang w:eastAsia="en-IE"/>
        </w:rPr>
        <w:lastRenderedPageBreak/>
        <w:drawing>
          <wp:inline distT="0" distB="0" distL="0" distR="0" wp14:anchorId="539DE0D2" wp14:editId="6AC6AD68">
            <wp:extent cx="2285714" cy="3809524"/>
            <wp:effectExtent l="0" t="0" r="635" b="635"/>
            <wp:docPr id="290847" name="Picture 29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285714" cy="3809524"/>
                    </a:xfrm>
                    <a:prstGeom prst="rect">
                      <a:avLst/>
                    </a:prstGeom>
                  </pic:spPr>
                </pic:pic>
              </a:graphicData>
            </a:graphic>
          </wp:inline>
        </w:drawing>
      </w: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31</w:t>
      </w:r>
      <w:r w:rsidR="00B55EFC">
        <w:rPr>
          <w:rFonts w:eastAsia="Times New Roman"/>
          <w:b/>
          <w:color w:val="0D0D0D"/>
          <w:lang w:eastAsia="en-US"/>
        </w:rPr>
        <w:fldChar w:fldCharType="end"/>
      </w:r>
      <w:r w:rsidRPr="006B72EF">
        <w:rPr>
          <w:rFonts w:eastAsia="Times New Roman"/>
          <w:b/>
          <w:color w:val="0D0D0D"/>
          <w:lang w:eastAsia="en-US"/>
        </w:rPr>
        <w:t xml:space="preserve"> shows </w:t>
      </w:r>
      <w:r w:rsidR="005701DA" w:rsidRPr="006B72EF">
        <w:rPr>
          <w:rFonts w:eastAsia="Times New Roman"/>
          <w:b/>
          <w:color w:val="0D0D0D"/>
          <w:lang w:eastAsia="en-US"/>
        </w:rPr>
        <w:t>patients suffering with the various grades of peripheral neuropathies</w:t>
      </w:r>
      <w:r w:rsidR="005701DA">
        <w:rPr>
          <w:rFonts w:eastAsia="Times New Roman"/>
          <w:b/>
          <w:color w:val="0D0D0D"/>
          <w:lang w:eastAsia="en-US"/>
        </w:rPr>
        <w:t xml:space="preserve"> did not correlate with the serum concentration at the time of neuropathy.</w:t>
      </w:r>
      <w:r w:rsidR="005701DA" w:rsidRPr="006B72EF">
        <w:rPr>
          <w:rFonts w:eastAsia="Times New Roman"/>
          <w:b/>
          <w:color w:val="0D0D0D"/>
          <w:lang w:eastAsia="en-US"/>
        </w:rPr>
        <w:t xml:space="preserve"> </w:t>
      </w:r>
      <w:r w:rsidRPr="006B72EF">
        <w:rPr>
          <w:rFonts w:eastAsia="Times New Roman"/>
          <w:b/>
          <w:color w:val="0D0D0D"/>
          <w:lang w:eastAsia="en-US"/>
        </w:rPr>
        <w:t xml:space="preserve">Abbreviations; NCI: national Cancer Institute. </w:t>
      </w:r>
    </w:p>
    <w:p w:rsidR="001D011B" w:rsidRDefault="001D011B" w:rsidP="00057B42">
      <w:pPr>
        <w:pBdr>
          <w:bottom w:val="single" w:sz="12" w:space="1" w:color="auto"/>
        </w:pBd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 </w:t>
      </w:r>
    </w:p>
    <w:p w:rsidR="006B72EF" w:rsidRDefault="001D011B" w:rsidP="00645687">
      <w:pPr>
        <w:pStyle w:val="Heading4"/>
      </w:pPr>
      <w:bookmarkStart w:id="1587" w:name="_Toc279658507"/>
      <w:r>
        <w:tab/>
      </w:r>
      <w:bookmarkStart w:id="1588" w:name="_Toc306570735"/>
      <w:bookmarkStart w:id="1589" w:name="_Toc307067796"/>
      <w:bookmarkStart w:id="1590" w:name="_Toc312169366"/>
      <w:bookmarkStart w:id="1591" w:name="_Toc312172293"/>
      <w:bookmarkStart w:id="1592" w:name="_Toc312257842"/>
      <w:r w:rsidR="006B72EF" w:rsidRPr="006B72EF">
        <w:t>Serum thalidomide level and other side effects</w:t>
      </w:r>
      <w:bookmarkEnd w:id="1587"/>
      <w:bookmarkEnd w:id="1588"/>
      <w:bookmarkEnd w:id="1589"/>
      <w:bookmarkEnd w:id="1590"/>
      <w:bookmarkEnd w:id="1591"/>
      <w:bookmarkEnd w:id="1592"/>
    </w:p>
    <w:p w:rsidR="006B72EF" w:rsidRPr="006B72EF" w:rsidRDefault="006B72EF" w:rsidP="00C643F0">
      <w:pPr>
        <w:spacing w:before="240" w:after="240" w:line="360" w:lineRule="auto"/>
        <w:jc w:val="both"/>
        <w:rPr>
          <w:rFonts w:eastAsia="Times New Roman"/>
          <w:color w:val="0D0D0D"/>
          <w:lang w:eastAsia="en-US"/>
        </w:rPr>
      </w:pPr>
      <w:r w:rsidRPr="006B72EF">
        <w:rPr>
          <w:rFonts w:eastAsia="Times New Roman"/>
          <w:color w:val="0D0D0D"/>
          <w:lang w:eastAsia="en-US"/>
        </w:rPr>
        <w:t xml:space="preserve">One patient (sample 377) had grade III gastro intestinal related side effects e.g. severe constipation and abdominal cramps requiring thalidomide dose reduction.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One patient (sample 430) developed confusion and TIA (Transient Ischemic Attack or mini stroke), requiring temporary stoppage of thalidomide. Eventually thalidomide was recommenced at a reduced dosage. </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One patient (sample 429) developed mild skin rash with itchiness, which responded to antihistamine and topical emollients. Thalidomide dosage was not changed. </w:t>
      </w:r>
    </w:p>
    <w:p w:rsidR="006B72EF" w:rsidRDefault="001D011B" w:rsidP="00645687">
      <w:pPr>
        <w:pStyle w:val="Heading4"/>
      </w:pPr>
      <w:bookmarkStart w:id="1593" w:name="_Toc279658508"/>
      <w:r>
        <w:lastRenderedPageBreak/>
        <w:tab/>
      </w:r>
      <w:bookmarkStart w:id="1594" w:name="_Toc306570736"/>
      <w:bookmarkStart w:id="1595" w:name="_Toc307067797"/>
      <w:bookmarkStart w:id="1596" w:name="_Toc312169367"/>
      <w:bookmarkStart w:id="1597" w:name="_Toc312172294"/>
      <w:bookmarkStart w:id="1598" w:name="_Toc312257843"/>
      <w:r w:rsidR="006B72EF" w:rsidRPr="006B72EF">
        <w:t>Serum thalidomide level and clinical response</w:t>
      </w:r>
      <w:bookmarkEnd w:id="1593"/>
      <w:bookmarkEnd w:id="1594"/>
      <w:bookmarkEnd w:id="1595"/>
      <w:bookmarkEnd w:id="1596"/>
      <w:bookmarkEnd w:id="1597"/>
      <w:bookmarkEnd w:id="1598"/>
    </w:p>
    <w:p w:rsidR="006B72EF" w:rsidRPr="006B72EF" w:rsidRDefault="006B72EF" w:rsidP="00C643F0">
      <w:pPr>
        <w:spacing w:before="240" w:after="240" w:line="360" w:lineRule="auto"/>
        <w:jc w:val="both"/>
        <w:rPr>
          <w:rFonts w:eastAsia="Times New Roman"/>
          <w:color w:val="0D0D0D"/>
          <w:lang w:eastAsia="en-US"/>
        </w:rPr>
      </w:pPr>
      <w:r w:rsidRPr="006B72EF">
        <w:rPr>
          <w:rFonts w:eastAsia="Times New Roman"/>
          <w:color w:val="0D0D0D"/>
          <w:lang w:eastAsia="en-US"/>
        </w:rPr>
        <w:t xml:space="preserve">Using the International Myeloma Working Group response </w:t>
      </w:r>
      <w:r w:rsidR="00C70E8F">
        <w:rPr>
          <w:rFonts w:eastAsia="Times New Roman"/>
          <w:color w:val="0D0D0D"/>
          <w:lang w:eastAsia="en-US"/>
        </w:rPr>
        <w:t xml:space="preserve">criteria </w:t>
      </w:r>
      <w:r w:rsidRPr="006B72EF">
        <w:rPr>
          <w:rFonts w:eastAsia="Times New Roman"/>
          <w:color w:val="0D0D0D"/>
          <w:lang w:eastAsia="en-US"/>
        </w:rPr>
        <w:t>to thalidomide was assessed. 8 patients involved in this study were classified as follow:</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2 patients were non-responders to thalidomide. Of these 1 patient was non-compliant with thalidomide (sample no 260) and 3 patients had a partial response.</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Sample number 390, 425, 443, are from a patient taking a dosage of 200 mg/day. However, sample number 425 showed a very low serum thalidomide level of 25 as compared to &gt; 1000 for the samples no. 390 and 443. It is possible that this patient may not have been compliant with medication at the time of sampling (Table </w:t>
      </w:r>
      <w:r w:rsidR="00D7041F">
        <w:rPr>
          <w:rFonts w:eastAsia="Times New Roman"/>
          <w:color w:val="0D0D0D"/>
          <w:lang w:eastAsia="en-US"/>
        </w:rPr>
        <w:t>3-33</w:t>
      </w:r>
      <w:r w:rsidRPr="006B72EF">
        <w:rPr>
          <w:rFonts w:eastAsia="Times New Roman"/>
          <w:color w:val="0D0D0D"/>
          <w:lang w:eastAsia="en-US"/>
        </w:rPr>
        <w:t xml:space="preserve">). </w:t>
      </w:r>
      <w:r w:rsidR="00C70E8F">
        <w:rPr>
          <w:rFonts w:eastAsia="Times New Roman"/>
          <w:color w:val="0D0D0D"/>
          <w:lang w:eastAsia="en-US"/>
        </w:rPr>
        <w:t xml:space="preserve">This </w:t>
      </w:r>
      <w:r w:rsidRPr="006B72EF">
        <w:rPr>
          <w:rFonts w:eastAsia="Times New Roman"/>
          <w:color w:val="0D0D0D"/>
          <w:lang w:eastAsia="en-US"/>
        </w:rPr>
        <w:t xml:space="preserve">study also demonstrated that </w:t>
      </w:r>
      <w:r w:rsidR="005353E8">
        <w:rPr>
          <w:rFonts w:eastAsia="Times New Roman"/>
          <w:color w:val="0D0D0D"/>
          <w:lang w:eastAsia="en-US"/>
        </w:rPr>
        <w:t>response to thalidomide did not correlate with a single measurement of the circulating drug level at time of assessment.</w:t>
      </w:r>
    </w:p>
    <w:p w:rsidR="006B72EF" w:rsidRPr="006B72EF" w:rsidRDefault="00F97C19" w:rsidP="00057B42">
      <w:pPr>
        <w:spacing w:after="240" w:line="360" w:lineRule="auto"/>
        <w:jc w:val="center"/>
        <w:rPr>
          <w:rFonts w:eastAsia="Times New Roman"/>
          <w:color w:val="0D0D0D"/>
          <w:lang w:eastAsia="en-US"/>
        </w:rPr>
      </w:pPr>
      <w:r w:rsidRPr="00F97C19">
        <w:rPr>
          <w:noProof/>
          <w:lang w:eastAsia="en-IE"/>
        </w:rPr>
        <w:drawing>
          <wp:inline distT="0" distB="0" distL="0" distR="0" wp14:anchorId="55327C7F" wp14:editId="0CDEFF70">
            <wp:extent cx="2800000" cy="3609524"/>
            <wp:effectExtent l="19050" t="19050" r="19685" b="10160"/>
            <wp:docPr id="290832" name="Picture 29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800000" cy="3609524"/>
                    </a:xfrm>
                    <a:prstGeom prst="rect">
                      <a:avLst/>
                    </a:prstGeom>
                    <a:ln w="3175">
                      <a:solidFill>
                        <a:schemeClr val="tx1"/>
                      </a:solidFill>
                    </a:ln>
                  </pic:spPr>
                </pic:pic>
              </a:graphicData>
            </a:graphic>
          </wp:inline>
        </w:drawing>
      </w:r>
    </w:p>
    <w:p w:rsidR="006B72EF" w:rsidRDefault="006B72EF" w:rsidP="002676E3">
      <w:pPr>
        <w:spacing w:after="240" w:line="360" w:lineRule="auto"/>
        <w:jc w:val="both"/>
        <w:rPr>
          <w:rFonts w:eastAsia="Times New Roman"/>
          <w:b/>
          <w:color w:val="0D0D0D"/>
          <w:lang w:eastAsia="en-US"/>
        </w:rPr>
      </w:pPr>
      <w:r w:rsidRPr="006B72EF">
        <w:rPr>
          <w:rFonts w:eastAsia="Times New Roman"/>
          <w:b/>
          <w:color w:val="0D0D0D"/>
          <w:lang w:eastAsia="en-US"/>
        </w:rPr>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32</w:t>
      </w:r>
      <w:r w:rsidR="00B55EFC">
        <w:rPr>
          <w:rFonts w:eastAsia="Times New Roman"/>
          <w:b/>
          <w:color w:val="0D0D0D"/>
          <w:lang w:eastAsia="en-US"/>
        </w:rPr>
        <w:fldChar w:fldCharType="end"/>
      </w:r>
      <w:r w:rsidRPr="006B72EF">
        <w:rPr>
          <w:rFonts w:eastAsia="Times New Roman"/>
          <w:b/>
          <w:color w:val="0D0D0D"/>
          <w:lang w:eastAsia="en-US"/>
        </w:rPr>
        <w:t xml:space="preserve"> displays </w:t>
      </w:r>
      <w:r w:rsidR="005353E8" w:rsidRPr="005353E8">
        <w:rPr>
          <w:rFonts w:eastAsia="Times New Roman"/>
          <w:b/>
          <w:color w:val="0D0D0D"/>
          <w:lang w:eastAsia="en-US"/>
        </w:rPr>
        <w:t>demonstrated that response to thalidomide did not correlate with a single measurement of the circulating drug level at time of assessment.</w:t>
      </w:r>
      <w:r w:rsidR="005353E8">
        <w:rPr>
          <w:rFonts w:eastAsia="Times New Roman"/>
          <w:b/>
          <w:color w:val="0D0D0D"/>
          <w:lang w:eastAsia="en-US"/>
        </w:rPr>
        <w:t xml:space="preserve"> </w:t>
      </w:r>
      <w:r w:rsidRPr="006B72EF">
        <w:rPr>
          <w:rFonts w:eastAsia="Times New Roman"/>
          <w:b/>
          <w:color w:val="0D0D0D"/>
          <w:lang w:eastAsia="en-US"/>
        </w:rPr>
        <w:t>Abbreviations; IMWG: International Myeloma Working Group, PR: partial response, VGPR: very good partial response.</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645687">
      <w:pPr>
        <w:pStyle w:val="Heading3"/>
      </w:pPr>
      <w:r w:rsidRPr="006B72EF">
        <w:lastRenderedPageBreak/>
        <w:tab/>
      </w:r>
      <w:bookmarkStart w:id="1599" w:name="_Toc279658509"/>
      <w:bookmarkStart w:id="1600" w:name="_Toc306570737"/>
      <w:bookmarkStart w:id="1601" w:name="_Toc307067798"/>
      <w:bookmarkStart w:id="1602" w:name="_Toc312169368"/>
      <w:bookmarkStart w:id="1603" w:name="_Toc312172295"/>
      <w:bookmarkStart w:id="1604" w:name="_Toc312257844"/>
      <w:r w:rsidRPr="006B72EF">
        <w:t>Conclusion</w:t>
      </w:r>
      <w:bookmarkEnd w:id="1599"/>
      <w:bookmarkEnd w:id="1600"/>
      <w:bookmarkEnd w:id="1601"/>
      <w:bookmarkEnd w:id="1602"/>
      <w:bookmarkEnd w:id="1603"/>
      <w:bookmarkEnd w:id="1604"/>
    </w:p>
    <w:p w:rsidR="002E01F8"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 xml:space="preserve">This study demonstrates that </w:t>
      </w:r>
      <w:r w:rsidR="005353E8" w:rsidRPr="005353E8">
        <w:rPr>
          <w:rFonts w:eastAsia="Times New Roman"/>
          <w:color w:val="0D0D0D"/>
          <w:lang w:eastAsia="en-US"/>
        </w:rPr>
        <w:t>single estimates largely did not corr</w:t>
      </w:r>
      <w:r w:rsidR="005353E8">
        <w:rPr>
          <w:rFonts w:eastAsia="Times New Roman"/>
          <w:color w:val="0D0D0D"/>
          <w:lang w:eastAsia="en-US"/>
        </w:rPr>
        <w:t xml:space="preserve">elate with toxicity or efficacy. However, there </w:t>
      </w:r>
      <w:r w:rsidR="005353E8" w:rsidRPr="005353E8">
        <w:rPr>
          <w:rFonts w:eastAsia="Times New Roman"/>
          <w:color w:val="0D0D0D"/>
          <w:lang w:eastAsia="en-US"/>
        </w:rPr>
        <w:t>were no estimates of cumulative drug exposure and no normalisation for factors likely to be important such as weight and body surface area</w:t>
      </w:r>
      <w:r w:rsidR="005353E8">
        <w:rPr>
          <w:rFonts w:eastAsia="Times New Roman"/>
          <w:color w:val="0D0D0D"/>
          <w:lang w:eastAsia="en-US"/>
        </w:rPr>
        <w:t>. In addition</w:t>
      </w:r>
      <w:r w:rsidRPr="006B72EF">
        <w:rPr>
          <w:rFonts w:eastAsia="Times New Roman"/>
          <w:color w:val="0D0D0D"/>
          <w:lang w:eastAsia="en-US"/>
        </w:rPr>
        <w:t xml:space="preserve"> if patients are not responsive to thalidomide, the possibility of non-compliance should be explored. </w:t>
      </w:r>
      <w:r w:rsidR="00EA69A5" w:rsidRPr="00EA69A5">
        <w:rPr>
          <w:rFonts w:eastAsia="Times New Roman"/>
          <w:color w:val="0D0D0D"/>
          <w:lang w:eastAsia="en-US"/>
        </w:rPr>
        <w:t xml:space="preserve">Since patient compliance appears to </w:t>
      </w:r>
      <w:r w:rsidR="00EA69A5">
        <w:rPr>
          <w:rFonts w:eastAsia="Times New Roman"/>
          <w:color w:val="0D0D0D"/>
          <w:lang w:eastAsia="en-US"/>
        </w:rPr>
        <w:t>well documented</w:t>
      </w:r>
      <w:r w:rsidR="00EA69A5" w:rsidRPr="00EA69A5">
        <w:rPr>
          <w:rFonts w:eastAsia="Times New Roman"/>
          <w:color w:val="0D0D0D"/>
          <w:lang w:eastAsia="en-US"/>
        </w:rPr>
        <w:t xml:space="preserve"> important contributor to poor </w:t>
      </w:r>
      <w:r w:rsidR="00EA69A5">
        <w:rPr>
          <w:rFonts w:eastAsia="Times New Roman"/>
          <w:color w:val="0D0D0D"/>
          <w:lang w:eastAsia="en-US"/>
        </w:rPr>
        <w:t>response</w:t>
      </w:r>
      <w:r w:rsidR="00EA69A5" w:rsidRPr="00EA69A5">
        <w:rPr>
          <w:rFonts w:eastAsia="Times New Roman"/>
          <w:color w:val="0D0D0D"/>
          <w:lang w:eastAsia="en-US"/>
        </w:rPr>
        <w:t xml:space="preserve"> rates</w:t>
      </w:r>
      <w:r w:rsidR="004A784D">
        <w:rPr>
          <w:rFonts w:eastAsia="Times New Roman"/>
          <w:color w:val="0D0D0D"/>
          <w:lang w:eastAsia="en-US"/>
        </w:rPr>
        <w:t xml:space="preserve"> </w:t>
      </w:r>
      <w:r w:rsidR="004A784D">
        <w:rPr>
          <w:rFonts w:eastAsia="Times New Roman"/>
          <w:color w:val="0D0D0D"/>
          <w:lang w:eastAsia="en-US"/>
        </w:rPr>
        <w:fldChar w:fldCharType="begin"/>
      </w:r>
      <w:r w:rsidR="004A784D">
        <w:rPr>
          <w:rFonts w:eastAsia="Times New Roman"/>
          <w:color w:val="0D0D0D"/>
          <w:lang w:eastAsia="en-US"/>
        </w:rPr>
        <w:instrText xml:space="preserve"> ADDIN EN.CITE &lt;EndNote&gt;&lt;Cite&gt;&lt;Author&gt;Lindfors&lt;/Author&gt;&lt;Year&gt;2011&lt;/Year&gt;&lt;RecNum&gt;2&lt;/RecNum&gt;&lt;DisplayText&gt;(Lindfors et al., 2011)&lt;/DisplayText&gt;&lt;record&gt;&lt;rec-number&gt;2&lt;/rec-number&gt;&lt;foreign-keys&gt;&lt;key app="EN" db-id="xe0tdfapvdt2f0ed2w9p9s9xswtee90fdvd5"&gt;2&lt;/key&gt;&lt;/foreign-keys&gt;&lt;ref-type name="Journal Article"&gt;17&lt;/ref-type&gt;&lt;contributors&gt;&lt;authors&gt;&lt;author&gt;Lindfors, E.&lt;/author&gt;&lt;author&gt;Helkimo, M.&lt;/author&gt;&lt;author&gt;Magnusson, T.&lt;/author&gt;&lt;/authors&gt;&lt;/contributors&gt;&lt;auth-address&gt;Department of Stomatognathic Physiology, Public Dental Health Services, Uppsala, Sweden. erik.lindfors@lul.se&lt;/auth-address&gt;&lt;titles&gt;&lt;title&gt;Patients&amp;apos; adherence to hard acrylic interocclusal appliance treatment in general dental practice in Sweden&lt;/title&gt;&lt;secondary-title&gt;Swed Dent J&lt;/secondary-title&gt;&lt;/titles&gt;&lt;periodical&gt;&lt;full-title&gt;Swed Dent J&lt;/full-title&gt;&lt;/periodical&gt;&lt;pages&gt;133-42&lt;/pages&gt;&lt;volume&gt;35&lt;/volume&gt;&lt;number&gt;3&lt;/number&gt;&lt;edition&gt;2011/12/06&lt;/edition&gt;&lt;keywords&gt;&lt;keyword&gt;Acrylic Resins&lt;/keyword&gt;&lt;keyword&gt;Adult&lt;/keyword&gt;&lt;keyword&gt;Bruxism/therapy&lt;/keyword&gt;&lt;keyword&gt;General Practice, Dental&lt;/keyword&gt;&lt;keyword&gt;Humans&lt;/keyword&gt;&lt;keyword&gt;*Occlusal Splints/adverse effects&lt;/keyword&gt;&lt;keyword&gt;*Orthodontic Appliance Design&lt;/keyword&gt;&lt;keyword&gt;*Patient Compliance&lt;/keyword&gt;&lt;keyword&gt;Questionnaires&lt;/keyword&gt;&lt;keyword&gt;Specialties, Dental&lt;/keyword&gt;&lt;keyword&gt;Temporomandibular Joint Disorders/*therapy&lt;/keyword&gt;&lt;keyword&gt;Treatment Outcome&lt;/keyword&gt;&lt;/keywords&gt;&lt;dates&gt;&lt;year&gt;2011&lt;/year&gt;&lt;/dates&gt;&lt;isbn&gt;0347-9994 (Print)&amp;#xD;0347-9994 (Linking)&lt;/isbn&gt;&lt;accession-num&gt;22135944&lt;/accession-num&gt;&lt;urls&gt;&lt;related-urls&gt;&lt;url&gt;http://www.ncbi.nlm.nih.gov/pubmed/22135944&lt;/url&gt;&lt;/related-urls&gt;&lt;/urls&gt;&lt;language&gt;eng&lt;/language&gt;&lt;/record&gt;&lt;/Cite&gt;&lt;/EndNote&gt;</w:instrText>
      </w:r>
      <w:r w:rsidR="004A784D">
        <w:rPr>
          <w:rFonts w:eastAsia="Times New Roman"/>
          <w:color w:val="0D0D0D"/>
          <w:lang w:eastAsia="en-US"/>
        </w:rPr>
        <w:fldChar w:fldCharType="separate"/>
      </w:r>
      <w:r w:rsidR="004A784D">
        <w:rPr>
          <w:rFonts w:eastAsia="Times New Roman"/>
          <w:noProof/>
          <w:color w:val="0D0D0D"/>
          <w:lang w:eastAsia="en-US"/>
        </w:rPr>
        <w:t>(</w:t>
      </w:r>
      <w:hyperlink w:anchor="_ENREF_248" w:tooltip="Lindfors, 2011 #2" w:history="1">
        <w:r w:rsidR="004A784D">
          <w:rPr>
            <w:rFonts w:eastAsia="Times New Roman"/>
            <w:noProof/>
            <w:color w:val="0D0D0D"/>
            <w:lang w:eastAsia="en-US"/>
          </w:rPr>
          <w:t>Lindfors et al., 2011</w:t>
        </w:r>
      </w:hyperlink>
      <w:r w:rsidR="004A784D">
        <w:rPr>
          <w:rFonts w:eastAsia="Times New Roman"/>
          <w:noProof/>
          <w:color w:val="0D0D0D"/>
          <w:lang w:eastAsia="en-US"/>
        </w:rPr>
        <w:t>)</w:t>
      </w:r>
      <w:r w:rsidR="004A784D">
        <w:rPr>
          <w:rFonts w:eastAsia="Times New Roman"/>
          <w:color w:val="0D0D0D"/>
          <w:lang w:eastAsia="en-US"/>
        </w:rPr>
        <w:fldChar w:fldCharType="end"/>
      </w:r>
      <w:r w:rsidR="00EA69A5" w:rsidRPr="00EA69A5">
        <w:rPr>
          <w:rFonts w:eastAsia="Times New Roman"/>
          <w:color w:val="0D0D0D"/>
          <w:lang w:eastAsia="en-US"/>
        </w:rPr>
        <w:t xml:space="preserve"> (in addition to poor physician adherence to goal levels), it is an area</w:t>
      </w:r>
      <w:r w:rsidR="00EA69A5">
        <w:rPr>
          <w:rFonts w:eastAsia="Times New Roman"/>
          <w:color w:val="0D0D0D"/>
          <w:lang w:eastAsia="en-US"/>
        </w:rPr>
        <w:t xml:space="preserve"> that requires more attention</w:t>
      </w:r>
      <w:r w:rsidR="004A784D">
        <w:rPr>
          <w:rFonts w:eastAsia="Times New Roman"/>
          <w:color w:val="0D0D0D"/>
          <w:lang w:eastAsia="en-US"/>
        </w:rPr>
        <w:t xml:space="preserve"> </w:t>
      </w:r>
      <w:r w:rsidR="00EA69A5">
        <w:rPr>
          <w:rFonts w:eastAsia="Times New Roman"/>
          <w:color w:val="0D0D0D"/>
          <w:lang w:eastAsia="en-US"/>
        </w:rPr>
        <w:t xml:space="preserve">. </w:t>
      </w:r>
      <w:r w:rsidRPr="006B72EF">
        <w:rPr>
          <w:rFonts w:eastAsia="Times New Roman"/>
          <w:color w:val="0D0D0D"/>
          <w:lang w:eastAsia="en-US"/>
        </w:rPr>
        <w:t xml:space="preserve"> </w:t>
      </w:r>
    </w:p>
    <w:p w:rsidR="002E01F8" w:rsidRDefault="002E01F8" w:rsidP="00057B42">
      <w:pPr>
        <w:spacing w:line="360" w:lineRule="auto"/>
        <w:rPr>
          <w:rFonts w:eastAsia="Times New Roman"/>
          <w:color w:val="0D0D0D"/>
          <w:lang w:eastAsia="en-US"/>
        </w:rPr>
      </w:pPr>
      <w:r>
        <w:rPr>
          <w:rFonts w:eastAsia="Times New Roman"/>
          <w:color w:val="0D0D0D"/>
          <w:lang w:eastAsia="en-US"/>
        </w:rPr>
        <w:br w:type="page"/>
      </w:r>
    </w:p>
    <w:p w:rsidR="005D211C" w:rsidRDefault="005D211C" w:rsidP="00057B42">
      <w:pPr>
        <w:spacing w:after="240" w:line="360" w:lineRule="auto"/>
        <w:jc w:val="both"/>
        <w:rPr>
          <w:rFonts w:eastAsia="Times New Roman"/>
          <w:color w:val="0D0D0D"/>
          <w:lang w:eastAsia="en-US"/>
        </w:rPr>
      </w:pPr>
      <w:r w:rsidRPr="00B10DC3">
        <w:rPr>
          <w:noProof/>
          <w:bdr w:val="single" w:sz="4" w:space="0" w:color="auto"/>
          <w:lang w:eastAsia="en-IE"/>
        </w:rPr>
        <w:lastRenderedPageBreak/>
        <w:drawing>
          <wp:inline distT="0" distB="0" distL="0" distR="0" wp14:anchorId="0783216C" wp14:editId="4CA5D3DF">
            <wp:extent cx="8042884" cy="3541408"/>
            <wp:effectExtent l="254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7"/>
                    <a:srcRect b="62274"/>
                    <a:stretch/>
                  </pic:blipFill>
                  <pic:spPr bwMode="auto">
                    <a:xfrm rot="16200000">
                      <a:off x="0" y="0"/>
                      <a:ext cx="8067804" cy="3552381"/>
                    </a:xfrm>
                    <a:prstGeom prst="rect">
                      <a:avLst/>
                    </a:prstGeom>
                    <a:ln>
                      <a:noFill/>
                    </a:ln>
                    <a:extLst>
                      <a:ext uri="{53640926-AAD7-44D8-BBD7-CCE9431645EC}">
                        <a14:shadowObscured xmlns:a14="http://schemas.microsoft.com/office/drawing/2010/main"/>
                      </a:ext>
                    </a:extLst>
                  </pic:spPr>
                </pic:pic>
              </a:graphicData>
            </a:graphic>
          </wp:inline>
        </w:drawing>
      </w:r>
    </w:p>
    <w:p w:rsidR="005D211C" w:rsidRDefault="005D211C">
      <w:pPr>
        <w:rPr>
          <w:rFonts w:eastAsia="Times New Roman"/>
          <w:color w:val="0D0D0D"/>
          <w:lang w:eastAsia="en-US"/>
        </w:rPr>
      </w:pPr>
      <w:r>
        <w:rPr>
          <w:rFonts w:eastAsia="Times New Roman"/>
          <w:color w:val="0D0D0D"/>
          <w:lang w:eastAsia="en-US"/>
        </w:rPr>
        <w:br w:type="page"/>
      </w:r>
    </w:p>
    <w:p w:rsidR="006B72EF" w:rsidRPr="006B72EF" w:rsidRDefault="006B72EF" w:rsidP="00057B42">
      <w:pPr>
        <w:spacing w:after="240" w:line="360" w:lineRule="auto"/>
        <w:jc w:val="both"/>
        <w:rPr>
          <w:rFonts w:eastAsia="Times New Roman"/>
          <w:color w:val="0D0D0D"/>
          <w:lang w:eastAsia="en-US"/>
        </w:rPr>
      </w:pPr>
    </w:p>
    <w:p w:rsidR="00AF0C6E" w:rsidRDefault="005D211C" w:rsidP="00057B42">
      <w:pPr>
        <w:spacing w:line="360" w:lineRule="auto"/>
        <w:rPr>
          <w:rFonts w:eastAsia="Times New Roman"/>
          <w:color w:val="0D0D0D"/>
          <w:lang w:eastAsia="en-US"/>
        </w:rPr>
      </w:pPr>
      <w:r w:rsidRPr="00B10DC3">
        <w:rPr>
          <w:noProof/>
          <w:bdr w:val="single" w:sz="4" w:space="0" w:color="auto"/>
          <w:lang w:eastAsia="en-IE"/>
        </w:rPr>
        <w:drawing>
          <wp:inline distT="0" distB="0" distL="0" distR="0" wp14:anchorId="10BDEF3A" wp14:editId="618F360C">
            <wp:extent cx="7810500" cy="3655888"/>
            <wp:effectExtent l="952" t="0" r="953" b="952"/>
            <wp:docPr id="71" name="Picture 7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7812000" cy="3656590"/>
                    </a:xfrm>
                    <a:prstGeom prst="rect">
                      <a:avLst/>
                    </a:prstGeom>
                    <a:noFill/>
                    <a:ln>
                      <a:noFill/>
                    </a:ln>
                  </pic:spPr>
                </pic:pic>
              </a:graphicData>
            </a:graphic>
          </wp:inline>
        </w:drawing>
      </w:r>
    </w:p>
    <w:p w:rsidR="006B72EF" w:rsidRPr="006B72EF" w:rsidRDefault="006B72EF" w:rsidP="00057B42">
      <w:pPr>
        <w:spacing w:after="240" w:line="360" w:lineRule="auto"/>
        <w:jc w:val="both"/>
        <w:rPr>
          <w:rFonts w:eastAsia="Times New Roman"/>
          <w:color w:val="0D0D0D"/>
          <w:lang w:eastAsia="en-US"/>
        </w:rPr>
      </w:pPr>
    </w:p>
    <w:p w:rsidR="005D211C" w:rsidRDefault="005D211C">
      <w:pPr>
        <w:rPr>
          <w:rFonts w:eastAsia="Times New Roman"/>
          <w:b/>
          <w:color w:val="0D0D0D"/>
          <w:lang w:eastAsia="en-US"/>
        </w:rPr>
      </w:pPr>
    </w:p>
    <w:p w:rsidR="002E01F8" w:rsidRDefault="00B10DC3" w:rsidP="00057B42">
      <w:pPr>
        <w:spacing w:line="360" w:lineRule="auto"/>
        <w:rPr>
          <w:rFonts w:eastAsia="Times New Roman"/>
          <w:b/>
          <w:color w:val="0D0D0D"/>
          <w:lang w:eastAsia="en-US"/>
        </w:rPr>
      </w:pPr>
      <w:r w:rsidRPr="00B10DC3">
        <w:rPr>
          <w:noProof/>
          <w:bdr w:val="single" w:sz="4" w:space="0" w:color="auto"/>
          <w:lang w:eastAsia="en-IE"/>
        </w:rPr>
        <w:drawing>
          <wp:inline distT="0" distB="0" distL="0" distR="0" wp14:anchorId="4E194A1E" wp14:editId="3B3D3FFC">
            <wp:extent cx="7183590" cy="3342405"/>
            <wp:effectExtent l="0" t="3493" r="0" b="0"/>
            <wp:docPr id="25" name="Picture 2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16200000">
                      <a:off x="0" y="0"/>
                      <a:ext cx="7214125" cy="3356612"/>
                    </a:xfrm>
                    <a:prstGeom prst="rect">
                      <a:avLst/>
                    </a:prstGeom>
                    <a:noFill/>
                    <a:ln>
                      <a:noFill/>
                    </a:ln>
                  </pic:spPr>
                </pic:pic>
              </a:graphicData>
            </a:graphic>
          </wp:inline>
        </w:drawing>
      </w:r>
      <w:r w:rsidR="002E01F8">
        <w:rPr>
          <w:rFonts w:eastAsia="Times New Roman"/>
          <w:b/>
          <w:color w:val="0D0D0D"/>
          <w:lang w:eastAsia="en-US"/>
        </w:rPr>
        <w:br w:type="page"/>
      </w:r>
    </w:p>
    <w:p w:rsidR="006B72EF" w:rsidRDefault="006B72EF" w:rsidP="00057B42">
      <w:pPr>
        <w:spacing w:after="240" w:line="360" w:lineRule="auto"/>
        <w:jc w:val="both"/>
        <w:rPr>
          <w:rFonts w:eastAsia="Times New Roman"/>
          <w:b/>
          <w:color w:val="0D0D0D"/>
          <w:lang w:eastAsia="en-US"/>
        </w:rPr>
      </w:pPr>
      <w:r w:rsidRPr="006B72EF">
        <w:rPr>
          <w:rFonts w:eastAsia="Times New Roman"/>
          <w:b/>
          <w:color w:val="0D0D0D"/>
          <w:lang w:eastAsia="en-US"/>
        </w:rPr>
        <w:lastRenderedPageBreak/>
        <w:t xml:space="preserve">Table </w:t>
      </w:r>
      <w:r w:rsidR="00B55EFC">
        <w:rPr>
          <w:rFonts w:eastAsia="Times New Roman"/>
          <w:b/>
          <w:color w:val="0D0D0D"/>
          <w:lang w:eastAsia="en-US"/>
        </w:rPr>
        <w:fldChar w:fldCharType="begin"/>
      </w:r>
      <w:r w:rsidR="00B55EFC">
        <w:rPr>
          <w:rFonts w:eastAsia="Times New Roman"/>
          <w:b/>
          <w:color w:val="0D0D0D"/>
          <w:lang w:eastAsia="en-US"/>
        </w:rPr>
        <w:instrText xml:space="preserve"> STYLEREF 1 \s </w:instrText>
      </w:r>
      <w:r w:rsidR="00B55EFC">
        <w:rPr>
          <w:rFonts w:eastAsia="Times New Roman"/>
          <w:b/>
          <w:color w:val="0D0D0D"/>
          <w:lang w:eastAsia="en-US"/>
        </w:rPr>
        <w:fldChar w:fldCharType="separate"/>
      </w:r>
      <w:r w:rsidR="0081644B">
        <w:rPr>
          <w:rFonts w:eastAsia="Times New Roman"/>
          <w:b/>
          <w:noProof/>
          <w:color w:val="0D0D0D"/>
          <w:lang w:eastAsia="en-US"/>
        </w:rPr>
        <w:t>3</w:t>
      </w:r>
      <w:r w:rsidR="00B55EFC">
        <w:rPr>
          <w:rFonts w:eastAsia="Times New Roman"/>
          <w:b/>
          <w:color w:val="0D0D0D"/>
          <w:lang w:eastAsia="en-US"/>
        </w:rPr>
        <w:fldChar w:fldCharType="end"/>
      </w:r>
      <w:r w:rsidR="00B55EFC">
        <w:rPr>
          <w:rFonts w:eastAsia="Times New Roman"/>
          <w:b/>
          <w:color w:val="0D0D0D"/>
          <w:lang w:eastAsia="en-US"/>
        </w:rPr>
        <w:noBreakHyphen/>
      </w:r>
      <w:r w:rsidR="00B55EFC">
        <w:rPr>
          <w:rFonts w:eastAsia="Times New Roman"/>
          <w:b/>
          <w:color w:val="0D0D0D"/>
          <w:lang w:eastAsia="en-US"/>
        </w:rPr>
        <w:fldChar w:fldCharType="begin"/>
      </w:r>
      <w:r w:rsidR="00B55EFC">
        <w:rPr>
          <w:rFonts w:eastAsia="Times New Roman"/>
          <w:b/>
          <w:color w:val="0D0D0D"/>
          <w:lang w:eastAsia="en-US"/>
        </w:rPr>
        <w:instrText xml:space="preserve"> SEQ Table \* ARABIC \s 1 </w:instrText>
      </w:r>
      <w:r w:rsidR="00B55EFC">
        <w:rPr>
          <w:rFonts w:eastAsia="Times New Roman"/>
          <w:b/>
          <w:color w:val="0D0D0D"/>
          <w:lang w:eastAsia="en-US"/>
        </w:rPr>
        <w:fldChar w:fldCharType="separate"/>
      </w:r>
      <w:r w:rsidR="0081644B">
        <w:rPr>
          <w:rFonts w:eastAsia="Times New Roman"/>
          <w:b/>
          <w:noProof/>
          <w:color w:val="0D0D0D"/>
          <w:lang w:eastAsia="en-US"/>
        </w:rPr>
        <w:t>33</w:t>
      </w:r>
      <w:r w:rsidR="00B55EFC">
        <w:rPr>
          <w:rFonts w:eastAsia="Times New Roman"/>
          <w:b/>
          <w:color w:val="0D0D0D"/>
          <w:lang w:eastAsia="en-US"/>
        </w:rPr>
        <w:fldChar w:fldCharType="end"/>
      </w:r>
      <w:r w:rsidRPr="006B72EF">
        <w:rPr>
          <w:rFonts w:eastAsia="Times New Roman"/>
          <w:b/>
          <w:color w:val="0D0D0D"/>
          <w:lang w:eastAsia="en-US"/>
        </w:rPr>
        <w:t xml:space="preserve"> shows that five multiple myeloma patients included in this study had grade III, 12 patients had grade II. Two patients had grade I and two patients had grade 0, peripheral neuropathy. There was no correlation between the serum concentration of thalidomide with the clinical response and severity of peripheral neuropathy experienced by the multiple myeloma patients. In addition, there was no significant difference in the serum concentration of thalidomide between the patients with and without other severe adverse events such as skin rash and constipation. Abbreviations; CR: complete response; VGPR: very good partial response, SD: stable disease; PD Progressive disease, R: Responders to thalidomide; NR: Non-responders to thalidomide.</w:t>
      </w:r>
    </w:p>
    <w:p w:rsidR="00CE309F" w:rsidRDefault="00CE309F" w:rsidP="00057B42">
      <w:pPr>
        <w:pBdr>
          <w:bottom w:val="single" w:sz="12" w:space="1" w:color="auto"/>
        </w:pBdr>
        <w:spacing w:after="240" w:line="360" w:lineRule="auto"/>
        <w:jc w:val="both"/>
        <w:rPr>
          <w:rFonts w:eastAsia="Times New Roman"/>
          <w:b/>
          <w:color w:val="0D0D0D"/>
          <w:lang w:eastAsia="en-US"/>
        </w:rPr>
      </w:pPr>
    </w:p>
    <w:p w:rsidR="00CE309F" w:rsidRPr="006B72EF" w:rsidRDefault="00CE309F" w:rsidP="00057B42">
      <w:pPr>
        <w:spacing w:after="240" w:line="360" w:lineRule="auto"/>
        <w:jc w:val="both"/>
        <w:rPr>
          <w:rFonts w:eastAsia="Times New Roman"/>
          <w:b/>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Pr="006B72EF" w:rsidRDefault="006B72EF" w:rsidP="00057B42">
      <w:pPr>
        <w:spacing w:after="240" w:line="360" w:lineRule="auto"/>
        <w:jc w:val="both"/>
        <w:rPr>
          <w:rFonts w:eastAsia="Times New Roman"/>
          <w:color w:val="0D0D0D"/>
          <w:lang w:eastAsia="en-US"/>
        </w:rPr>
      </w:pPr>
    </w:p>
    <w:p w:rsidR="006B72EF" w:rsidRDefault="006B72EF" w:rsidP="00645687">
      <w:pPr>
        <w:pStyle w:val="Heading2"/>
      </w:pPr>
      <w:bookmarkStart w:id="1605" w:name="_Toc274586854"/>
      <w:bookmarkStart w:id="1606" w:name="_Toc274736214"/>
      <w:r w:rsidRPr="006B72EF">
        <w:br w:type="page"/>
      </w:r>
      <w:bookmarkStart w:id="1607" w:name="_Toc279658510"/>
      <w:bookmarkStart w:id="1608" w:name="_Toc306570738"/>
      <w:bookmarkStart w:id="1609" w:name="_Toc307067799"/>
      <w:bookmarkEnd w:id="1605"/>
      <w:bookmarkEnd w:id="1606"/>
      <w:r w:rsidR="00C643F0">
        <w:lastRenderedPageBreak/>
        <w:tab/>
      </w:r>
      <w:bookmarkStart w:id="1610" w:name="_Toc312169369"/>
      <w:bookmarkStart w:id="1611" w:name="_Toc312172296"/>
      <w:bookmarkStart w:id="1612" w:name="_Toc312257845"/>
      <w:r w:rsidRPr="006B72EF">
        <w:t>POEMS syndrome</w:t>
      </w:r>
      <w:bookmarkEnd w:id="1607"/>
      <w:bookmarkEnd w:id="1608"/>
      <w:bookmarkEnd w:id="1609"/>
      <w:bookmarkEnd w:id="1610"/>
      <w:bookmarkEnd w:id="1611"/>
      <w:bookmarkEnd w:id="1612"/>
    </w:p>
    <w:p w:rsidR="006B72EF" w:rsidRDefault="006B72EF" w:rsidP="00C643F0">
      <w:pPr>
        <w:spacing w:before="240" w:after="240" w:line="360" w:lineRule="auto"/>
        <w:jc w:val="both"/>
        <w:rPr>
          <w:rFonts w:eastAsia="Times New Roman"/>
          <w:color w:val="0D0D0D"/>
          <w:lang w:eastAsia="en-US"/>
        </w:rPr>
      </w:pPr>
      <w:r w:rsidRPr="006B72EF">
        <w:rPr>
          <w:rFonts w:eastAsia="Times New Roman"/>
          <w:color w:val="0D0D0D"/>
          <w:lang w:eastAsia="en-US"/>
        </w:rPr>
        <w:t>POEMS syndrome is rare multisystem disorder, first described in 1956 by Crow and then in 1968 by Fukase. POEMS syndrome is a variant form of MM, and is a rare, incompletely understood multisystem disease caused by an underlying plasma cell dyscrasia. Patients usually present around 40 to 50 years of age with the multisystem disorder such as polyneuropathy (P), organomegaly (O), endocrinopathy (E) monoclonal gammapathy (M), and skin changes(S), which may take several years to evolve fully. The Cause for this disease is unknown; however, it may due to overproduction of the pro</w:t>
      </w:r>
      <w:r w:rsidR="00613A81">
        <w:rPr>
          <w:rFonts w:eastAsia="Times New Roman"/>
          <w:color w:val="0D0D0D"/>
          <w:lang w:eastAsia="en-US"/>
        </w:rPr>
        <w:t xml:space="preserve"> </w:t>
      </w:r>
      <w:r w:rsidRPr="006B72EF">
        <w:rPr>
          <w:rFonts w:eastAsia="Times New Roman"/>
          <w:color w:val="0D0D0D"/>
          <w:lang w:eastAsia="en-US"/>
        </w:rPr>
        <w:t>inflammatory and</w:t>
      </w:r>
      <w:r w:rsidR="00613A81">
        <w:rPr>
          <w:rFonts w:eastAsia="Times New Roman"/>
          <w:color w:val="0D0D0D"/>
          <w:lang w:eastAsia="en-US"/>
        </w:rPr>
        <w:t xml:space="preserve"> other cytokines, especially</w:t>
      </w:r>
      <w:r w:rsidRPr="006B72EF">
        <w:rPr>
          <w:rFonts w:eastAsia="Times New Roman"/>
          <w:color w:val="0D0D0D"/>
          <w:lang w:eastAsia="en-US"/>
        </w:rPr>
        <w:t xml:space="preserve"> vascular endothelial growth factor (VEGF)</w:t>
      </w:r>
      <w:r w:rsidRPr="006B72EF">
        <w:rPr>
          <w:rFonts w:eastAsia="Times New Roman"/>
          <w:color w:val="0D0D0D"/>
          <w:lang w:eastAsia="en-US"/>
        </w:rPr>
        <w:fldChar w:fldCharType="begin"/>
      </w:r>
      <w:r w:rsidR="006F41FE">
        <w:rPr>
          <w:rFonts w:eastAsia="Times New Roman"/>
          <w:color w:val="0D0D0D"/>
          <w:lang w:eastAsia="en-US"/>
        </w:rPr>
        <w:instrText xml:space="preserve"> ADDIN EN.CITE &lt;EndNote&gt;&lt;Cite&gt;&lt;Author&gt;Cosacov&lt;/Author&gt;&lt;Year&gt;1999&lt;/Year&gt;&lt;RecNum&gt;1&lt;/RecNum&gt;&lt;DisplayText&gt;(Cosacov et al., 1999)&lt;/DisplayText&gt;&lt;record&gt;&lt;rec-number&gt;1&lt;/rec-number&gt;&lt;ref-type name="Journal Article"&gt;17&lt;/ref-type&gt;&lt;contributors&gt;&lt;authors&gt;&lt;author&gt;Cosacov, R. M.&lt;/author&gt;&lt;author&gt;Diaz Moyano, O.&lt;/author&gt;&lt;author&gt;Cassina, M.&lt;/author&gt;&lt;/authors&gt;&lt;/contributors&gt;&lt;auth-address&gt;Servicios de Neurologia y UTI Hospital Provincial Misericordia, Cordoba, Argentina.&lt;/auth-address&gt;&lt;titles&gt;&lt;title&gt;[POEMS syndrome]&lt;/title&gt;&lt;secondary-title&gt;Rev Fac Cien Med Univ Nac Cordoba&lt;/secondary-title&gt;&lt;/titles&gt;&lt;periodical&gt;&lt;full-title&gt;Rev Fac Cien Med Univ Nac Cordoba&lt;/full-title&gt;&lt;/periodical&gt;&lt;pages&gt;113-21&lt;/pages&gt;&lt;volume&gt;56&lt;/volume&gt;&lt;number&gt;2&lt;/number&gt;&lt;keywords&gt;&lt;keyword&gt;Humans&lt;/keyword&gt;&lt;keyword&gt;Male&lt;/keyword&gt;&lt;keyword&gt;Middle Aged&lt;/keyword&gt;&lt;keyword&gt;*POEMS Syndrome/diagnosis/etiology/therapy&lt;/keyword&gt;&lt;/keywords&gt;&lt;dates&gt;&lt;year&gt;1999&lt;/year&gt;&lt;/dates&gt;&lt;orig-pub&gt;Sindrome de POEMS.&lt;/orig-pub&gt;&lt;accession-num&gt;10883513&lt;/accession-num&gt;&lt;urls&gt;&lt;related-urls&gt;&lt;url&gt;http://www.ncbi.nlm.nih.gov/entrez/query.fcgi?cmd=Retrieve&amp;amp;db=PubMed&amp;amp;dopt=Citation&amp;amp;list_uids=10883513 &lt;/url&gt;&lt;/related-urls&gt;&lt;/urls&gt;&lt;/record&gt;&lt;/Cite&gt;&lt;/EndNote&gt;</w:instrText>
      </w:r>
      <w:r w:rsidRPr="006B72EF">
        <w:rPr>
          <w:rFonts w:eastAsia="Times New Roman"/>
          <w:color w:val="0D0D0D"/>
          <w:lang w:eastAsia="en-US"/>
        </w:rPr>
        <w:fldChar w:fldCharType="separate"/>
      </w:r>
      <w:r w:rsidR="006F41FE">
        <w:rPr>
          <w:rFonts w:eastAsia="Times New Roman"/>
          <w:noProof/>
          <w:color w:val="0D0D0D"/>
          <w:lang w:eastAsia="en-US"/>
        </w:rPr>
        <w:t>(</w:t>
      </w:r>
      <w:hyperlink w:anchor="_ENREF_86" w:tooltip="Cosacov, 1999 #1" w:history="1">
        <w:r w:rsidR="004A784D">
          <w:rPr>
            <w:rFonts w:eastAsia="Times New Roman"/>
            <w:noProof/>
            <w:color w:val="0D0D0D"/>
            <w:lang w:eastAsia="en-US"/>
          </w:rPr>
          <w:t>Cosacov et al., 1999</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 xml:space="preserve"> </w:t>
      </w:r>
      <w:r w:rsidRPr="006B72EF">
        <w:rPr>
          <w:rFonts w:eastAsia="Times New Roman"/>
          <w:color w:val="0D0D0D"/>
          <w:lang w:eastAsia="en-US"/>
        </w:rPr>
        <w:fldChar w:fldCharType="begin"/>
      </w:r>
      <w:r w:rsidR="006F41FE">
        <w:rPr>
          <w:rFonts w:eastAsia="Times New Roman"/>
          <w:color w:val="0D0D0D"/>
          <w:lang w:eastAsia="en-US"/>
        </w:rPr>
        <w:instrText xml:space="preserve"> ADDIN EN.CITE &lt;EndNote&gt;&lt;Cite&gt;&lt;Author&gt;Arimura&lt;/Author&gt;&lt;Year&gt;2008&lt;/Year&gt;&lt;RecNum&gt;5&lt;/RecNum&gt;&lt;DisplayText&gt;(Arimura et al., 2008)&lt;/DisplayText&gt;&lt;record&gt;&lt;rec-number&gt;5&lt;/rec-number&gt;&lt;ref-type name="Journal Article"&gt;17&lt;/ref-type&gt;&lt;contributors&gt;&lt;authors&gt;&lt;author&gt;Arimura, K.&lt;/author&gt;&lt;author&gt;Hashiguchi, T.&lt;/author&gt;&lt;author&gt;Watanabe, O.&lt;/author&gt;&lt;/authors&gt;&lt;/contributors&gt;&lt;auth-address&gt;Department of Neurology and Geriatrics, Kagoshima University Graduate School of Medicine, 8-35-1 Sakuragaoka, Kagoshima 890-8544, Japan.&lt;/auth-address&gt;&lt;titles&gt;&lt;title&gt;[Crow-Fukase syndrome and VEGF]&lt;/title&gt;&lt;secondary-title&gt;Brain Nerve&lt;/secondary-title&gt;&lt;/titles&gt;&lt;periodical&gt;&lt;full-title&gt;Brain Nerve&lt;/full-title&gt;&lt;/periodical&gt;&lt;pages&gt;611-9&lt;/pages&gt;&lt;volume&gt;60&lt;/volume&gt;&lt;number&gt;6&lt;/number&gt;&lt;keywords&gt;&lt;keyword&gt;Animals&lt;/keyword&gt;&lt;keyword&gt;Axons/pathology&lt;/keyword&gt;&lt;keyword&gt;Biological Markers/blood&lt;/keyword&gt;&lt;keyword&gt;Blood-Nerve Barrier/pathology&lt;/keyword&gt;&lt;keyword&gt;Humans&lt;/keyword&gt;&lt;keyword&gt;Mice&lt;/keyword&gt;&lt;keyword&gt;Microcirculation/pathology&lt;/keyword&gt;&lt;keyword&gt;POEMS Syndrome/*diagnosis/*etiology/pathology/therapy&lt;/keyword&gt;&lt;keyword&gt;Peripheral Blood Stem Cell Transplantation&lt;/keyword&gt;&lt;keyword&gt;Peripheral Nerves/blood supply/pathology&lt;/keyword&gt;&lt;keyword&gt;Vascular Endothelial Growth Factor A/*blood/*physiology&lt;/keyword&gt;&lt;/keywords&gt;&lt;dates&gt;&lt;year&gt;2008&lt;/year&gt;&lt;pub-dates&gt;&lt;date&gt;Jun&lt;/date&gt;&lt;/pub-dates&gt;&lt;/dates&gt;&lt;accession-num&gt;18567356&lt;/accession-num&gt;&lt;urls&gt;&lt;related-urls&gt;&lt;url&gt;http://www.ncbi.nlm.nih.gov/entrez/query.fcgi?cmd=Retrieve&amp;amp;db=PubMed&amp;amp;dopt=Citation&amp;amp;list_uids=18567356 &lt;/url&gt;&lt;/related-urls&gt;&lt;/urls&gt;&lt;/record&gt;&lt;/Cite&gt;&lt;/EndNote&gt;</w:instrText>
      </w:r>
      <w:r w:rsidRPr="006B72EF">
        <w:rPr>
          <w:rFonts w:eastAsia="Times New Roman"/>
          <w:color w:val="0D0D0D"/>
          <w:lang w:eastAsia="en-US"/>
        </w:rPr>
        <w:fldChar w:fldCharType="separate"/>
      </w:r>
      <w:r w:rsidR="006F41FE">
        <w:rPr>
          <w:rFonts w:eastAsia="Times New Roman"/>
          <w:noProof/>
          <w:color w:val="0D0D0D"/>
          <w:lang w:eastAsia="en-US"/>
        </w:rPr>
        <w:t>(</w:t>
      </w:r>
      <w:hyperlink w:anchor="_ENREF_26" w:tooltip="Arimura, 2008 #5" w:history="1">
        <w:r w:rsidR="004A784D">
          <w:rPr>
            <w:rFonts w:eastAsia="Times New Roman"/>
            <w:noProof/>
            <w:color w:val="0D0D0D"/>
            <w:lang w:eastAsia="en-US"/>
          </w:rPr>
          <w:t>Arimura et al., 2008</w:t>
        </w:r>
      </w:hyperlink>
      <w:r w:rsidR="006F41FE">
        <w:rPr>
          <w:rFonts w:eastAsia="Times New Roman"/>
          <w:noProof/>
          <w:color w:val="0D0D0D"/>
          <w:lang w:eastAsia="en-US"/>
        </w:rPr>
        <w:t>)</w:t>
      </w:r>
      <w:r w:rsidRPr="006B72EF">
        <w:rPr>
          <w:rFonts w:eastAsia="Times New Roman"/>
          <w:color w:val="0D0D0D"/>
          <w:lang w:eastAsia="en-US"/>
        </w:rPr>
        <w:fldChar w:fldCharType="end"/>
      </w:r>
      <w:r w:rsidRPr="006B72EF">
        <w:rPr>
          <w:rFonts w:eastAsia="Times New Roman"/>
          <w:color w:val="0D0D0D"/>
          <w:lang w:eastAsia="en-US"/>
        </w:rPr>
        <w:t>.</w:t>
      </w:r>
    </w:p>
    <w:p w:rsidR="00C643F0" w:rsidRDefault="00C643F0" w:rsidP="00C643F0">
      <w:pPr>
        <w:spacing w:before="240" w:after="240" w:line="360" w:lineRule="auto"/>
        <w:jc w:val="both"/>
        <w:rPr>
          <w:rFonts w:eastAsia="Times New Roman"/>
          <w:color w:val="0D0D0D"/>
          <w:lang w:eastAsia="en-US"/>
        </w:rPr>
      </w:pPr>
    </w:p>
    <w:p w:rsidR="006B72EF" w:rsidRDefault="006B72EF" w:rsidP="00645687">
      <w:pPr>
        <w:pStyle w:val="Heading3"/>
      </w:pPr>
      <w:bookmarkStart w:id="1613" w:name="_Toc279436716"/>
      <w:bookmarkStart w:id="1614" w:name="_Toc279436915"/>
      <w:bookmarkStart w:id="1615" w:name="_Toc279658419"/>
      <w:bookmarkStart w:id="1616" w:name="_Toc279658511"/>
      <w:bookmarkStart w:id="1617" w:name="_Toc306570739"/>
      <w:bookmarkEnd w:id="1613"/>
      <w:bookmarkEnd w:id="1614"/>
      <w:bookmarkEnd w:id="1615"/>
      <w:bookmarkEnd w:id="1616"/>
      <w:bookmarkEnd w:id="1617"/>
      <w:r w:rsidRPr="006B72EF">
        <w:tab/>
      </w:r>
      <w:bookmarkStart w:id="1618" w:name="_Toc279658512"/>
      <w:bookmarkStart w:id="1619" w:name="_Toc306570740"/>
      <w:bookmarkStart w:id="1620" w:name="_Toc307067800"/>
      <w:bookmarkStart w:id="1621" w:name="_Toc312169370"/>
      <w:bookmarkStart w:id="1622" w:name="_Toc312172297"/>
      <w:bookmarkStart w:id="1623" w:name="_Toc312257846"/>
      <w:r w:rsidRPr="006B72EF">
        <w:t>Case study</w:t>
      </w:r>
      <w:bookmarkEnd w:id="1618"/>
      <w:bookmarkEnd w:id="1619"/>
      <w:bookmarkEnd w:id="1620"/>
      <w:bookmarkEnd w:id="1621"/>
      <w:bookmarkEnd w:id="1622"/>
      <w:bookmarkEnd w:id="1623"/>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In Febr</w:t>
      </w:r>
      <w:r w:rsidR="00AF0C6E">
        <w:rPr>
          <w:rFonts w:eastAsia="Times New Roman"/>
          <w:color w:val="0D0D0D"/>
          <w:lang w:eastAsia="en-US"/>
        </w:rPr>
        <w:t xml:space="preserve">uary 2009, a 50 year old man </w:t>
      </w:r>
      <w:r w:rsidRPr="006B72EF">
        <w:rPr>
          <w:rFonts w:eastAsia="Times New Roman"/>
          <w:color w:val="0D0D0D"/>
          <w:lang w:eastAsia="en-US"/>
        </w:rPr>
        <w:t xml:space="preserve">presented to Haematology Department of Mater University Hospital with history of peripheral neuropathy, including leg weakness, enlarged spleen, hypothyroid and mild bony pain to the haematology department of Mater University Hospital. Eventually </w:t>
      </w:r>
      <w:r w:rsidR="00AF0C6E">
        <w:rPr>
          <w:rFonts w:eastAsia="Times New Roman"/>
          <w:color w:val="0D0D0D"/>
          <w:lang w:eastAsia="en-US"/>
        </w:rPr>
        <w:t>he was diagnosed</w:t>
      </w:r>
      <w:r w:rsidR="00613A81">
        <w:rPr>
          <w:rFonts w:eastAsia="Times New Roman"/>
          <w:color w:val="0D0D0D"/>
          <w:lang w:eastAsia="en-US"/>
        </w:rPr>
        <w:t xml:space="preserve"> with</w:t>
      </w:r>
      <w:r w:rsidRPr="006B72EF">
        <w:rPr>
          <w:rFonts w:eastAsia="Times New Roman"/>
          <w:color w:val="0D0D0D"/>
          <w:lang w:eastAsia="en-US"/>
        </w:rPr>
        <w:t xml:space="preserve"> POEM syndrome. Laboratory findings included raised haemoglobin level, and total serum protein. Thyroid function tests showed underactive thyroid gland. Protein Electrophoresis with the immunofixation showed a monoclonal IgG spike and elevated B2M.</w:t>
      </w:r>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This was a prospective study, sample prepa</w:t>
      </w:r>
      <w:r w:rsidR="00AF0C6E">
        <w:rPr>
          <w:rFonts w:eastAsia="Times New Roman"/>
          <w:color w:val="0D0D0D"/>
          <w:lang w:eastAsia="en-US"/>
        </w:rPr>
        <w:t xml:space="preserve">ration details are provided in </w:t>
      </w:r>
      <w:r w:rsidRPr="006B72EF">
        <w:rPr>
          <w:rFonts w:eastAsia="Times New Roman"/>
          <w:color w:val="0D0D0D"/>
          <w:lang w:eastAsia="en-US"/>
        </w:rPr>
        <w:t>Chapte</w:t>
      </w:r>
      <w:r w:rsidR="00AF0C6E">
        <w:rPr>
          <w:rFonts w:eastAsia="Times New Roman"/>
          <w:color w:val="0D0D0D"/>
          <w:lang w:eastAsia="en-US"/>
        </w:rPr>
        <w:t xml:space="preserve">r 2, Materials </w:t>
      </w:r>
      <w:r w:rsidR="0010315E">
        <w:rPr>
          <w:rFonts w:eastAsia="Times New Roman"/>
          <w:color w:val="0D0D0D"/>
          <w:lang w:eastAsia="en-US"/>
        </w:rPr>
        <w:t>and</w:t>
      </w:r>
      <w:r w:rsidR="00AF0C6E">
        <w:rPr>
          <w:rFonts w:eastAsia="Times New Roman"/>
          <w:color w:val="0D0D0D"/>
          <w:lang w:eastAsia="en-US"/>
        </w:rPr>
        <w:t xml:space="preserve"> Methods</w:t>
      </w:r>
      <w:r w:rsidRPr="006B72EF">
        <w:rPr>
          <w:rFonts w:eastAsia="Times New Roman"/>
          <w:color w:val="0D0D0D"/>
          <w:lang w:eastAsia="en-US"/>
        </w:rPr>
        <w:t>.  The serum samples were collected according to standard phlebotomy procedures. Samples are coded and transported on ice to the laboratory. The tubes were centrifuged at 400xG for 30 minutes at 4°C. Serums samples were aliquoted in the cryovial tubes, labelled and stored at -80°C until time of analysis. The time from sample procurement to storage at -80ºC was less than 3 hours. Serum samples were collected at various time points; (1) at diagnosis, (2) after 3 months of therapy, (3) at clinical remission and (4) when patient disease relapsed. Finally samples were analysed in duplicate using commercially available ELISA kits</w:t>
      </w:r>
      <w:r w:rsidR="00C643F0">
        <w:rPr>
          <w:rFonts w:eastAsia="Times New Roman"/>
          <w:color w:val="0D0D0D"/>
          <w:lang w:eastAsia="en-US"/>
        </w:rPr>
        <w:t>.</w:t>
      </w:r>
    </w:p>
    <w:p w:rsidR="00C643F0" w:rsidRPr="006B72EF" w:rsidRDefault="00C643F0" w:rsidP="00057B42">
      <w:pPr>
        <w:spacing w:after="240" w:line="360" w:lineRule="auto"/>
        <w:jc w:val="both"/>
        <w:rPr>
          <w:rFonts w:eastAsia="Times New Roman"/>
          <w:color w:val="0D0D0D"/>
          <w:lang w:eastAsia="en-US"/>
        </w:rPr>
      </w:pPr>
    </w:p>
    <w:p w:rsidR="006B72EF" w:rsidRDefault="006B72EF" w:rsidP="00645687">
      <w:pPr>
        <w:pStyle w:val="Heading3"/>
      </w:pPr>
      <w:bookmarkStart w:id="1624" w:name="_Toc274736215"/>
      <w:bookmarkStart w:id="1625" w:name="_Toc274586855"/>
      <w:r w:rsidRPr="006B72EF">
        <w:lastRenderedPageBreak/>
        <w:tab/>
      </w:r>
      <w:bookmarkStart w:id="1626" w:name="_Toc279658513"/>
      <w:bookmarkStart w:id="1627" w:name="_Toc306570741"/>
      <w:bookmarkStart w:id="1628" w:name="_Toc307067801"/>
      <w:bookmarkStart w:id="1629" w:name="_Toc312169371"/>
      <w:bookmarkStart w:id="1630" w:name="_Toc312172298"/>
      <w:bookmarkStart w:id="1631" w:name="_Toc312257847"/>
      <w:r w:rsidRPr="006B72EF">
        <w:t>Serum VEGF level</w:t>
      </w:r>
      <w:bookmarkEnd w:id="1624"/>
      <w:bookmarkEnd w:id="1625"/>
      <w:bookmarkEnd w:id="1626"/>
      <w:bookmarkEnd w:id="1627"/>
      <w:bookmarkEnd w:id="1628"/>
      <w:bookmarkEnd w:id="1629"/>
      <w:bookmarkEnd w:id="1630"/>
      <w:bookmarkEnd w:id="1631"/>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serum VEGF was measured in patient serum using commercially a</w:t>
      </w:r>
      <w:r w:rsidR="00613A81">
        <w:rPr>
          <w:rFonts w:eastAsia="Times New Roman"/>
          <w:color w:val="0D0D0D"/>
          <w:lang w:eastAsia="en-US"/>
        </w:rPr>
        <w:t>vailable ELISA kit. Each sample was</w:t>
      </w:r>
      <w:r w:rsidRPr="006B72EF">
        <w:rPr>
          <w:rFonts w:eastAsia="Times New Roman"/>
          <w:color w:val="0D0D0D"/>
          <w:lang w:eastAsia="en-US"/>
        </w:rPr>
        <w:t xml:space="preserve"> analysed in duplicate.</w:t>
      </w:r>
    </w:p>
    <w:p w:rsidR="006B72EF" w:rsidRPr="006B72EF" w:rsidRDefault="006B72EF" w:rsidP="00057B42">
      <w:pPr>
        <w:spacing w:after="240" w:line="360" w:lineRule="auto"/>
        <w:jc w:val="both"/>
        <w:rPr>
          <w:rFonts w:eastAsia="Times New Roman"/>
          <w:color w:val="0D0D0D"/>
          <w:lang w:eastAsia="en-US"/>
        </w:rPr>
      </w:pPr>
    </w:p>
    <w:p w:rsidR="006B72EF" w:rsidRPr="006B72EF" w:rsidRDefault="00ED7D82" w:rsidP="00057B42">
      <w:pPr>
        <w:spacing w:after="240" w:line="360" w:lineRule="auto"/>
        <w:jc w:val="center"/>
        <w:rPr>
          <w:rFonts w:eastAsia="Times New Roman"/>
          <w:color w:val="0D0D0D"/>
          <w:lang w:eastAsia="en-US"/>
        </w:rPr>
      </w:pPr>
      <w:r>
        <w:rPr>
          <w:rFonts w:eastAsia="Times New Roman"/>
          <w:noProof/>
          <w:color w:val="0D0D0D"/>
          <w:lang w:eastAsia="en-IE"/>
        </w:rPr>
        <w:drawing>
          <wp:inline distT="0" distB="0" distL="0" distR="0" wp14:anchorId="41B479C2" wp14:editId="43AFD70D">
            <wp:extent cx="4718685" cy="2570480"/>
            <wp:effectExtent l="0" t="0" r="0" b="0"/>
            <wp:docPr id="90"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718685" cy="2570480"/>
                    </a:xfrm>
                    <a:prstGeom prst="rect">
                      <a:avLst/>
                    </a:prstGeom>
                    <a:noFill/>
                    <a:ln>
                      <a:noFill/>
                    </a:ln>
                  </pic:spPr>
                </pic:pic>
              </a:graphicData>
            </a:graphic>
          </wp:inline>
        </w:drawing>
      </w:r>
    </w:p>
    <w:p w:rsidR="00C643F0" w:rsidRDefault="006B72EF" w:rsidP="00057B42">
      <w:pPr>
        <w:pBdr>
          <w:bottom w:val="single" w:sz="6" w:space="1" w:color="auto"/>
        </w:pBdr>
        <w:spacing w:after="240" w:line="360" w:lineRule="auto"/>
        <w:jc w:val="both"/>
        <w:rPr>
          <w:rFonts w:eastAsia="Times New Roman"/>
          <w:b/>
          <w:color w:val="0D0D0D"/>
          <w:lang w:eastAsia="en-US"/>
        </w:rPr>
      </w:pPr>
      <w:bookmarkStart w:id="1632" w:name="_Toc274587602"/>
      <w:bookmarkStart w:id="1633" w:name="_Toc279441928"/>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50</w:t>
      </w:r>
      <w:r w:rsidR="008A68DC">
        <w:rPr>
          <w:rFonts w:eastAsia="Times New Roman"/>
          <w:b/>
          <w:color w:val="0D0D0D"/>
          <w:lang w:eastAsia="en-US"/>
        </w:rPr>
        <w:fldChar w:fldCharType="end"/>
      </w:r>
      <w:r w:rsidRPr="006B72EF">
        <w:rPr>
          <w:rFonts w:eastAsia="Times New Roman"/>
          <w:b/>
          <w:color w:val="0D0D0D"/>
          <w:lang w:eastAsia="en-US"/>
        </w:rPr>
        <w:t xml:space="preserve"> the standard curve was generated by plotting the average absorbance obtained for each of the standards on the vertical (Y) axis vs. the corresponding human VEGF concentrations on the horizontal (X) axis.</w:t>
      </w:r>
      <w:bookmarkEnd w:id="1632"/>
      <w:bookmarkEnd w:id="1633"/>
    </w:p>
    <w:p w:rsidR="006B72EF" w:rsidRDefault="006B72EF" w:rsidP="00057B42">
      <w:pPr>
        <w:pBdr>
          <w:bottom w:val="single" w:sz="6" w:space="1" w:color="auto"/>
        </w:pBdr>
        <w:spacing w:after="240" w:line="360" w:lineRule="auto"/>
        <w:jc w:val="both"/>
        <w:rPr>
          <w:rFonts w:eastAsia="Times New Roman"/>
          <w:b/>
          <w:color w:val="0D0D0D"/>
          <w:lang w:eastAsia="en-US"/>
        </w:rPr>
      </w:pPr>
    </w:p>
    <w:p w:rsidR="008E15EA" w:rsidRDefault="008E15EA" w:rsidP="00057B42">
      <w:pPr>
        <w:spacing w:after="240" w:line="360" w:lineRule="auto"/>
        <w:jc w:val="both"/>
        <w:rPr>
          <w:rFonts w:eastAsia="Times New Roman"/>
          <w:b/>
          <w:color w:val="0D0D0D"/>
          <w:lang w:eastAsia="en-US"/>
        </w:rPr>
      </w:pPr>
    </w:p>
    <w:p w:rsidR="006B72EF" w:rsidRDefault="006B72EF" w:rsidP="00645687">
      <w:pPr>
        <w:pStyle w:val="Heading3"/>
      </w:pPr>
      <w:r w:rsidRPr="006B72EF">
        <w:tab/>
      </w:r>
      <w:bookmarkStart w:id="1634" w:name="_Toc279658514"/>
      <w:bookmarkStart w:id="1635" w:name="_Toc306570742"/>
      <w:bookmarkStart w:id="1636" w:name="_Toc307067802"/>
      <w:bookmarkStart w:id="1637" w:name="_Toc312169372"/>
      <w:bookmarkStart w:id="1638" w:name="_Toc312172299"/>
      <w:bookmarkStart w:id="1639" w:name="_Toc312257848"/>
      <w:r w:rsidRPr="006B72EF">
        <w:t>Results</w:t>
      </w:r>
      <w:bookmarkEnd w:id="1634"/>
      <w:bookmarkEnd w:id="1635"/>
      <w:bookmarkEnd w:id="1636"/>
      <w:bookmarkEnd w:id="1637"/>
      <w:bookmarkEnd w:id="1638"/>
      <w:bookmarkEnd w:id="1639"/>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1st sample was collected at diagnosis, prior to commencing treatment, showed serum VEGF level of 256 pg/ml.</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2nd sample was collected after three cycle of thalidomide based regimen. At this stage, patient serum VEGF level was 49.22 pg/ml and clinically his sign</w:t>
      </w:r>
      <w:r w:rsidR="00AF0C6E">
        <w:rPr>
          <w:rFonts w:eastAsia="Times New Roman"/>
          <w:color w:val="0D0D0D"/>
          <w:lang w:eastAsia="en-US"/>
        </w:rPr>
        <w:t>s</w:t>
      </w:r>
      <w:r w:rsidRPr="006B72EF">
        <w:rPr>
          <w:rFonts w:eastAsia="Times New Roman"/>
          <w:color w:val="0D0D0D"/>
          <w:lang w:eastAsia="en-US"/>
        </w:rPr>
        <w:t xml:space="preserve"> and symptom</w:t>
      </w:r>
      <w:r w:rsidR="00AF0C6E">
        <w:rPr>
          <w:rFonts w:eastAsia="Times New Roman"/>
          <w:color w:val="0D0D0D"/>
          <w:lang w:eastAsia="en-US"/>
        </w:rPr>
        <w:t>s</w:t>
      </w:r>
      <w:r w:rsidRPr="006B72EF">
        <w:rPr>
          <w:rFonts w:eastAsia="Times New Roman"/>
          <w:color w:val="0D0D0D"/>
          <w:lang w:eastAsia="en-US"/>
        </w:rPr>
        <w:t xml:space="preserve"> were improving.</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lastRenderedPageBreak/>
        <w:t>3rd sample was collected when patient completed 6 cycle of thalidomide based regimen. His serum VEGF level was 10 pg/ml and clinically he was in clinical remission.</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4th Sampl</w:t>
      </w:r>
      <w:r w:rsidR="00AF0C6E">
        <w:rPr>
          <w:rFonts w:eastAsia="Times New Roman"/>
          <w:color w:val="0D0D0D"/>
          <w:lang w:eastAsia="en-US"/>
        </w:rPr>
        <w:t>e was collected when patient is</w:t>
      </w:r>
      <w:r w:rsidRPr="006B72EF">
        <w:rPr>
          <w:rFonts w:eastAsia="Times New Roman"/>
          <w:color w:val="0D0D0D"/>
          <w:lang w:eastAsia="en-US"/>
        </w:rPr>
        <w:t xml:space="preserve"> presented with relapse </w:t>
      </w:r>
      <w:r w:rsidR="00206332">
        <w:rPr>
          <w:rFonts w:eastAsia="Times New Roman"/>
          <w:color w:val="0D0D0D"/>
          <w:lang w:eastAsia="en-US"/>
        </w:rPr>
        <w:t>disease</w:t>
      </w:r>
      <w:r w:rsidRPr="006B72EF">
        <w:rPr>
          <w:rFonts w:eastAsia="Times New Roman"/>
          <w:color w:val="0D0D0D"/>
          <w:lang w:eastAsia="en-US"/>
        </w:rPr>
        <w:t>. On further investigation, he was diagnosed as a relapsed POEM syndrome. His</w:t>
      </w:r>
      <w:r w:rsidR="00206332">
        <w:rPr>
          <w:rFonts w:eastAsia="Times New Roman"/>
          <w:color w:val="0D0D0D"/>
          <w:lang w:eastAsia="en-US"/>
        </w:rPr>
        <w:t xml:space="preserve"> serum VEGF level was 256 pg/ml </w:t>
      </w:r>
      <w:r w:rsidRPr="006B72EF">
        <w:rPr>
          <w:rFonts w:eastAsia="Times New Roman"/>
          <w:color w:val="0D0D0D"/>
          <w:lang w:eastAsia="en-US"/>
        </w:rPr>
        <w:t xml:space="preserve">(Figure </w:t>
      </w:r>
      <w:r w:rsidR="00AF0C6E">
        <w:rPr>
          <w:rFonts w:eastAsia="Times New Roman"/>
          <w:color w:val="0D0D0D"/>
          <w:lang w:eastAsia="en-US"/>
        </w:rPr>
        <w:t>3-</w:t>
      </w:r>
      <w:r w:rsidRPr="006B72EF">
        <w:rPr>
          <w:rFonts w:eastAsia="Times New Roman"/>
          <w:color w:val="0D0D0D"/>
          <w:lang w:eastAsia="en-US"/>
        </w:rPr>
        <w:t>45).</w:t>
      </w:r>
    </w:p>
    <w:p w:rsidR="006B72EF" w:rsidRP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The above result shows that during the patient’s disease, VEGF levels were found to correlate with disease activity and clinical intensity of his disease. Secondly, VEGF might be an important marker not only as a diagnostic aid but also as a marker showing response to treatment.</w:t>
      </w:r>
    </w:p>
    <w:p w:rsidR="006B72EF" w:rsidRPr="006B72EF" w:rsidRDefault="00ED7D82" w:rsidP="00057B42">
      <w:pPr>
        <w:spacing w:after="240" w:line="360" w:lineRule="auto"/>
        <w:jc w:val="both"/>
        <w:rPr>
          <w:rFonts w:eastAsia="Times New Roman"/>
          <w:color w:val="0D0D0D"/>
          <w:lang w:eastAsia="en-US"/>
        </w:rPr>
      </w:pPr>
      <w:r>
        <w:rPr>
          <w:rFonts w:eastAsia="Times New Roman"/>
          <w:noProof/>
          <w:color w:val="0D0D0D"/>
          <w:lang w:eastAsia="en-IE"/>
        </w:rPr>
        <w:drawing>
          <wp:inline distT="0" distB="0" distL="0" distR="0" wp14:anchorId="0C61F2E8" wp14:editId="24B06A3A">
            <wp:extent cx="5253355" cy="3492000"/>
            <wp:effectExtent l="0" t="0" r="23495" b="13335"/>
            <wp:docPr id="91" name="Chart 10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6B72EF" w:rsidRDefault="006B72EF" w:rsidP="00057B42">
      <w:pPr>
        <w:spacing w:after="240" w:line="360" w:lineRule="auto"/>
        <w:jc w:val="both"/>
        <w:rPr>
          <w:rFonts w:eastAsia="Times New Roman"/>
          <w:b/>
          <w:color w:val="0D0D0D"/>
          <w:lang w:eastAsia="en-US"/>
        </w:rPr>
      </w:pPr>
      <w:bookmarkStart w:id="1640" w:name="_Toc274587603"/>
      <w:bookmarkStart w:id="1641" w:name="_Toc279441929"/>
      <w:r w:rsidRPr="006B72EF">
        <w:rPr>
          <w:rFonts w:eastAsia="Times New Roman"/>
          <w:b/>
          <w:color w:val="0D0D0D"/>
          <w:lang w:eastAsia="en-US"/>
        </w:rPr>
        <w:t xml:space="preserve">Figure </w:t>
      </w:r>
      <w:r w:rsidR="008A68DC">
        <w:rPr>
          <w:rFonts w:eastAsia="Times New Roman"/>
          <w:b/>
          <w:color w:val="0D0D0D"/>
          <w:lang w:eastAsia="en-US"/>
        </w:rPr>
        <w:fldChar w:fldCharType="begin"/>
      </w:r>
      <w:r w:rsidR="008A68DC">
        <w:rPr>
          <w:rFonts w:eastAsia="Times New Roman"/>
          <w:b/>
          <w:color w:val="0D0D0D"/>
          <w:lang w:eastAsia="en-US"/>
        </w:rPr>
        <w:instrText xml:space="preserve"> STYLEREF 1 \s </w:instrText>
      </w:r>
      <w:r w:rsidR="008A68DC">
        <w:rPr>
          <w:rFonts w:eastAsia="Times New Roman"/>
          <w:b/>
          <w:color w:val="0D0D0D"/>
          <w:lang w:eastAsia="en-US"/>
        </w:rPr>
        <w:fldChar w:fldCharType="separate"/>
      </w:r>
      <w:r w:rsidR="0081644B">
        <w:rPr>
          <w:rFonts w:eastAsia="Times New Roman"/>
          <w:b/>
          <w:noProof/>
          <w:color w:val="0D0D0D"/>
          <w:lang w:eastAsia="en-US"/>
        </w:rPr>
        <w:t>3</w:t>
      </w:r>
      <w:r w:rsidR="008A68DC">
        <w:rPr>
          <w:rFonts w:eastAsia="Times New Roman"/>
          <w:b/>
          <w:color w:val="0D0D0D"/>
          <w:lang w:eastAsia="en-US"/>
        </w:rPr>
        <w:fldChar w:fldCharType="end"/>
      </w:r>
      <w:r w:rsidR="008A68DC">
        <w:rPr>
          <w:rFonts w:eastAsia="Times New Roman"/>
          <w:b/>
          <w:color w:val="0D0D0D"/>
          <w:lang w:eastAsia="en-US"/>
        </w:rPr>
        <w:noBreakHyphen/>
      </w:r>
      <w:r w:rsidR="008A68DC">
        <w:rPr>
          <w:rFonts w:eastAsia="Times New Roman"/>
          <w:b/>
          <w:color w:val="0D0D0D"/>
          <w:lang w:eastAsia="en-US"/>
        </w:rPr>
        <w:fldChar w:fldCharType="begin"/>
      </w:r>
      <w:r w:rsidR="008A68DC">
        <w:rPr>
          <w:rFonts w:eastAsia="Times New Roman"/>
          <w:b/>
          <w:color w:val="0D0D0D"/>
          <w:lang w:eastAsia="en-US"/>
        </w:rPr>
        <w:instrText xml:space="preserve"> SEQ Figure \* ARABIC \s 1 </w:instrText>
      </w:r>
      <w:r w:rsidR="008A68DC">
        <w:rPr>
          <w:rFonts w:eastAsia="Times New Roman"/>
          <w:b/>
          <w:color w:val="0D0D0D"/>
          <w:lang w:eastAsia="en-US"/>
        </w:rPr>
        <w:fldChar w:fldCharType="separate"/>
      </w:r>
      <w:r w:rsidR="0081644B">
        <w:rPr>
          <w:rFonts w:eastAsia="Times New Roman"/>
          <w:b/>
          <w:noProof/>
          <w:color w:val="0D0D0D"/>
          <w:lang w:eastAsia="en-US"/>
        </w:rPr>
        <w:t>51</w:t>
      </w:r>
      <w:r w:rsidR="008A68DC">
        <w:rPr>
          <w:rFonts w:eastAsia="Times New Roman"/>
          <w:b/>
          <w:color w:val="0D0D0D"/>
          <w:lang w:eastAsia="en-US"/>
        </w:rPr>
        <w:fldChar w:fldCharType="end"/>
      </w:r>
      <w:r w:rsidR="00CE309F">
        <w:rPr>
          <w:rFonts w:eastAsia="Times New Roman"/>
          <w:b/>
          <w:color w:val="0D0D0D"/>
          <w:lang w:eastAsia="en-US"/>
        </w:rPr>
        <w:t xml:space="preserve"> shows the</w:t>
      </w:r>
      <w:r w:rsidR="003B6DB5">
        <w:rPr>
          <w:rFonts w:eastAsia="Times New Roman"/>
          <w:b/>
          <w:noProof/>
          <w:color w:val="0D0D0D"/>
          <w:lang w:eastAsia="en-US"/>
        </w:rPr>
        <w:t xml:space="preserve"> </w:t>
      </w:r>
      <w:r w:rsidR="003B6DB5">
        <w:rPr>
          <w:rFonts w:eastAsia="Times New Roman"/>
          <w:b/>
          <w:color w:val="0D0D0D"/>
          <w:lang w:eastAsia="en-US"/>
        </w:rPr>
        <w:t>serum</w:t>
      </w:r>
      <w:r w:rsidR="00CE309F">
        <w:rPr>
          <w:rFonts w:eastAsia="Times New Roman"/>
          <w:b/>
          <w:color w:val="0D0D0D"/>
          <w:lang w:eastAsia="en-US"/>
        </w:rPr>
        <w:t xml:space="preserve"> samples were </w:t>
      </w:r>
      <w:r w:rsidRPr="006B72EF">
        <w:rPr>
          <w:rFonts w:eastAsia="Times New Roman"/>
          <w:b/>
          <w:color w:val="0D0D0D"/>
          <w:lang w:eastAsia="en-US"/>
        </w:rPr>
        <w:t xml:space="preserve">analysed at four various time points; (1) at diagnosis, (2) after three months of therapy, (3) at clinical remission </w:t>
      </w:r>
      <w:r w:rsidR="00B82E67">
        <w:rPr>
          <w:rFonts w:eastAsia="Times New Roman"/>
          <w:b/>
          <w:color w:val="0D0D0D"/>
          <w:lang w:eastAsia="en-US"/>
        </w:rPr>
        <w:t>and (4) when patient disease had</w:t>
      </w:r>
      <w:r w:rsidRPr="006B72EF">
        <w:rPr>
          <w:rFonts w:eastAsia="Times New Roman"/>
          <w:b/>
          <w:color w:val="0D0D0D"/>
          <w:lang w:eastAsia="en-US"/>
        </w:rPr>
        <w:t xml:space="preserve"> relapsed. Patients serum VEGF level was coincided with clinical intensity of disease (POEM syndrome). The rapid clinical re</w:t>
      </w:r>
      <w:r w:rsidR="00B82E67">
        <w:rPr>
          <w:rFonts w:eastAsia="Times New Roman"/>
          <w:b/>
          <w:color w:val="0D0D0D"/>
          <w:lang w:eastAsia="en-US"/>
        </w:rPr>
        <w:t>sponse and remission status corresponded with the decrease</w:t>
      </w:r>
      <w:r w:rsidRPr="006B72EF">
        <w:rPr>
          <w:rFonts w:eastAsia="Times New Roman"/>
          <w:b/>
          <w:color w:val="0D0D0D"/>
          <w:lang w:eastAsia="en-US"/>
        </w:rPr>
        <w:t xml:space="preserve"> in the serum VEGF level.</w:t>
      </w:r>
      <w:bookmarkEnd w:id="1640"/>
      <w:bookmarkEnd w:id="1641"/>
    </w:p>
    <w:p w:rsidR="003B6DB5" w:rsidRDefault="003B6DB5" w:rsidP="00057B42">
      <w:pPr>
        <w:pBdr>
          <w:bottom w:val="single" w:sz="12" w:space="1" w:color="auto"/>
        </w:pBdr>
        <w:spacing w:after="240" w:line="360" w:lineRule="auto"/>
        <w:jc w:val="both"/>
        <w:rPr>
          <w:rFonts w:eastAsia="Times New Roman"/>
          <w:b/>
          <w:color w:val="0D0D0D"/>
          <w:lang w:eastAsia="en-US"/>
        </w:rPr>
      </w:pPr>
    </w:p>
    <w:p w:rsidR="006B72EF" w:rsidRDefault="006B72EF" w:rsidP="00645687">
      <w:pPr>
        <w:pStyle w:val="Heading3"/>
      </w:pPr>
      <w:r w:rsidRPr="006B72EF">
        <w:lastRenderedPageBreak/>
        <w:tab/>
      </w:r>
      <w:bookmarkStart w:id="1642" w:name="_Toc279658515"/>
      <w:bookmarkStart w:id="1643" w:name="_Toc306570743"/>
      <w:bookmarkStart w:id="1644" w:name="_Toc307067803"/>
      <w:bookmarkStart w:id="1645" w:name="_Toc312169373"/>
      <w:bookmarkStart w:id="1646" w:name="_Toc312172300"/>
      <w:bookmarkStart w:id="1647" w:name="_Toc312257849"/>
      <w:r w:rsidRPr="006B72EF">
        <w:t>Discussion</w:t>
      </w:r>
      <w:bookmarkEnd w:id="1642"/>
      <w:bookmarkEnd w:id="1643"/>
      <w:bookmarkEnd w:id="1644"/>
      <w:bookmarkEnd w:id="1645"/>
      <w:bookmarkEnd w:id="1646"/>
      <w:bookmarkEnd w:id="1647"/>
    </w:p>
    <w:p w:rsidR="006B72EF" w:rsidRDefault="006B72EF" w:rsidP="00057B42">
      <w:pPr>
        <w:spacing w:after="240" w:line="360" w:lineRule="auto"/>
        <w:jc w:val="both"/>
        <w:rPr>
          <w:rFonts w:eastAsia="Times New Roman"/>
          <w:color w:val="0D0D0D"/>
          <w:lang w:eastAsia="en-US"/>
        </w:rPr>
      </w:pPr>
      <w:r w:rsidRPr="006B72EF">
        <w:rPr>
          <w:rFonts w:eastAsia="Times New Roman"/>
          <w:color w:val="0D0D0D"/>
          <w:lang w:eastAsia="en-US"/>
        </w:rPr>
        <w:t>Overproduction of VEGF has been found in the serum of patients with POEMS sy</w:t>
      </w:r>
      <w:r w:rsidR="00704883">
        <w:rPr>
          <w:rFonts w:eastAsia="Times New Roman"/>
          <w:color w:val="0D0D0D"/>
          <w:lang w:eastAsia="en-US"/>
        </w:rPr>
        <w:t>ndrome with subsequent decrease</w:t>
      </w:r>
      <w:r w:rsidRPr="006B72EF">
        <w:rPr>
          <w:rFonts w:eastAsia="Times New Roman"/>
          <w:color w:val="0D0D0D"/>
          <w:lang w:eastAsia="en-US"/>
        </w:rPr>
        <w:t xml:space="preserve"> in concentration with thalidomide based therapy. This case confirms that VEGF may contribute to POEMS symptoms by increasing micro vascular permeability, which leads to oedema, increased end neural pressure, and exposure of myelin to serum cytokines and compliments, leading to demyelination.  Interventions that specifically decrease VEGF level have been successful in improving disease symptoms. Thalidomide reduces serum VEGF levels and improves symptoms in POEMS syndrome</w:t>
      </w:r>
      <w:r w:rsidR="00EB171D">
        <w:rPr>
          <w:rFonts w:eastAsia="Times New Roman"/>
          <w:color w:val="0D0D0D"/>
          <w:lang w:eastAsia="en-US"/>
        </w:rPr>
        <w:t xml:space="preserve"> </w:t>
      </w:r>
      <w:r w:rsidR="00EB171D">
        <w:rPr>
          <w:rFonts w:eastAsia="Times New Roman"/>
          <w:color w:val="0D0D0D"/>
          <w:lang w:eastAsia="en-US"/>
        </w:rPr>
        <w:fldChar w:fldCharType="begin">
          <w:fldData xml:space="preserve">PEVuZE5vdGU+PENpdGU+PEF1dGhvcj5SYWZpZWU8L0F1dGhvcj48WWVhcj4yMDEwPC9ZZWFyPjxS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</w:fldData>
        </w:fldChar>
      </w:r>
      <w:r w:rsidR="00EB171D">
        <w:rPr>
          <w:rFonts w:eastAsia="Times New Roman"/>
          <w:color w:val="0D0D0D"/>
          <w:lang w:eastAsia="en-US"/>
        </w:rPr>
        <w:instrText xml:space="preserve"> ADDIN EN.CITE </w:instrText>
      </w:r>
      <w:r w:rsidR="00EB171D">
        <w:rPr>
          <w:rFonts w:eastAsia="Times New Roman"/>
          <w:color w:val="0D0D0D"/>
          <w:lang w:eastAsia="en-US"/>
        </w:rPr>
        <w:fldChar w:fldCharType="begin">
          <w:fldData xml:space="preserve">PEVuZE5vdGU+PENpdGU+PEF1dGhvcj5SYWZpZWU8L0F1dGhvcj48WWVhcj4yMDEwPC9ZZWFyPjxS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</w:fldData>
        </w:fldChar>
      </w:r>
      <w:r w:rsidR="00EB171D">
        <w:rPr>
          <w:rFonts w:eastAsia="Times New Roman"/>
          <w:color w:val="0D0D0D"/>
          <w:lang w:eastAsia="en-US"/>
        </w:rPr>
        <w:instrText xml:space="preserve"> ADDIN EN.CITE.DATA </w:instrText>
      </w:r>
      <w:r w:rsidR="00EB171D">
        <w:rPr>
          <w:rFonts w:eastAsia="Times New Roman"/>
          <w:color w:val="0D0D0D"/>
          <w:lang w:eastAsia="en-US"/>
        </w:rPr>
      </w:r>
      <w:r w:rsidR="00EB171D">
        <w:rPr>
          <w:rFonts w:eastAsia="Times New Roman"/>
          <w:color w:val="0D0D0D"/>
          <w:lang w:eastAsia="en-US"/>
        </w:rPr>
        <w:fldChar w:fldCharType="end"/>
      </w:r>
      <w:r w:rsidR="00EB171D">
        <w:rPr>
          <w:rFonts w:eastAsia="Times New Roman"/>
          <w:color w:val="0D0D0D"/>
          <w:lang w:eastAsia="en-US"/>
        </w:rPr>
      </w:r>
      <w:r w:rsidR="00EB171D">
        <w:rPr>
          <w:rFonts w:eastAsia="Times New Roman"/>
          <w:color w:val="0D0D0D"/>
          <w:lang w:eastAsia="en-US"/>
        </w:rPr>
        <w:fldChar w:fldCharType="separate"/>
      </w:r>
      <w:r w:rsidR="00EB171D">
        <w:rPr>
          <w:rFonts w:eastAsia="Times New Roman"/>
          <w:noProof/>
          <w:color w:val="0D0D0D"/>
          <w:lang w:eastAsia="en-US"/>
        </w:rPr>
        <w:t>(</w:t>
      </w:r>
      <w:hyperlink w:anchor="_ENREF_330" w:tooltip="Rafiee, 2010 #6425" w:history="1">
        <w:r w:rsidR="004A784D">
          <w:rPr>
            <w:rFonts w:eastAsia="Times New Roman"/>
            <w:noProof/>
            <w:color w:val="0D0D0D"/>
            <w:lang w:eastAsia="en-US"/>
          </w:rPr>
          <w:t>Rafiee et al., 2010</w:t>
        </w:r>
      </w:hyperlink>
      <w:r w:rsidR="00EB171D">
        <w:rPr>
          <w:rFonts w:eastAsia="Times New Roman"/>
          <w:noProof/>
          <w:color w:val="0D0D0D"/>
          <w:lang w:eastAsia="en-US"/>
        </w:rPr>
        <w:t xml:space="preserve">, </w:t>
      </w:r>
      <w:hyperlink w:anchor="_ENREF_31" w:tooltip="Aydogan, 2008 #6490" w:history="1">
        <w:r w:rsidR="004A784D">
          <w:rPr>
            <w:rFonts w:eastAsia="Times New Roman"/>
            <w:noProof/>
            <w:color w:val="0D0D0D"/>
            <w:lang w:eastAsia="en-US"/>
          </w:rPr>
          <w:t>Aydogan et al., 2008</w:t>
        </w:r>
      </w:hyperlink>
      <w:r w:rsidR="00EB171D">
        <w:rPr>
          <w:rFonts w:eastAsia="Times New Roman"/>
          <w:noProof/>
          <w:color w:val="0D0D0D"/>
          <w:lang w:eastAsia="en-US"/>
        </w:rPr>
        <w:t xml:space="preserve">, </w:t>
      </w:r>
      <w:hyperlink w:anchor="_ENREF_262" w:tooltip="Malhotra, 2011 #6570" w:history="1">
        <w:r w:rsidR="004A784D">
          <w:rPr>
            <w:rFonts w:eastAsia="Times New Roman"/>
            <w:noProof/>
            <w:color w:val="0D0D0D"/>
            <w:lang w:eastAsia="en-US"/>
          </w:rPr>
          <w:t>Malhotra et al., 2011</w:t>
        </w:r>
      </w:hyperlink>
      <w:r w:rsidR="00EB171D">
        <w:rPr>
          <w:rFonts w:eastAsia="Times New Roman"/>
          <w:noProof/>
          <w:color w:val="0D0D0D"/>
          <w:lang w:eastAsia="en-US"/>
        </w:rPr>
        <w:t>)</w:t>
      </w:r>
      <w:r w:rsidR="00EB171D">
        <w:rPr>
          <w:rFonts w:eastAsia="Times New Roman"/>
          <w:color w:val="0D0D0D"/>
          <w:lang w:eastAsia="en-US"/>
        </w:rPr>
        <w:fldChar w:fldCharType="end"/>
      </w:r>
      <w:r w:rsidRPr="006B72EF">
        <w:rPr>
          <w:rFonts w:eastAsia="Times New Roman"/>
          <w:color w:val="0D0D0D"/>
          <w:lang w:eastAsia="en-US"/>
        </w:rPr>
        <w:t>.</w:t>
      </w:r>
    </w:p>
    <w:p w:rsidR="00D74982" w:rsidRPr="00D74982" w:rsidRDefault="00D74982" w:rsidP="00057B42">
      <w:pPr>
        <w:pStyle w:val="Heading1"/>
        <w:numPr>
          <w:ilvl w:val="0"/>
          <w:numId w:val="19"/>
        </w:numPr>
      </w:pPr>
      <w:r>
        <w:rPr>
          <w:rFonts w:eastAsia="Times New Roman"/>
          <w:color w:val="0D0D0D"/>
        </w:rPr>
        <w:br w:type="page"/>
      </w:r>
      <w:bookmarkStart w:id="1648" w:name="_Toc306570744"/>
      <w:bookmarkStart w:id="1649" w:name="_Toc307067804"/>
      <w:r w:rsidR="003E25FA">
        <w:rPr>
          <w:rFonts w:eastAsia="Times New Roman"/>
          <w:color w:val="0D0D0D"/>
        </w:rPr>
        <w:lastRenderedPageBreak/>
        <w:t xml:space="preserve"> </w:t>
      </w:r>
      <w:bookmarkEnd w:id="1648"/>
      <w:bookmarkEnd w:id="1649"/>
      <w:r w:rsidRPr="00D74982">
        <w:t xml:space="preserve"> </w:t>
      </w:r>
    </w:p>
    <w:p w:rsidR="003E25FA" w:rsidRPr="00B933E7" w:rsidRDefault="003E25FA" w:rsidP="00057B42">
      <w:pPr>
        <w:spacing w:line="360" w:lineRule="auto"/>
      </w:pPr>
      <w:bookmarkStart w:id="1650" w:name="_Toc306570745"/>
      <w:bookmarkStart w:id="1651" w:name="_Toc307067805"/>
    </w:p>
    <w:p w:rsidR="00B933E7" w:rsidRDefault="00B933E7" w:rsidP="00057B42">
      <w:pPr>
        <w:spacing w:line="360" w:lineRule="auto"/>
        <w:jc w:val="center"/>
        <w:rPr>
          <w:b/>
          <w:sz w:val="72"/>
        </w:rPr>
      </w:pPr>
    </w:p>
    <w:p w:rsidR="00000025" w:rsidRDefault="00000025" w:rsidP="00057B42">
      <w:pPr>
        <w:spacing w:line="360" w:lineRule="auto"/>
        <w:jc w:val="center"/>
        <w:rPr>
          <w:b/>
          <w:sz w:val="72"/>
        </w:rPr>
      </w:pPr>
    </w:p>
    <w:p w:rsidR="003E25FA" w:rsidRDefault="003E25FA" w:rsidP="00057B42">
      <w:pPr>
        <w:spacing w:line="360" w:lineRule="auto"/>
        <w:jc w:val="center"/>
        <w:rPr>
          <w:b/>
          <w:sz w:val="72"/>
        </w:rPr>
      </w:pPr>
      <w:r w:rsidRPr="00B933E7">
        <w:rPr>
          <w:b/>
          <w:sz w:val="72"/>
        </w:rPr>
        <w:t>Chapter 4.0</w:t>
      </w:r>
    </w:p>
    <w:p w:rsidR="00B61503" w:rsidRPr="00B933E7" w:rsidRDefault="00D74982" w:rsidP="00057B42">
      <w:pPr>
        <w:spacing w:line="360" w:lineRule="auto"/>
        <w:jc w:val="center"/>
        <w:rPr>
          <w:b/>
        </w:rPr>
      </w:pPr>
      <w:r w:rsidRPr="00B933E7">
        <w:rPr>
          <w:b/>
          <w:sz w:val="72"/>
        </w:rPr>
        <w:t>Discussion</w:t>
      </w:r>
      <w:bookmarkEnd w:id="1650"/>
      <w:bookmarkEnd w:id="1651"/>
      <w:r w:rsidR="00DA347E" w:rsidRPr="00B933E7">
        <w:rPr>
          <w:b/>
        </w:rPr>
        <w:br w:type="page"/>
      </w:r>
    </w:p>
    <w:p w:rsidR="00B61503" w:rsidRPr="001A6261" w:rsidRDefault="00300A1B" w:rsidP="00645687">
      <w:pPr>
        <w:pStyle w:val="Heading2"/>
        <w:numPr>
          <w:ilvl w:val="1"/>
          <w:numId w:val="19"/>
        </w:numPr>
      </w:pPr>
      <w:bookmarkStart w:id="1652" w:name="_Toc302582395"/>
      <w:bookmarkStart w:id="1653" w:name="_Toc305690054"/>
      <w:r>
        <w:lastRenderedPageBreak/>
        <w:tab/>
      </w:r>
      <w:bookmarkStart w:id="1654" w:name="_Toc306570746"/>
      <w:bookmarkStart w:id="1655" w:name="_Toc307067806"/>
      <w:bookmarkStart w:id="1656" w:name="_Toc312169374"/>
      <w:bookmarkStart w:id="1657" w:name="_Toc312172301"/>
      <w:bookmarkStart w:id="1658" w:name="_Toc312257850"/>
      <w:r w:rsidR="00B61503" w:rsidRPr="001A6261">
        <w:t>Discovery of novel biomarkers</w:t>
      </w:r>
      <w:bookmarkEnd w:id="1652"/>
      <w:bookmarkEnd w:id="1653"/>
      <w:bookmarkEnd w:id="1654"/>
      <w:bookmarkEnd w:id="1655"/>
      <w:bookmarkEnd w:id="1656"/>
      <w:bookmarkEnd w:id="1657"/>
      <w:bookmarkEnd w:id="1658"/>
    </w:p>
    <w:p w:rsidR="00B61503" w:rsidRDefault="00300A1B" w:rsidP="00645687">
      <w:pPr>
        <w:pStyle w:val="Heading2"/>
        <w:numPr>
          <w:ilvl w:val="2"/>
          <w:numId w:val="19"/>
        </w:numPr>
      </w:pPr>
      <w:bookmarkStart w:id="1659" w:name="_Toc302582396"/>
      <w:bookmarkStart w:id="1660" w:name="_Toc305690055"/>
      <w:r>
        <w:tab/>
      </w:r>
      <w:bookmarkStart w:id="1661" w:name="_Toc306570747"/>
      <w:bookmarkStart w:id="1662" w:name="_Toc307067807"/>
      <w:bookmarkStart w:id="1663" w:name="_Toc312169375"/>
      <w:bookmarkStart w:id="1664" w:name="_Toc312172302"/>
      <w:bookmarkStart w:id="1665" w:name="_Toc312257851"/>
      <w:r w:rsidR="00B61503" w:rsidRPr="001A6261">
        <w:t>Discussion background</w:t>
      </w:r>
      <w:bookmarkEnd w:id="1659"/>
      <w:bookmarkEnd w:id="1660"/>
      <w:bookmarkEnd w:id="1661"/>
      <w:bookmarkEnd w:id="1662"/>
      <w:bookmarkEnd w:id="1663"/>
      <w:bookmarkEnd w:id="1664"/>
      <w:bookmarkEnd w:id="1665"/>
    </w:p>
    <w:p w:rsidR="00830F91" w:rsidRPr="00830F91" w:rsidRDefault="00830F91" w:rsidP="00057B42">
      <w:pPr>
        <w:spacing w:line="360" w:lineRule="auto"/>
        <w:rPr>
          <w:lang w:eastAsia="en-US"/>
        </w:rPr>
      </w:pPr>
    </w:p>
    <w:p w:rsidR="00B61503" w:rsidRDefault="00B61503" w:rsidP="00057B42">
      <w:pPr>
        <w:spacing w:line="360" w:lineRule="auto"/>
        <w:jc w:val="both"/>
        <w:rPr>
          <w:color w:val="000000"/>
        </w:rPr>
      </w:pPr>
      <w:r w:rsidRPr="00BF6358">
        <w:rPr>
          <w:color w:val="000000"/>
        </w:rPr>
        <w:t xml:space="preserve">Myeloma is a progressive cancer derived from a type of B cell called a plasma cell. Myeloma is characterized by excessive numbers of plasma cells in the bone marrow and the overproduction of antibody. Myeloma stimulates bone marrow cells to produce growth factors called lymphokines that promote the creation of new blood vessels and promote cancer growth and cancer spread. </w:t>
      </w:r>
      <w:r>
        <w:rPr>
          <w:bCs/>
          <w:color w:val="000000"/>
        </w:rPr>
        <w:fldChar w:fldCharType="begin">
          <w:fldData xml:space="preserve">PEVuZE5vdGU+PENpdGU+PEF1dGhvcj5GZXJyZXJpPC9BdXRob3I+PFllYXI+MjAwNjwvWWVhcj48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</w:fldData>
        </w:fldChar>
      </w:r>
      <w:r w:rsidR="006F41FE">
        <w:rPr>
          <w:bCs/>
          <w:color w:val="000000"/>
        </w:rPr>
        <w:instrText xml:space="preserve"> ADDIN EN.CITE </w:instrText>
      </w:r>
      <w:r w:rsidR="006F41FE">
        <w:rPr>
          <w:bCs/>
          <w:color w:val="000000"/>
        </w:rPr>
        <w:fldChar w:fldCharType="begin">
          <w:fldData xml:space="preserve">PEVuZE5vdGU+PENpdGU+PEF1dGhvcj5GZXJyZXJpPC9BdXRob3I+PFllYXI+MjAwNjwvWWVhcj48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</w:fldData>
        </w:fldChar>
      </w:r>
      <w:r w:rsidR="006F41FE">
        <w:rPr>
          <w:bCs/>
          <w:color w:val="000000"/>
        </w:rPr>
        <w:instrText xml:space="preserve"> ADDIN EN.CITE.DATA </w:instrText>
      </w:r>
      <w:r w:rsidR="006F41FE">
        <w:rPr>
          <w:bCs/>
          <w:color w:val="000000"/>
        </w:rPr>
      </w:r>
      <w:r w:rsidR="006F41FE">
        <w:rPr>
          <w:bCs/>
          <w:color w:val="000000"/>
        </w:rPr>
        <w:fldChar w:fldCharType="end"/>
      </w:r>
      <w:r>
        <w:rPr>
          <w:bCs/>
          <w:color w:val="000000"/>
        </w:rPr>
      </w:r>
      <w:r>
        <w:rPr>
          <w:bCs/>
          <w:color w:val="000000"/>
        </w:rPr>
        <w:fldChar w:fldCharType="separate"/>
      </w:r>
      <w:r w:rsidR="006F41FE">
        <w:rPr>
          <w:bCs/>
          <w:noProof/>
          <w:color w:val="000000"/>
        </w:rPr>
        <w:t>(</w:t>
      </w:r>
      <w:hyperlink w:anchor="_ENREF_122" w:tooltip="Ferreri, 2006 #792" w:history="1">
        <w:r w:rsidR="004A784D">
          <w:rPr>
            <w:bCs/>
            <w:noProof/>
            <w:color w:val="000000"/>
          </w:rPr>
          <w:t>Ferreri, 2006</w:t>
        </w:r>
      </w:hyperlink>
      <w:r w:rsidR="006F41FE">
        <w:rPr>
          <w:bCs/>
          <w:noProof/>
          <w:color w:val="000000"/>
        </w:rPr>
        <w:t xml:space="preserve">, </w:t>
      </w:r>
      <w:hyperlink w:anchor="_ENREF_465" w:tooltip="Zhan, 2006 #769" w:history="1">
        <w:r w:rsidR="004A784D">
          <w:rPr>
            <w:bCs/>
            <w:noProof/>
            <w:color w:val="000000"/>
          </w:rPr>
          <w:t>Zhan et al., 2006</w:t>
        </w:r>
      </w:hyperlink>
      <w:r w:rsidR="006F41FE">
        <w:rPr>
          <w:bCs/>
          <w:noProof/>
          <w:color w:val="000000"/>
        </w:rPr>
        <w:t>)</w:t>
      </w:r>
      <w:r>
        <w:rPr>
          <w:bCs/>
          <w:color w:val="000000"/>
        </w:rPr>
        <w:fldChar w:fldCharType="end"/>
      </w:r>
      <w:r w:rsidRPr="001A6261">
        <w:rPr>
          <w:color w:val="000000"/>
        </w:rPr>
        <w:t>.</w:t>
      </w:r>
      <w:r>
        <w:rPr>
          <w:color w:val="000000"/>
        </w:rPr>
        <w:t xml:space="preserve"> </w:t>
      </w:r>
    </w:p>
    <w:p w:rsidR="008E15EA" w:rsidRDefault="008E15EA"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MM causes about 1% of neoplastic diseases and 13% of haematological malignancies in the USA. The incidence is about 4-6 per 100</w:t>
      </w:r>
      <w:r>
        <w:rPr>
          <w:color w:val="000000"/>
        </w:rPr>
        <w:t>000 people</w:t>
      </w:r>
      <w:r w:rsidRPr="001A6261">
        <w:rPr>
          <w:color w:val="000000"/>
        </w:rPr>
        <w:t xml:space="preserve"> developed countries. In Ireland, approximately 250 patients are diagnosed wi</w:t>
      </w:r>
      <w:r>
        <w:rPr>
          <w:color w:val="000000"/>
        </w:rPr>
        <w:t xml:space="preserve">th MM each year. </w:t>
      </w:r>
      <w:r w:rsidRPr="00BF6358">
        <w:rPr>
          <w:color w:val="000000"/>
        </w:rPr>
        <w:t>Eventually the increased numbers of myeloma cells cause the destruction of heal</w:t>
      </w:r>
      <w:r>
        <w:rPr>
          <w:color w:val="000000"/>
        </w:rPr>
        <w:t>thy bone and bone marrow tissue,</w:t>
      </w:r>
      <w:r w:rsidRPr="00BF6358">
        <w:rPr>
          <w:color w:val="000000"/>
        </w:rPr>
        <w:t xml:space="preserve"> </w:t>
      </w:r>
      <w:r w:rsidRPr="001A6261">
        <w:rPr>
          <w:color w:val="000000"/>
        </w:rPr>
        <w:t>skeletal destruction</w:t>
      </w:r>
      <w:r>
        <w:rPr>
          <w:color w:val="000000"/>
        </w:rPr>
        <w:t xml:space="preserve">, </w:t>
      </w:r>
      <w:r w:rsidRPr="001A6261">
        <w:rPr>
          <w:color w:val="000000"/>
        </w:rPr>
        <w:t>renal failure, anaemia, and hyper calc</w:t>
      </w:r>
      <w:r w:rsidR="004D56C5">
        <w:rPr>
          <w:color w:val="000000"/>
        </w:rPr>
        <w:t>a</w:t>
      </w:r>
      <w:r w:rsidRPr="001A6261">
        <w:rPr>
          <w:color w:val="000000"/>
        </w:rPr>
        <w:t>emia</w:t>
      </w:r>
      <w:r>
        <w:rPr>
          <w:color w:val="000000"/>
        </w:rPr>
        <w:t xml:space="preserve"> and</w:t>
      </w:r>
      <w:r w:rsidRPr="004F6936">
        <w:rPr>
          <w:color w:val="000000"/>
        </w:rPr>
        <w:t xml:space="preserve"> </w:t>
      </w:r>
      <w:r w:rsidRPr="00BF6358">
        <w:rPr>
          <w:color w:val="000000"/>
        </w:rPr>
        <w:t>increases susceptibility to infection</w:t>
      </w:r>
      <w:r w:rsidR="00AA6539">
        <w:rPr>
          <w:color w:val="000000"/>
        </w:rPr>
        <w:t xml:space="preserve"> </w:t>
      </w:r>
      <w:r w:rsidR="00FC0203">
        <w:rPr>
          <w:color w:val="000000"/>
        </w:rPr>
        <w:t>(Figure 4-</w:t>
      </w:r>
      <w:r>
        <w:rPr>
          <w:color w:val="000000"/>
        </w:rPr>
        <w:t>1)</w:t>
      </w:r>
      <w:r w:rsidRPr="001A6261">
        <w:rPr>
          <w:color w:val="000000"/>
        </w:rPr>
        <w:t xml:space="preserve"> </w:t>
      </w:r>
      <w:r>
        <w:rPr>
          <w:color w:val="000000"/>
        </w:rPr>
        <w:fldChar w:fldCharType="begin"/>
      </w:r>
      <w:r w:rsidR="006F41FE">
        <w:rPr>
          <w:color w:val="000000"/>
        </w:rPr>
        <w:instrText xml:space="preserve"> ADDIN EN.CITE &lt;EndNote&gt;&lt;Cite&gt;&lt;Author&gt;San Miguel&lt;/Author&gt;&lt;Year&gt;2005&lt;/Year&gt;&lt;RecNum&gt;862&lt;/RecNum&gt;&lt;DisplayText&gt;(San Miguel and Garcia-Sanz, 2005)&lt;/DisplayText&gt;&lt;record&gt;&lt;rec-number&gt;862&lt;/rec-number&gt;&lt;foreign-keys&gt;&lt;key app="EN" db-id="0t5strfpn5eaw2e2r0n5z25xfarxp95959a0"&gt;862&lt;/key&gt;&lt;/foreign-keys&gt;&lt;ref-type name="Journal Article"&gt;17&lt;/ref-type&gt;&lt;contributors&gt;&lt;authors&gt;&lt;author&gt;San Miguel, J. F.&lt;/author&gt;&lt;author&gt;Garcia-Sanz, R.&lt;/author&gt;&lt;/authors&gt;&lt;/contributors&gt;&lt;auth-address&gt;Department of Hematology, University Hospital of Salamanca, Paseo de San Vicente, 58-182, Salamanca 37007, Spain. sanmigiz@usal.es&lt;/auth-address&gt;&lt;titles&gt;&lt;title&gt;Prognostic features of multiple myeloma&lt;/title&gt;&lt;secondary-title&gt;Best Pract Res Clin Haematol&lt;/secondary-title&gt;&lt;/titles&gt;&lt;periodical&gt;&lt;full-title&gt;Best Pract Res Clin Haematol&lt;/full-title&gt;&lt;/periodical&gt;&lt;pages&gt;569-83&lt;/pages&gt;&lt;volume&gt;18&lt;/volume&gt;&lt;number&gt;4&lt;/number&gt;&lt;edition&gt;2005/07/20&lt;/edition&gt;&lt;keywords&gt;&lt;keyword&gt;Hematopoietic Stem Cell Transplantation/methods&lt;/keyword&gt;&lt;keyword&gt;Humans&lt;/keyword&gt;&lt;keyword&gt;Multiple Myeloma/*diagnosis/therapy&lt;/keyword&gt;&lt;keyword&gt;Prognosis&lt;/keyword&gt;&lt;keyword&gt;Risk Factors&lt;/keyword&gt;&lt;keyword&gt;Treatment Outcome&lt;/keyword&gt;&lt;keyword&gt;Tumor Burden&lt;/keyword&gt;&lt;/keywords&gt;&lt;dates&gt;&lt;year&gt;2005&lt;/year&gt;&lt;/dates&gt;&lt;isbn&gt;1521-6926 (Print)&amp;#xD;1521-6926 (Linking)&lt;/isbn&gt;&lt;accession-num&gt;16026738&lt;/accession-num&gt;&lt;urls&gt;&lt;related-urls&gt;&lt;url&gt;http://www.ncbi.nlm.nih.gov/pubmed/16026738&lt;/url&gt;&lt;/related-urls&gt;&lt;/urls&gt;&lt;electronic-resource-num&gt;S1521-6926(05)00013-7 [pii]&amp;#xD;10.1016/j.beha.2005.01.012&lt;/electronic-resource-num&gt;&lt;language&gt;eng&lt;/language&gt;&lt;/record&gt;&lt;/Cite&gt;&lt;/EndNote&gt;</w:instrText>
      </w:r>
      <w:r>
        <w:rPr>
          <w:color w:val="000000"/>
        </w:rPr>
        <w:fldChar w:fldCharType="separate"/>
      </w:r>
      <w:r w:rsidR="006F41FE">
        <w:rPr>
          <w:noProof/>
          <w:color w:val="000000"/>
        </w:rPr>
        <w:t>(</w:t>
      </w:r>
      <w:hyperlink w:anchor="_ENREF_365" w:tooltip="San Miguel, 2005 #862" w:history="1">
        <w:r w:rsidR="004A784D">
          <w:rPr>
            <w:noProof/>
            <w:color w:val="000000"/>
          </w:rPr>
          <w:t>San Miguel and Garcia-Sanz, 2005</w:t>
        </w:r>
      </w:hyperlink>
      <w:r w:rsidR="006F41FE">
        <w:rPr>
          <w:noProof/>
          <w:color w:val="000000"/>
        </w:rPr>
        <w:t>)</w:t>
      </w:r>
      <w:r>
        <w:rPr>
          <w:color w:val="000000"/>
        </w:rPr>
        <w:fldChar w:fldCharType="end"/>
      </w:r>
      <w:r w:rsidRPr="001A6261">
        <w:rPr>
          <w:color w:val="000000"/>
        </w:rPr>
        <w:t xml:space="preserve">. </w:t>
      </w:r>
    </w:p>
    <w:p w:rsidR="00B61503" w:rsidRDefault="00B61503" w:rsidP="00057B42">
      <w:pPr>
        <w:spacing w:line="360" w:lineRule="auto"/>
        <w:jc w:val="both"/>
        <w:rPr>
          <w:color w:val="000000"/>
        </w:rPr>
      </w:pPr>
    </w:p>
    <w:p w:rsidR="00B61503" w:rsidRDefault="00ED7D82" w:rsidP="00057B42">
      <w:pPr>
        <w:keepNext/>
        <w:spacing w:line="360" w:lineRule="auto"/>
        <w:jc w:val="center"/>
        <w:rPr>
          <w:color w:val="000000"/>
        </w:rPr>
      </w:pPr>
      <w:r>
        <w:rPr>
          <w:noProof/>
          <w:color w:val="000000"/>
          <w:lang w:eastAsia="en-IE"/>
        </w:rPr>
        <w:lastRenderedPageBreak/>
        <w:drawing>
          <wp:inline distT="0" distB="0" distL="0" distR="0" wp14:anchorId="528FA699" wp14:editId="6BF71545">
            <wp:extent cx="4330700" cy="390779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a:extLst>
                        <a:ext uri="{28A0092B-C50C-407E-A947-70E740481C1C}">
                          <a14:useLocalDpi xmlns:a14="http://schemas.microsoft.com/office/drawing/2010/main" val="0"/>
                        </a:ext>
                      </a:extLst>
                    </a:blip>
                    <a:srcRect l="1219" t="2264" r="1012"/>
                    <a:stretch>
                      <a:fillRect/>
                    </a:stretch>
                  </pic:blipFill>
                  <pic:spPr bwMode="auto">
                    <a:xfrm>
                      <a:off x="0" y="0"/>
                      <a:ext cx="4330700" cy="3907790"/>
                    </a:xfrm>
                    <a:prstGeom prst="rect">
                      <a:avLst/>
                    </a:prstGeom>
                    <a:noFill/>
                    <a:ln>
                      <a:noFill/>
                    </a:ln>
                  </pic:spPr>
                </pic:pic>
              </a:graphicData>
            </a:graphic>
          </wp:inline>
        </w:drawing>
      </w:r>
    </w:p>
    <w:p w:rsidR="00AA6539" w:rsidRDefault="00AA6539" w:rsidP="00057B42">
      <w:pPr>
        <w:keepNext/>
        <w:spacing w:line="360" w:lineRule="auto"/>
        <w:jc w:val="center"/>
        <w:rPr>
          <w:color w:val="000000"/>
        </w:rPr>
      </w:pPr>
    </w:p>
    <w:p w:rsidR="00D74982" w:rsidRDefault="00B61503" w:rsidP="00057B42">
      <w:pPr>
        <w:pStyle w:val="Caption"/>
        <w:numPr>
          <w:ilvl w:val="0"/>
          <w:numId w:val="18"/>
        </w:numPr>
        <w:pBdr>
          <w:bottom w:val="single" w:sz="12" w:space="1" w:color="auto"/>
        </w:pBdr>
        <w:spacing w:after="200"/>
        <w:ind w:left="0" w:firstLine="0"/>
        <w:jc w:val="both"/>
      </w:pPr>
      <w:r w:rsidRPr="00D74982">
        <w:t>Shows myeloma cells interaction with microenvironment; stromal, osteoclast, epithelial cells through various cytokines (Adopted from ‘biology of Cancer – Myeloma, Jerome Tanner’ ISBN-10: 0-7910-8824-3).</w:t>
      </w:r>
    </w:p>
    <w:p w:rsidR="00B61503" w:rsidRDefault="00B61503" w:rsidP="00057B42">
      <w:pPr>
        <w:pStyle w:val="Caption"/>
        <w:pBdr>
          <w:bottom w:val="single" w:sz="12" w:space="1" w:color="auto"/>
        </w:pBdr>
        <w:spacing w:after="200"/>
        <w:jc w:val="both"/>
      </w:pPr>
    </w:p>
    <w:p w:rsidR="00D74982" w:rsidRPr="00D74982" w:rsidRDefault="00D74982" w:rsidP="00057B42">
      <w:pPr>
        <w:spacing w:line="360" w:lineRule="auto"/>
      </w:pPr>
    </w:p>
    <w:p w:rsidR="00B61503" w:rsidRPr="001A6261" w:rsidRDefault="00B61503" w:rsidP="00057B42">
      <w:pPr>
        <w:spacing w:line="360" w:lineRule="auto"/>
        <w:jc w:val="both"/>
        <w:rPr>
          <w:color w:val="000000"/>
        </w:rPr>
      </w:pPr>
      <w:r>
        <w:rPr>
          <w:color w:val="000000"/>
        </w:rPr>
        <w:t>I</w:t>
      </w:r>
      <w:r w:rsidRPr="001A6261">
        <w:rPr>
          <w:color w:val="000000"/>
        </w:rPr>
        <w:t>ncreasing understanding</w:t>
      </w:r>
      <w:r w:rsidRPr="001A6261">
        <w:rPr>
          <w:bCs/>
          <w:color w:val="000000"/>
        </w:rPr>
        <w:t xml:space="preserve"> of pathophysiology </w:t>
      </w:r>
      <w:r>
        <w:rPr>
          <w:bCs/>
          <w:color w:val="000000"/>
        </w:rPr>
        <w:t xml:space="preserve">of MM </w:t>
      </w:r>
      <w:r w:rsidRPr="001A6261">
        <w:rPr>
          <w:bCs/>
          <w:color w:val="000000"/>
        </w:rPr>
        <w:t xml:space="preserve">have resulted in greatly improved treatment options, remission rates and, importantly, disease-free survival.  In addition to treatments to halt MM, improvement in supportive therapies has also greatly impacted on patients’ quality of life (QOL). </w:t>
      </w:r>
      <w:r w:rsidRPr="001A6261">
        <w:rPr>
          <w:color w:val="000000"/>
        </w:rPr>
        <w:t>Though</w:t>
      </w:r>
      <w:r w:rsidRPr="001A6261">
        <w:rPr>
          <w:bCs/>
          <w:color w:val="000000"/>
        </w:rPr>
        <w:t>,</w:t>
      </w:r>
      <w:r w:rsidRPr="001A6261">
        <w:rPr>
          <w:color w:val="000000"/>
        </w:rPr>
        <w:t xml:space="preserve"> MM continues to be an incurable </w:t>
      </w:r>
      <w:r w:rsidRPr="001A6261">
        <w:rPr>
          <w:bCs/>
          <w:color w:val="000000"/>
        </w:rPr>
        <w:t>malignancy</w:t>
      </w:r>
      <w:r>
        <w:rPr>
          <w:bCs/>
          <w:color w:val="000000"/>
        </w:rPr>
        <w:t>. T</w:t>
      </w:r>
      <w:r w:rsidRPr="001A6261">
        <w:rPr>
          <w:color w:val="000000"/>
        </w:rPr>
        <w:t>reatment strategies for multiple myeloma have changed substantially over the past 10 years following the introduction of immunomodulatory drugs thalidomide, lenalido</w:t>
      </w:r>
      <w:r>
        <w:rPr>
          <w:color w:val="000000"/>
        </w:rPr>
        <w:t>mide and the</w:t>
      </w:r>
      <w:r w:rsidRPr="001A6261">
        <w:rPr>
          <w:color w:val="000000"/>
        </w:rPr>
        <w:t xml:space="preserve"> proteasome inhibitor bortezomib</w:t>
      </w:r>
      <w:r w:rsidR="005352E7">
        <w:rPr>
          <w:color w:val="000000"/>
        </w:rPr>
        <w:t xml:space="preserve"> </w:t>
      </w:r>
      <w:r w:rsidR="005352E7">
        <w:rPr>
          <w:color w:val="000000"/>
        </w:rPr>
        <w:fldChar w:fldCharType="begin">
          <w:fldData xml:space="preserve">PEVuZE5vdGU+PENpdGU+PEF1dGhvcj5Kb2huc3RvbjwvQXV0aG9yPjxZZWFyPjIwMDI8L1llYXI+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</w:fldData>
        </w:fldChar>
      </w:r>
      <w:r w:rsidR="005352E7">
        <w:rPr>
          <w:color w:val="000000"/>
        </w:rPr>
        <w:instrText xml:space="preserve"> ADDIN EN.CITE </w:instrText>
      </w:r>
      <w:r w:rsidR="005352E7">
        <w:rPr>
          <w:color w:val="000000"/>
        </w:rPr>
        <w:fldChar w:fldCharType="begin">
          <w:fldData xml:space="preserve">PEVuZE5vdGU+PENpdGU+PEF1dGhvcj5Kb2huc3RvbjwvQXV0aG9yPjxZZWFyPjIwMDI8L1llYXI+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</w:fldData>
        </w:fldChar>
      </w:r>
      <w:r w:rsidR="005352E7">
        <w:rPr>
          <w:color w:val="000000"/>
        </w:rPr>
        <w:instrText xml:space="preserve"> ADDIN EN.CITE.DATA </w:instrText>
      </w:r>
      <w:r w:rsidR="005352E7">
        <w:rPr>
          <w:color w:val="000000"/>
        </w:rPr>
      </w:r>
      <w:r w:rsidR="005352E7">
        <w:rPr>
          <w:color w:val="000000"/>
        </w:rPr>
        <w:fldChar w:fldCharType="end"/>
      </w:r>
      <w:r w:rsidR="005352E7">
        <w:rPr>
          <w:color w:val="000000"/>
        </w:rPr>
      </w:r>
      <w:r w:rsidR="005352E7">
        <w:rPr>
          <w:color w:val="000000"/>
        </w:rPr>
        <w:fldChar w:fldCharType="separate"/>
      </w:r>
      <w:r w:rsidR="005352E7">
        <w:rPr>
          <w:noProof/>
          <w:color w:val="000000"/>
        </w:rPr>
        <w:t>(</w:t>
      </w:r>
      <w:hyperlink w:anchor="_ENREF_194" w:tooltip="Johnston, 2002 #5806" w:history="1">
        <w:r w:rsidR="004A784D">
          <w:rPr>
            <w:noProof/>
            <w:color w:val="000000"/>
          </w:rPr>
          <w:t>Johnston and Abdalla, 2002</w:t>
        </w:r>
      </w:hyperlink>
      <w:r w:rsidR="005352E7">
        <w:rPr>
          <w:noProof/>
          <w:color w:val="000000"/>
        </w:rPr>
        <w:t xml:space="preserve">, </w:t>
      </w:r>
      <w:hyperlink w:anchor="_ENREF_388" w:tooltip="Singhal, 1999 #4933" w:history="1">
        <w:r w:rsidR="004A784D">
          <w:rPr>
            <w:noProof/>
            <w:color w:val="000000"/>
          </w:rPr>
          <w:t>Singhal et al., 1999</w:t>
        </w:r>
      </w:hyperlink>
      <w:r w:rsidR="005352E7">
        <w:rPr>
          <w:noProof/>
          <w:color w:val="000000"/>
        </w:rPr>
        <w:t>)</w:t>
      </w:r>
      <w:r w:rsidR="005352E7">
        <w:rPr>
          <w:color w:val="000000"/>
        </w:rPr>
        <w:fldChar w:fldCharType="end"/>
      </w:r>
      <w:r w:rsidRPr="001A6261">
        <w:rPr>
          <w:color w:val="000000"/>
        </w:rPr>
        <w:t xml:space="preserve">. The 5-year survival rate </w:t>
      </w:r>
      <w:r>
        <w:rPr>
          <w:color w:val="000000"/>
        </w:rPr>
        <w:t xml:space="preserve">for MM </w:t>
      </w:r>
      <w:r w:rsidRPr="001A6261">
        <w:rPr>
          <w:color w:val="000000"/>
        </w:rPr>
        <w:t xml:space="preserve">reported in the </w:t>
      </w:r>
      <w:r>
        <w:rPr>
          <w:color w:val="000000"/>
        </w:rPr>
        <w:t>‘</w:t>
      </w:r>
      <w:r w:rsidRPr="001A6261">
        <w:rPr>
          <w:color w:val="000000"/>
        </w:rPr>
        <w:t>Surveillance Epidemiology</w:t>
      </w:r>
      <w:r>
        <w:rPr>
          <w:color w:val="000000"/>
        </w:rPr>
        <w:t>’</w:t>
      </w:r>
      <w:r w:rsidRPr="001A6261">
        <w:rPr>
          <w:color w:val="000000"/>
        </w:rPr>
        <w:t xml:space="preserve"> and </w:t>
      </w:r>
      <w:r>
        <w:rPr>
          <w:color w:val="000000"/>
        </w:rPr>
        <w:t>‘</w:t>
      </w:r>
      <w:r w:rsidRPr="001A6261">
        <w:rPr>
          <w:color w:val="000000"/>
        </w:rPr>
        <w:t>End Results database</w:t>
      </w:r>
      <w:r>
        <w:rPr>
          <w:color w:val="000000"/>
        </w:rPr>
        <w:t>’</w:t>
      </w:r>
      <w:r w:rsidRPr="001A6261">
        <w:rPr>
          <w:color w:val="000000"/>
        </w:rPr>
        <w:t xml:space="preserve"> has increased from approximately 20% in 1975 to 34% in 2008 owing to newer and more effective treatment options </w:t>
      </w:r>
      <w:r w:rsidRPr="001A6261">
        <w:rPr>
          <w:color w:val="000000"/>
        </w:rPr>
        <w:fldChar w:fldCharType="begin">
          <w:fldData xml:space="preserve">PEVuZE5vdGU+PENpdGU+PEF1dGhvcj5PemFraTwvQXV0aG9yPjxZZWFyPjIwMDk8L1llYXI+PFJl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</w:fldData>
        </w:fldChar>
      </w:r>
      <w:r w:rsidR="006F41FE">
        <w:rPr>
          <w:color w:val="000000"/>
        </w:rPr>
        <w:instrText xml:space="preserve"> ADDIN EN.CITE </w:instrText>
      </w:r>
      <w:r w:rsidR="006F41FE">
        <w:rPr>
          <w:color w:val="000000"/>
        </w:rPr>
        <w:fldChar w:fldCharType="begin">
          <w:fldData xml:space="preserve">PEVuZE5vdGU+PENpdGU+PEF1dGhvcj5PemFraTwvQXV0aG9yPjxZZWFyPjIwMDk8L1llYXI+PFJl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306" w:tooltip="Ozaki, 2009 #1" w:history="1">
        <w:r w:rsidR="004A784D">
          <w:rPr>
            <w:noProof/>
            <w:color w:val="000000"/>
          </w:rPr>
          <w:t>Ozaki, 2009</w:t>
        </w:r>
      </w:hyperlink>
      <w:r w:rsidR="006F41FE">
        <w:rPr>
          <w:noProof/>
          <w:color w:val="000000"/>
        </w:rPr>
        <w:t xml:space="preserve">, </w:t>
      </w:r>
      <w:hyperlink w:anchor="_ENREF_292" w:tooltip="Niparuck, 2010 #170" w:history="1">
        <w:r w:rsidR="004A784D">
          <w:rPr>
            <w:noProof/>
            <w:color w:val="000000"/>
          </w:rPr>
          <w:t>Niparuck et al., 2010</w:t>
        </w:r>
      </w:hyperlink>
      <w:r w:rsidR="006F41FE">
        <w:rPr>
          <w:noProof/>
          <w:color w:val="000000"/>
        </w:rPr>
        <w:t>)</w:t>
      </w:r>
      <w:r w:rsidRPr="001A6261">
        <w:rPr>
          <w:color w:val="000000"/>
        </w:rPr>
        <w:fldChar w:fldCharType="end"/>
      </w:r>
      <w:r w:rsidRPr="001A6261">
        <w:rPr>
          <w:color w:val="000000"/>
        </w:rPr>
        <w:t xml:space="preserve">. </w:t>
      </w:r>
    </w:p>
    <w:p w:rsidR="00856253" w:rsidRDefault="00B61503" w:rsidP="00057B42">
      <w:pPr>
        <w:spacing w:line="360" w:lineRule="auto"/>
        <w:jc w:val="both"/>
        <w:rPr>
          <w:color w:val="000000"/>
        </w:rPr>
      </w:pPr>
      <w:r w:rsidRPr="001A6261">
        <w:rPr>
          <w:color w:val="000000"/>
        </w:rPr>
        <w:lastRenderedPageBreak/>
        <w:t xml:space="preserve">In the front-line setting, combination chemotherapy regimens </w:t>
      </w:r>
      <w:r w:rsidR="00D64857">
        <w:rPr>
          <w:color w:val="000000"/>
        </w:rPr>
        <w:t xml:space="preserve">such as cyclophosphamide and dexamethasone </w:t>
      </w:r>
      <w:r w:rsidRPr="001A6261">
        <w:rPr>
          <w:color w:val="000000"/>
        </w:rPr>
        <w:t>incorporating novel agents are demonstrating substantial activity, which is translating into improved outcomes compared with previous standards of care</w:t>
      </w:r>
      <w:r>
        <w:rPr>
          <w:color w:val="000000"/>
        </w:rPr>
        <w:t xml:space="preserve"> </w:t>
      </w:r>
      <w:r>
        <w:rPr>
          <w:color w:val="000000"/>
        </w:rPr>
        <w:fldChar w:fldCharType="begin"/>
      </w:r>
      <w:r w:rsidR="006F41FE">
        <w:rPr>
          <w:color w:val="000000"/>
        </w:rPr>
        <w:instrText xml:space="preserve"> ADDIN EN.CITE &lt;EndNote&gt;&lt;Cite&gt;&lt;Author&gt;Reece&lt;/Author&gt;&lt;Year&gt;2009&lt;/Year&gt;&lt;RecNum&gt;4837&lt;/RecNum&gt;&lt;DisplayText&gt;(Reece, 2009)&lt;/DisplayText&gt;&lt;record&gt;&lt;rec-number&gt;4837&lt;/rec-number&gt;&lt;foreign-keys&gt;&lt;key app="EN" db-id="zf0awxsaczrdd3eft5qvw9wrtxxawdfrvw2a"&gt;4837&lt;/key&gt;&lt;/foreign-keys&gt;&lt;ref-type name="Journal Article"&gt;17&lt;/ref-type&gt;&lt;contributors&gt;&lt;authors&gt;&lt;author&gt;Reece, D. E.&lt;/author&gt;&lt;/authors&gt;&lt;/contributors&gt;&lt;auth-address&gt;Princess Margaret Hospital, Toronto, Ontario, Canada. donna.reece@uhn.on.ca&lt;/auth-address&gt;&lt;titles&gt;&lt;title&gt;Recent trends in the management of newly diagnosed multiple myeloma&lt;/title&gt;&lt;secondary-title&gt;Curr Opin Hematol&lt;/secondary-title&gt;&lt;/titles&gt;&lt;periodical&gt;&lt;full-title&gt;Curr Opin Hematol&lt;/full-title&gt;&lt;/periodical&gt;&lt;pages&gt;306-12&lt;/pages&gt;&lt;volume&gt;16&lt;/volume&gt;&lt;number&gt;4&lt;/number&gt;&lt;edition&gt;2009/06/06&lt;/edition&gt;&lt;keywords&gt;&lt;keyword&gt;Age Factors&lt;/keyword&gt;&lt;keyword&gt;Aged&lt;/keyword&gt;&lt;keyword&gt;Antineoplastic Combined Chemotherapy Protocols/*therapeutic use&lt;/keyword&gt;&lt;keyword&gt;Humans&lt;/keyword&gt;&lt;keyword&gt;Middle Aged&lt;/keyword&gt;&lt;keyword&gt;Multiple Myeloma/diagnosis/*drug therapy/*surgery&lt;/keyword&gt;&lt;keyword&gt;Randomized Controlled Trials as Topic&lt;/keyword&gt;&lt;keyword&gt;Stem Cell Transplantation/*methods&lt;/keyword&gt;&lt;keyword&gt;Survival Analysis&lt;/keyword&gt;&lt;keyword&gt;Transplantation, Autologous&lt;/keyword&gt;&lt;/keywords&gt;&lt;dates&gt;&lt;year&gt;2009&lt;/year&gt;&lt;pub-dates&gt;&lt;date&gt;Jul&lt;/date&gt;&lt;/pub-dates&gt;&lt;/dates&gt;&lt;isbn&gt;1531-7048 (Electronic)&amp;#xD;1065-6251 (Linking)&lt;/isbn&gt;&lt;accession-num&gt;19491669&lt;/accession-num&gt;&lt;urls&gt;&lt;related-urls&gt;&lt;url&gt;http://www.ncbi.nlm.nih.gov/pubmed/19491669&lt;/url&gt;&lt;/related-urls&gt;&lt;/urls&gt;&lt;electronic-resource-num&gt;10.1097/MOH.0b013e32832e3154&lt;/electronic-resource-num&gt;&lt;language&gt;eng&lt;/language&gt;&lt;/record&gt;&lt;/Cite&gt;&lt;/EndNote&gt;</w:instrText>
      </w:r>
      <w:r>
        <w:rPr>
          <w:color w:val="000000"/>
        </w:rPr>
        <w:fldChar w:fldCharType="separate"/>
      </w:r>
      <w:r w:rsidR="006F41FE">
        <w:rPr>
          <w:noProof/>
          <w:color w:val="000000"/>
        </w:rPr>
        <w:t>(</w:t>
      </w:r>
      <w:hyperlink w:anchor="_ENREF_341" w:tooltip="Reece, 2009 #4837" w:history="1">
        <w:r w:rsidR="004A784D">
          <w:rPr>
            <w:noProof/>
            <w:color w:val="000000"/>
          </w:rPr>
          <w:t>Reece, 2009</w:t>
        </w:r>
      </w:hyperlink>
      <w:r w:rsidR="006F41FE">
        <w:rPr>
          <w:noProof/>
          <w:color w:val="000000"/>
        </w:rPr>
        <w:t>)</w:t>
      </w:r>
      <w:r>
        <w:rPr>
          <w:color w:val="000000"/>
        </w:rPr>
        <w:fldChar w:fldCharType="end"/>
      </w:r>
      <w:r w:rsidR="00AA6539">
        <w:rPr>
          <w:color w:val="000000"/>
        </w:rPr>
        <w:t xml:space="preserve">. </w:t>
      </w:r>
      <w:r w:rsidRPr="001A6261">
        <w:rPr>
          <w:color w:val="000000"/>
        </w:rPr>
        <w:t xml:space="preserve">MM is typically sensitive to a variety of novel and cytotoxic drugs, both as initial treatment or as </w:t>
      </w:r>
      <w:r>
        <w:rPr>
          <w:color w:val="000000"/>
        </w:rPr>
        <w:t xml:space="preserve">part of the </w:t>
      </w:r>
      <w:r w:rsidRPr="001A6261">
        <w:rPr>
          <w:color w:val="000000"/>
        </w:rPr>
        <w:t>treatment of relapsed disease. Selecting optimal front-line therapy can be difficult, as there is no head-to-head trial data</w:t>
      </w:r>
      <w:r>
        <w:rPr>
          <w:color w:val="000000"/>
        </w:rPr>
        <w:t xml:space="preserve"> </w:t>
      </w:r>
      <w:r>
        <w:rPr>
          <w:color w:val="000000"/>
        </w:rPr>
        <w:fldChar w:fldCharType="begin"/>
      </w:r>
      <w:r w:rsidR="006F41FE">
        <w:rPr>
          <w:color w:val="000000"/>
        </w:rPr>
        <w:instrText xml:space="preserve"> ADDIN EN.CITE &lt;EndNote&gt;&lt;Cite&gt;&lt;Author&gt;Hughes&lt;/Author&gt;&lt;Year&gt;2005&lt;/Year&gt;&lt;RecNum&gt;873&lt;/RecNum&gt;&lt;DisplayText&gt;(Hughes and Soutar, 2005)&lt;/DisplayText&gt;&lt;record&gt;&lt;rec-number&gt;873&lt;/rec-number&gt;&lt;foreign-keys&gt;&lt;key app="EN" db-id="0t5strfpn5eaw2e2r0n5z25xfarxp95959a0"&gt;873&lt;/key&gt;&lt;/foreign-keys&gt;&lt;ref-type name="Journal Article"&gt;17&lt;/ref-type&gt;&lt;contributors&gt;&lt;authors&gt;&lt;author&gt;Hughes, M.&lt;/author&gt;&lt;author&gt;Soutar, R. L.&lt;/author&gt;&lt;/authors&gt;&lt;/contributors&gt;&lt;auth-address&gt;Department of Haematology, Western Infirmary, Glasgow. rls4m@clinmed.gla.ac.uk&lt;/auth-address&gt;&lt;titles&gt;&lt;title&gt;Advances in the management of myeloma&lt;/title&gt;&lt;secondary-title&gt;Scott Med J&lt;/secondary-title&gt;&lt;/titles&gt;&lt;periodical&gt;&lt;full-title&gt;Scott Med J&lt;/full-title&gt;&lt;/periodical&gt;&lt;pages&gt;47-50&lt;/pages&gt;&lt;volume&gt;50&lt;/volume&gt;&lt;number&gt;2&lt;/number&gt;&lt;edition&gt;2005/06/28&lt;/edition&gt;&lt;keywords&gt;&lt;keyword&gt;Bone Marrow Neoplasms/diagnosis/drug therapy/*therapy&lt;/keyword&gt;&lt;keyword&gt;Bone Marrow Transplantation&lt;/keyword&gt;&lt;keyword&gt;Humans&lt;/keyword&gt;&lt;keyword&gt;Medical Oncology/*trends&lt;/keyword&gt;&lt;keyword&gt;Multiple Myeloma/diagnosis/drug therapy/*therapy&lt;/keyword&gt;&lt;keyword&gt;Neoplasm Staging&lt;/keyword&gt;&lt;keyword&gt;Prognosis&lt;/keyword&gt;&lt;keyword&gt;Tumor Markers, Biological&lt;/keyword&gt;&lt;/keywords&gt;&lt;dates&gt;&lt;year&gt;2005&lt;/year&gt;&lt;pub-dates&gt;&lt;date&gt;May&lt;/date&gt;&lt;/pub-dates&gt;&lt;/dates&gt;&lt;isbn&gt;0036-9330 (Print)&amp;#xD;0036-9330 (Linking)&lt;/isbn&gt;&lt;accession-num&gt;15977512&lt;/accession-num&gt;&lt;urls&gt;&lt;related-urls&gt;&lt;url&gt;http://www.ncbi.nlm.nih.gov/pubmed/15977512&lt;/url&gt;&lt;/related-urls&gt;&lt;/urls&gt;&lt;language&gt;eng&lt;/language&gt;&lt;/record&gt;&lt;/Cite&gt;&lt;/EndNote&gt;</w:instrText>
      </w:r>
      <w:r>
        <w:rPr>
          <w:color w:val="000000"/>
        </w:rPr>
        <w:fldChar w:fldCharType="separate"/>
      </w:r>
      <w:r w:rsidR="006F41FE">
        <w:rPr>
          <w:noProof/>
          <w:color w:val="000000"/>
        </w:rPr>
        <w:t>(</w:t>
      </w:r>
      <w:hyperlink w:anchor="_ENREF_187" w:tooltip="Hughes, 2005 #873" w:history="1">
        <w:r w:rsidR="004A784D">
          <w:rPr>
            <w:noProof/>
            <w:color w:val="000000"/>
          </w:rPr>
          <w:t>Hughes and Soutar, 2005</w:t>
        </w:r>
      </w:hyperlink>
      <w:r w:rsidR="006F41FE">
        <w:rPr>
          <w:noProof/>
          <w:color w:val="000000"/>
        </w:rPr>
        <w:t>)</w:t>
      </w:r>
      <w:r>
        <w:rPr>
          <w:color w:val="000000"/>
        </w:rPr>
        <w:fldChar w:fldCharType="end"/>
      </w:r>
      <w:r w:rsidRPr="001A6261">
        <w:rPr>
          <w:color w:val="000000"/>
        </w:rPr>
        <w:t xml:space="preserve">. </w:t>
      </w:r>
    </w:p>
    <w:p w:rsidR="008E15EA" w:rsidRDefault="008E15EA" w:rsidP="00057B42">
      <w:pPr>
        <w:spacing w:line="360" w:lineRule="auto"/>
        <w:jc w:val="both"/>
        <w:rPr>
          <w:color w:val="000000"/>
        </w:rPr>
      </w:pPr>
    </w:p>
    <w:p w:rsidR="00856253" w:rsidRDefault="00B61503" w:rsidP="00057B42">
      <w:pPr>
        <w:spacing w:line="360" w:lineRule="auto"/>
        <w:jc w:val="both"/>
        <w:rPr>
          <w:color w:val="000000"/>
        </w:rPr>
      </w:pPr>
      <w:r w:rsidRPr="001A6261">
        <w:rPr>
          <w:color w:val="000000"/>
        </w:rPr>
        <w:t>Firstly; selection of optimal treatment in newly diagnosed patients is based on available</w:t>
      </w:r>
      <w:r>
        <w:rPr>
          <w:color w:val="000000"/>
        </w:rPr>
        <w:t xml:space="preserve"> clinical evidence and the risk</w:t>
      </w:r>
      <w:r w:rsidRPr="001A6261">
        <w:rPr>
          <w:color w:val="000000"/>
        </w:rPr>
        <w:t xml:space="preserve"> benefit profiles of the various therapies assessed according to key presenting features, as described below. </w:t>
      </w:r>
    </w:p>
    <w:p w:rsidR="00856253"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Secondly, while the response versus lack of response to therapy can be detected and monitored on an on-going basis (e.g. by measuring serum M-protein, serum free light chain assay, B2M, assessment of percentage of plasma cell in the bone marrow, whole body MRI </w:t>
      </w:r>
      <w:r w:rsidR="0010315E">
        <w:rPr>
          <w:color w:val="000000"/>
        </w:rPr>
        <w:t>and</w:t>
      </w:r>
      <w:r w:rsidRPr="001A6261">
        <w:rPr>
          <w:color w:val="000000"/>
        </w:rPr>
        <w:t xml:space="preserve"> skeletal survey to monitor bony lesions) unfortunately, there is no way of predicting response to given therapies. Therefore</w:t>
      </w:r>
      <w:r>
        <w:rPr>
          <w:color w:val="000000"/>
        </w:rPr>
        <w:t>, such information would</w:t>
      </w:r>
      <w:r w:rsidRPr="001A6261">
        <w:rPr>
          <w:color w:val="000000"/>
        </w:rPr>
        <w:t xml:space="preserve"> undoubtedly aid in choosing the best possible treatment regimen</w:t>
      </w:r>
      <w:r>
        <w:rPr>
          <w:color w:val="000000"/>
        </w:rPr>
        <w:t xml:space="preserve"> </w:t>
      </w:r>
      <w:r>
        <w:rPr>
          <w:color w:val="000000"/>
        </w:rPr>
        <w:fldChar w:fldCharType="begin">
          <w:fldData xml:space="preserve">PEVuZE5vdGU+PENpdGU+PEF1dGhvcj5CZXJnc2FnZWw8L0F1dGhvcj48WWVhcj4yMDA3PC9ZZWFy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</w:fldData>
        </w:fldChar>
      </w:r>
      <w:r w:rsidR="006F41FE">
        <w:rPr>
          <w:color w:val="000000"/>
        </w:rPr>
        <w:instrText xml:space="preserve"> ADDIN EN.CITE </w:instrText>
      </w:r>
      <w:r w:rsidR="006F41FE">
        <w:rPr>
          <w:color w:val="000000"/>
        </w:rPr>
        <w:fldChar w:fldCharType="begin">
          <w:fldData xml:space="preserve">PEVuZE5vdGU+PENpdGU+PEF1dGhvcj5CZXJnc2FnZWw8L0F1dGhvcj48WWVhcj4yMDA3PC9ZZWFy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</w:fldData>
        </w:fldChar>
      </w:r>
      <w:r w:rsidR="006F41FE">
        <w:rPr>
          <w:color w:val="000000"/>
        </w:rPr>
        <w:instrText xml:space="preserve"> ADDIN EN.CITE.DATA </w:instrText>
      </w:r>
      <w:r w:rsidR="006F41FE">
        <w:rPr>
          <w:color w:val="000000"/>
        </w:rPr>
      </w:r>
      <w:r w:rsidR="006F41FE">
        <w:rPr>
          <w:color w:val="000000"/>
        </w:rPr>
        <w:fldChar w:fldCharType="end"/>
      </w:r>
      <w:r>
        <w:rPr>
          <w:color w:val="000000"/>
        </w:rPr>
      </w:r>
      <w:r>
        <w:rPr>
          <w:color w:val="000000"/>
        </w:rPr>
        <w:fldChar w:fldCharType="separate"/>
      </w:r>
      <w:r w:rsidR="006F41FE">
        <w:rPr>
          <w:noProof/>
          <w:color w:val="000000"/>
        </w:rPr>
        <w:t>(</w:t>
      </w:r>
      <w:hyperlink w:anchor="_ENREF_41" w:tooltip="Bergsagel, 2007 #641" w:history="1">
        <w:r w:rsidR="004A784D">
          <w:rPr>
            <w:noProof/>
            <w:color w:val="000000"/>
          </w:rPr>
          <w:t>Bergsagel, 2007</w:t>
        </w:r>
      </w:hyperlink>
      <w:r w:rsidR="006F41FE">
        <w:rPr>
          <w:noProof/>
          <w:color w:val="000000"/>
        </w:rPr>
        <w:t xml:space="preserve">, </w:t>
      </w:r>
      <w:hyperlink w:anchor="_ENREF_326" w:tooltip="Polson, 2009 #404" w:history="1">
        <w:r w:rsidR="004A784D">
          <w:rPr>
            <w:noProof/>
            <w:color w:val="000000"/>
          </w:rPr>
          <w:t>Polson and Sliwkowski, 2009</w:t>
        </w:r>
      </w:hyperlink>
      <w:r w:rsidR="006F41FE">
        <w:rPr>
          <w:noProof/>
          <w:color w:val="000000"/>
        </w:rPr>
        <w:t>)</w:t>
      </w:r>
      <w:r>
        <w:rPr>
          <w:color w:val="000000"/>
        </w:rPr>
        <w:fldChar w:fldCharType="end"/>
      </w:r>
      <w:r w:rsidRPr="001A6261">
        <w:rPr>
          <w:color w:val="000000"/>
        </w:rPr>
        <w:t>.</w:t>
      </w:r>
    </w:p>
    <w:p w:rsidR="00B61503" w:rsidRDefault="00B61503" w:rsidP="00057B42">
      <w:pPr>
        <w:spacing w:line="360" w:lineRule="auto"/>
        <w:jc w:val="both"/>
        <w:rPr>
          <w:color w:val="000000"/>
        </w:rPr>
      </w:pPr>
    </w:p>
    <w:p w:rsidR="00B61503" w:rsidRPr="001A6261" w:rsidRDefault="00B55EFC" w:rsidP="00645687">
      <w:pPr>
        <w:pStyle w:val="Heading2"/>
        <w:numPr>
          <w:ilvl w:val="2"/>
          <w:numId w:val="19"/>
        </w:numPr>
      </w:pPr>
      <w:bookmarkStart w:id="1666" w:name="_Toc302582397"/>
      <w:bookmarkStart w:id="1667" w:name="_Toc305690056"/>
      <w:bookmarkStart w:id="1668" w:name="_Toc306570748"/>
      <w:bookmarkStart w:id="1669" w:name="_Toc307067808"/>
      <w:r>
        <w:tab/>
      </w:r>
      <w:bookmarkStart w:id="1670" w:name="_Toc312169376"/>
      <w:bookmarkStart w:id="1671" w:name="_Toc312172303"/>
      <w:bookmarkStart w:id="1672" w:name="_Toc312257852"/>
      <w:r w:rsidR="00B61503" w:rsidRPr="001A6261">
        <w:t>Current MM therapies</w:t>
      </w:r>
      <w:bookmarkEnd w:id="1666"/>
      <w:bookmarkEnd w:id="1667"/>
      <w:bookmarkEnd w:id="1668"/>
      <w:bookmarkEnd w:id="1669"/>
      <w:bookmarkEnd w:id="1670"/>
      <w:bookmarkEnd w:id="1671"/>
      <w:bookmarkEnd w:id="1672"/>
    </w:p>
    <w:p w:rsidR="00B61503" w:rsidRDefault="00B61503" w:rsidP="00AA6539">
      <w:pPr>
        <w:tabs>
          <w:tab w:val="num" w:pos="720"/>
        </w:tabs>
        <w:autoSpaceDE w:val="0"/>
        <w:autoSpaceDN w:val="0"/>
        <w:adjustRightInd w:val="0"/>
        <w:spacing w:before="240" w:line="360" w:lineRule="auto"/>
        <w:jc w:val="both"/>
      </w:pPr>
      <w:r w:rsidRPr="001A6261">
        <w:t>The standard treatment for patients up to the age of 65 involves initial combination chemotherapy aiming to achieve rapid reduction in disease, which is then followed by collection</w:t>
      </w:r>
      <w:r>
        <w:t xml:space="preserve"> of peripheral blood stem cells. A</w:t>
      </w:r>
      <w:r w:rsidRPr="001A6261">
        <w:t>fter high dose chemotherapy the patient is ‘rescued’ by infusion of stored autologous peripheral blood stem cells</w:t>
      </w:r>
      <w:r>
        <w:t>. W</w:t>
      </w:r>
      <w:r w:rsidRPr="001A6261">
        <w:t xml:space="preserve">ith this approach some 30–60% of patients may achieve complete remission (Table </w:t>
      </w:r>
      <w:r w:rsidR="00DC74BE">
        <w:t>1-2 page 50</w:t>
      </w:r>
      <w:r w:rsidR="000D641E">
        <w:t>)</w:t>
      </w:r>
      <w:r w:rsidRPr="001A6261">
        <w:t xml:space="preserve"> </w:t>
      </w:r>
      <w:r w:rsidRPr="001A6261">
        <w:fldChar w:fldCharType="begin">
          <w:fldData xml:space="preserve">PEVuZE5vdGU+PENpdGU+PEF1dGhvcj5LdW1hcjwvQXV0aG9yPjxZZWFyPjIwMDk8L1llYXI+PFJl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=
</w:fldData>
        </w:fldChar>
      </w:r>
      <w:r w:rsidR="006F41FE">
        <w:instrText xml:space="preserve"> ADDIN EN.CITE </w:instrText>
      </w:r>
      <w:r w:rsidR="006F41FE">
        <w:fldChar w:fldCharType="begin">
          <w:fldData xml:space="preserve">PEVuZE5vdGU+PENpdGU+PEF1dGhvcj5LdW1hcjwvQXV0aG9yPjxZZWFyPjIwMDk8L1llYXI+PFJl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=
</w:fldData>
        </w:fldChar>
      </w:r>
      <w:r w:rsidR="006F41FE">
        <w:instrText xml:space="preserve"> ADDIN EN.CITE.DATA </w:instrText>
      </w:r>
      <w:r w:rsidR="006F41FE">
        <w:fldChar w:fldCharType="end"/>
      </w:r>
      <w:r w:rsidRPr="001A6261">
        <w:fldChar w:fldCharType="separate"/>
      </w:r>
      <w:r w:rsidR="006F41FE">
        <w:rPr>
          <w:noProof/>
        </w:rPr>
        <w:t>(</w:t>
      </w:r>
      <w:hyperlink w:anchor="_ENREF_225" w:tooltip="Kumar, 2009 #292" w:history="1">
        <w:r w:rsidR="004A784D">
          <w:rPr>
            <w:noProof/>
          </w:rPr>
          <w:t>Kumar, 2009</w:t>
        </w:r>
      </w:hyperlink>
      <w:r w:rsidR="006F41FE">
        <w:rPr>
          <w:noProof/>
        </w:rPr>
        <w:t xml:space="preserve">, </w:t>
      </w:r>
      <w:hyperlink w:anchor="_ENREF_164" w:tooltip="Harousseau, 2009 #3396" w:history="1">
        <w:r w:rsidR="004A784D">
          <w:rPr>
            <w:noProof/>
          </w:rPr>
          <w:t>Harousseau, 2009</w:t>
        </w:r>
      </w:hyperlink>
      <w:r w:rsidR="006F41FE">
        <w:rPr>
          <w:noProof/>
        </w:rPr>
        <w:t xml:space="preserve">, </w:t>
      </w:r>
      <w:hyperlink w:anchor="_ENREF_314" w:tooltip="Palumbo,  #34" w:history="1">
        <w:r w:rsidR="004A784D">
          <w:rPr>
            <w:noProof/>
          </w:rPr>
          <w:t>Palumbo et al.</w:t>
        </w:r>
      </w:hyperlink>
      <w:r w:rsidR="006F41FE">
        <w:rPr>
          <w:noProof/>
        </w:rPr>
        <w:t>)</w:t>
      </w:r>
      <w:r w:rsidRPr="001A6261">
        <w:fldChar w:fldCharType="end"/>
      </w:r>
      <w:r w:rsidRPr="001A6261">
        <w:t>. Although there has been a rise in the upper age limit for intensive therapy in many countries such as USA, to 65-70 years, this approach is considered only for the physically fit and motivated patients</w:t>
      </w:r>
      <w:r>
        <w:t xml:space="preserve"> as treatment-</w:t>
      </w:r>
      <w:r w:rsidRPr="001A6261">
        <w:t xml:space="preserve">related side effects can be overwhelming. On </w:t>
      </w:r>
      <w:r>
        <w:t xml:space="preserve">the </w:t>
      </w:r>
      <w:r w:rsidRPr="001A6261">
        <w:t>other hand there is no guarantee that patient</w:t>
      </w:r>
      <w:r>
        <w:t>s</w:t>
      </w:r>
      <w:r w:rsidRPr="001A6261">
        <w:t xml:space="preserve"> will be sensitive to </w:t>
      </w:r>
      <w:r>
        <w:t>a</w:t>
      </w:r>
      <w:r w:rsidRPr="001A6261">
        <w:t xml:space="preserve"> given anti-myeloma agent</w:t>
      </w:r>
      <w:r>
        <w:t>s</w:t>
      </w:r>
      <w:r w:rsidRPr="001A6261">
        <w:t xml:space="preserve"> such as thalidomide </w:t>
      </w:r>
      <w:r w:rsidRPr="001A6261">
        <w:fldChar w:fldCharType="begin">
          <w:fldData xml:space="preserve">PEVuZE5vdGU+PENpdGU+PEF1dGhvcj5NdXN0bzwvQXV0aG9yPjxZZWFyPjIwMDk8L1llYXI+PFJl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=
</w:fldData>
        </w:fldChar>
      </w:r>
      <w:r w:rsidR="006F41FE">
        <w:instrText xml:space="preserve"> ADDIN EN.CITE </w:instrText>
      </w:r>
      <w:r w:rsidR="006F41FE">
        <w:fldChar w:fldCharType="begin">
          <w:fldData xml:space="preserve">PEVuZE5vdGU+PENpdGU+PEF1dGhvcj5NdXN0bzwvQXV0aG9yPjxZZWFyPjIwMDk8L1llYXI+PFJl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=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283" w:tooltip="Musto, 2009 #219" w:history="1">
        <w:r w:rsidR="004A784D">
          <w:rPr>
            <w:noProof/>
          </w:rPr>
          <w:t>Musto et al., 2009</w:t>
        </w:r>
      </w:hyperlink>
      <w:r w:rsidR="006F41FE">
        <w:rPr>
          <w:noProof/>
        </w:rPr>
        <w:t xml:space="preserve">, </w:t>
      </w:r>
      <w:hyperlink w:anchor="_ENREF_329" w:tooltip="Raab, 2009 #287" w:history="1">
        <w:r w:rsidR="004A784D">
          <w:rPr>
            <w:noProof/>
          </w:rPr>
          <w:t>Raab et al., 2009</w:t>
        </w:r>
      </w:hyperlink>
      <w:r w:rsidR="006F41FE">
        <w:rPr>
          <w:noProof/>
        </w:rPr>
        <w:t>)</w:t>
      </w:r>
      <w:r w:rsidRPr="001A6261">
        <w:fldChar w:fldCharType="end"/>
      </w:r>
      <w:r w:rsidRPr="001A6261">
        <w:t xml:space="preserve">.  </w:t>
      </w:r>
    </w:p>
    <w:p w:rsidR="00B61503" w:rsidRPr="001A6261" w:rsidRDefault="00B61503" w:rsidP="00057B42">
      <w:pPr>
        <w:tabs>
          <w:tab w:val="num" w:pos="720"/>
        </w:tabs>
        <w:autoSpaceDE w:val="0"/>
        <w:autoSpaceDN w:val="0"/>
        <w:adjustRightInd w:val="0"/>
        <w:spacing w:line="360" w:lineRule="auto"/>
        <w:jc w:val="both"/>
      </w:pPr>
      <w:r>
        <w:lastRenderedPageBreak/>
        <w:t>As</w:t>
      </w:r>
      <w:r w:rsidRPr="001A6261">
        <w:t xml:space="preserve"> there is no one standard initial therapy, the ch</w:t>
      </w:r>
      <w:r w:rsidR="00D64857">
        <w:t xml:space="preserve">oice of initial drug treatment </w:t>
      </w:r>
      <w:r w:rsidRPr="001A6261">
        <w:t>are</w:t>
      </w:r>
      <w:r>
        <w:t xml:space="preserve"> based on</w:t>
      </w:r>
      <w:r w:rsidRPr="001A6261">
        <w:t xml:space="preserve"> </w:t>
      </w:r>
      <w:r w:rsidR="00D64857">
        <w:t xml:space="preserve">the </w:t>
      </w:r>
      <w:r w:rsidRPr="001A6261">
        <w:t>tr</w:t>
      </w:r>
      <w:r>
        <w:t>eatment-related side effects and patient-</w:t>
      </w:r>
      <w:r w:rsidRPr="001A6261">
        <w:t>related factors.</w:t>
      </w:r>
      <w:r w:rsidR="00D64857">
        <w:t xml:space="preserve"> The most common patient</w:t>
      </w:r>
      <w:r>
        <w:t>-</w:t>
      </w:r>
      <w:r w:rsidRPr="001A6261">
        <w:t>related factors for the choice of regimen include: age, performance status, renal function, other co-morbidities (pre-existing neuropathy, neuromuscular diseases, diabetes), ability to adhere to a treatment regimen, past compliance with oral medications and hospital appointments, risk for thrombosis, travel barrier</w:t>
      </w:r>
      <w:r>
        <w:t>s</w:t>
      </w:r>
      <w:r w:rsidRPr="001A6261">
        <w:t xml:space="preserve"> and distance to travel to and from the treatment site, availability of other supportive care such as home care nurse </w:t>
      </w:r>
      <w:r w:rsidRPr="001A6261">
        <w:fldChar w:fldCharType="begin">
          <w:fldData xml:space="preserve">PEVuZE5vdGU+PENpdGU+PEF1dGhvcj5CYXJyaWNrPC9BdXRob3I+PFllYXI+MjAwNjwvWWVhcj48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</w:fldData>
        </w:fldChar>
      </w:r>
      <w:r w:rsidR="006F41FE">
        <w:instrText xml:space="preserve"> ADDIN EN.CITE </w:instrText>
      </w:r>
      <w:r w:rsidR="006F41FE">
        <w:fldChar w:fldCharType="begin">
          <w:fldData xml:space="preserve">PEVuZE5vdGU+PENpdGU+PEF1dGhvcj5CYXJyaWNrPC9BdXRob3I+PFllYXI+MjAwNjwvWWVhcj48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</w:fldData>
        </w:fldChar>
      </w:r>
      <w:r w:rsidR="006F41FE">
        <w:instrText xml:space="preserve"> ADDIN EN.CITE.DATA </w:instrText>
      </w:r>
      <w:r w:rsidR="006F41FE">
        <w:fldChar w:fldCharType="end"/>
      </w:r>
      <w:r w:rsidRPr="001A6261">
        <w:fldChar w:fldCharType="separate"/>
      </w:r>
      <w:r w:rsidR="006F41FE">
        <w:rPr>
          <w:noProof/>
        </w:rPr>
        <w:t>(</w:t>
      </w:r>
      <w:hyperlink w:anchor="_ENREF_38" w:tooltip="Barrick, 2006 #123" w:history="1">
        <w:r w:rsidR="004A784D">
          <w:rPr>
            <w:noProof/>
          </w:rPr>
          <w:t>Barrick, 2006</w:t>
        </w:r>
      </w:hyperlink>
      <w:r w:rsidR="006F41FE">
        <w:rPr>
          <w:noProof/>
        </w:rPr>
        <w:t xml:space="preserve">, </w:t>
      </w:r>
      <w:hyperlink w:anchor="_ENREF_297" w:tooltip="Offidani,  #2" w:history="1">
        <w:r w:rsidR="004A784D">
          <w:rPr>
            <w:noProof/>
          </w:rPr>
          <w:t>Offidani et al.</w:t>
        </w:r>
      </w:hyperlink>
      <w:r w:rsidR="006F41FE">
        <w:rPr>
          <w:noProof/>
        </w:rPr>
        <w:t>)</w:t>
      </w:r>
      <w:r w:rsidRPr="001A6261">
        <w:fldChar w:fldCharType="end"/>
      </w:r>
      <w:r w:rsidR="00AA6539">
        <w:t>.</w:t>
      </w:r>
    </w:p>
    <w:p w:rsidR="00856253" w:rsidRDefault="00856253"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rsidRPr="001A6261">
        <w:t>These general factors suggest that</w:t>
      </w:r>
      <w:r>
        <w:t>,</w:t>
      </w:r>
      <w:r w:rsidRPr="001A6261">
        <w:t xml:space="preserve"> in the future risk adapted approaches will further refine </w:t>
      </w:r>
      <w:r>
        <w:t xml:space="preserve">current </w:t>
      </w:r>
      <w:r w:rsidRPr="001A6261">
        <w:t>MM</w:t>
      </w:r>
      <w:r>
        <w:t xml:space="preserve"> one-size-fits-all</w:t>
      </w:r>
      <w:r w:rsidRPr="001A6261">
        <w:t xml:space="preserve"> management </w:t>
      </w:r>
      <w:r>
        <w:t>approach</w:t>
      </w:r>
      <w:r w:rsidRPr="001A6261">
        <w:t>. Therefore</w:t>
      </w:r>
      <w:r>
        <w:t>,</w:t>
      </w:r>
      <w:r w:rsidRPr="001A6261">
        <w:t xml:space="preserve"> test or biomarkers predictive of response to a specific novel agent will undoubtedly aid in choosing the best possible treatment option for achieving rapid reduction in disease and achieving remission.</w:t>
      </w:r>
    </w:p>
    <w:p w:rsidR="008E15EA" w:rsidRPr="001A6261" w:rsidRDefault="008E15EA" w:rsidP="00057B42">
      <w:pPr>
        <w:autoSpaceDE w:val="0"/>
        <w:autoSpaceDN w:val="0"/>
        <w:adjustRightInd w:val="0"/>
        <w:spacing w:line="360" w:lineRule="auto"/>
        <w:jc w:val="both"/>
      </w:pPr>
    </w:p>
    <w:p w:rsidR="00B61503" w:rsidRPr="001A6261" w:rsidRDefault="00B61503" w:rsidP="00057B42">
      <w:pPr>
        <w:autoSpaceDE w:val="0"/>
        <w:autoSpaceDN w:val="0"/>
        <w:adjustRightInd w:val="0"/>
        <w:spacing w:line="360" w:lineRule="auto"/>
        <w:jc w:val="both"/>
      </w:pPr>
      <w:r>
        <w:t>Although there are a</w:t>
      </w:r>
      <w:r w:rsidRPr="001A6261">
        <w:t xml:space="preserve"> limited number of proteomic studies to date in MM, those performed highlight the potential impact of these technologies in our understanding of MM pathogenesis and the identification of novel therapeutic targets </w:t>
      </w:r>
      <w:r w:rsidRPr="001A6261">
        <w:fldChar w:fldCharType="begin">
          <w:fldData xml:space="preserve">PEVuZE5vdGU+PENpdGU+PEF1dGhvcj5HZTwvQXV0aG9yPjxZZWFyPjIwMTE8L1llYXI+PFJlY051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</w:fldData>
        </w:fldChar>
      </w:r>
      <w:r w:rsidR="003623C2">
        <w:instrText xml:space="preserve"> ADDIN EN.CITE </w:instrText>
      </w:r>
      <w:r w:rsidR="003623C2">
        <w:fldChar w:fldCharType="begin">
          <w:fldData xml:space="preserve">PEVuZE5vdGU+PENpdGU+PEF1dGhvcj5HZTwvQXV0aG9yPjxZZWFyPjIwMTE8L1llYXI+PFJlY051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</w:fldData>
        </w:fldChar>
      </w:r>
      <w:r w:rsidR="003623C2">
        <w:instrText xml:space="preserve"> ADDIN EN.CITE.DATA </w:instrText>
      </w:r>
      <w:r w:rsidR="003623C2">
        <w:fldChar w:fldCharType="end"/>
      </w:r>
      <w:r w:rsidRPr="001A6261">
        <w:fldChar w:fldCharType="separate"/>
      </w:r>
      <w:r w:rsidR="006F41FE">
        <w:rPr>
          <w:noProof/>
        </w:rPr>
        <w:t>(</w:t>
      </w:r>
      <w:hyperlink w:anchor="_ENREF_140" w:tooltip="Ge, 2011 #5089" w:history="1">
        <w:r w:rsidR="004A784D">
          <w:rPr>
            <w:noProof/>
          </w:rPr>
          <w:t>Ge et al., 2011</w:t>
        </w:r>
      </w:hyperlink>
      <w:r w:rsidR="006F41FE">
        <w:rPr>
          <w:noProof/>
        </w:rPr>
        <w:t xml:space="preserve">, </w:t>
      </w:r>
      <w:hyperlink w:anchor="_ENREF_89" w:tooltip="Cumova, 2011 #4003" w:history="1">
        <w:r w:rsidR="004A784D">
          <w:rPr>
            <w:noProof/>
          </w:rPr>
          <w:t>Cumova et al., 2011</w:t>
        </w:r>
      </w:hyperlink>
      <w:r w:rsidR="006F41FE">
        <w:rPr>
          <w:noProof/>
        </w:rPr>
        <w:t>)</w:t>
      </w:r>
      <w:r w:rsidRPr="001A6261">
        <w:fldChar w:fldCharType="end"/>
      </w:r>
      <w:r w:rsidRPr="001A6261">
        <w:t xml:space="preserve">. In this study, we </w:t>
      </w:r>
      <w:r w:rsidR="00166FE8" w:rsidRPr="00166FE8">
        <w:t>utilised</w:t>
      </w:r>
      <w:r w:rsidRPr="001A6261">
        <w:t xml:space="preserve"> the proteomic technologies available for the discovery of potential biomarkers predicting response to thalidomide in newly diagnosed myeloma patients. </w:t>
      </w:r>
    </w:p>
    <w:p w:rsidR="00B61503" w:rsidRPr="001A6261" w:rsidRDefault="00B61503" w:rsidP="00057B42">
      <w:pPr>
        <w:spacing w:line="360" w:lineRule="auto"/>
        <w:jc w:val="both"/>
        <w:rPr>
          <w:color w:val="000000"/>
        </w:rPr>
      </w:pPr>
    </w:p>
    <w:p w:rsidR="00B61503" w:rsidRDefault="00300A1B" w:rsidP="00645687">
      <w:pPr>
        <w:pStyle w:val="Heading2"/>
        <w:numPr>
          <w:ilvl w:val="2"/>
          <w:numId w:val="19"/>
        </w:numPr>
      </w:pPr>
      <w:bookmarkStart w:id="1673" w:name="_Toc302582398"/>
      <w:bookmarkStart w:id="1674" w:name="_Toc305690057"/>
      <w:r>
        <w:tab/>
      </w:r>
      <w:bookmarkStart w:id="1675" w:name="_Toc306570749"/>
      <w:bookmarkStart w:id="1676" w:name="_Toc307067809"/>
      <w:bookmarkStart w:id="1677" w:name="_Toc312169377"/>
      <w:bookmarkStart w:id="1678" w:name="_Toc312172304"/>
      <w:bookmarkStart w:id="1679" w:name="_Toc312257853"/>
      <w:r w:rsidR="00B61503" w:rsidRPr="001A6261">
        <w:t>Thalidomide in multiple myeloma</w:t>
      </w:r>
      <w:bookmarkEnd w:id="1673"/>
      <w:bookmarkEnd w:id="1674"/>
      <w:bookmarkEnd w:id="1675"/>
      <w:bookmarkEnd w:id="1676"/>
      <w:bookmarkEnd w:id="1677"/>
      <w:bookmarkEnd w:id="1678"/>
      <w:bookmarkEnd w:id="1679"/>
    </w:p>
    <w:p w:rsidR="00B61503" w:rsidRPr="001A6261" w:rsidRDefault="00B61503" w:rsidP="00AA6539">
      <w:pPr>
        <w:spacing w:before="240" w:line="360" w:lineRule="auto"/>
        <w:jc w:val="both"/>
        <w:rPr>
          <w:color w:val="000000"/>
        </w:rPr>
      </w:pPr>
      <w:r w:rsidRPr="001A6261">
        <w:rPr>
          <w:color w:val="000000"/>
        </w:rPr>
        <w:t>Thalidomide is an oral immunomodulatory drug that has been shown to be highly active against MM, with response rates of 30-70%</w:t>
      </w:r>
      <w:r>
        <w:rPr>
          <w:color w:val="000000"/>
        </w:rPr>
        <w:t xml:space="preserve"> </w:t>
      </w:r>
      <w:r w:rsidRPr="001A6261">
        <w:rPr>
          <w:color w:val="000000"/>
        </w:rPr>
        <w:fldChar w:fldCharType="begin">
          <w:fldData xml:space="preserve">PEVuZE5vdGU+PENpdGU+PFllYXI+MjAwOTwvWWVhcj48UmVjTnVtPjM8L1JlY051bT48RGlzcGxh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</w:fldData>
        </w:fldChar>
      </w:r>
      <w:r w:rsidR="005352E7">
        <w:rPr>
          <w:color w:val="000000"/>
        </w:rPr>
        <w:instrText xml:space="preserve"> ADDIN EN.CITE </w:instrText>
      </w:r>
      <w:r w:rsidR="005352E7">
        <w:rPr>
          <w:color w:val="000000"/>
        </w:rPr>
        <w:fldChar w:fldCharType="begin">
          <w:fldData xml:space="preserve">PEVuZE5vdGU+PENpdGU+PFllYXI+MjAwOTwvWWVhcj48UmVjTnVtPjM8L1JlY051bT48RGlzcGxh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</w:fldData>
        </w:fldChar>
      </w:r>
      <w:r w:rsidR="005352E7">
        <w:rPr>
          <w:color w:val="000000"/>
        </w:rPr>
        <w:instrText xml:space="preserve"> ADDIN EN.CITE.DATA </w:instrText>
      </w:r>
      <w:r w:rsidR="005352E7">
        <w:rPr>
          <w:color w:val="000000"/>
        </w:rPr>
      </w:r>
      <w:r w:rsidR="005352E7">
        <w:rPr>
          <w:color w:val="000000"/>
        </w:rPr>
        <w:fldChar w:fldCharType="end"/>
      </w:r>
      <w:r w:rsidRPr="001A6261">
        <w:rPr>
          <w:color w:val="000000"/>
        </w:rPr>
      </w:r>
      <w:r w:rsidRPr="001A6261">
        <w:rPr>
          <w:color w:val="000000"/>
        </w:rPr>
        <w:fldChar w:fldCharType="separate"/>
      </w:r>
      <w:r w:rsidR="005352E7">
        <w:rPr>
          <w:noProof/>
          <w:color w:val="000000"/>
        </w:rPr>
        <w:t>(</w:t>
      </w:r>
      <w:hyperlink w:anchor="_ENREF_350" w:tooltip="Romagnoli, 2009 #3" w:history="1">
        <w:r w:rsidR="004A784D">
          <w:rPr>
            <w:noProof/>
            <w:color w:val="000000"/>
          </w:rPr>
          <w:t>Romagnoli et al., 2009</w:t>
        </w:r>
      </w:hyperlink>
      <w:r w:rsidR="005352E7">
        <w:rPr>
          <w:noProof/>
          <w:color w:val="000000"/>
        </w:rPr>
        <w:t xml:space="preserve">, </w:t>
      </w:r>
      <w:hyperlink w:anchor="_ENREF_428" w:tooltip="Vallet, 2008 #8" w:history="1">
        <w:r w:rsidR="004A784D">
          <w:rPr>
            <w:noProof/>
            <w:color w:val="000000"/>
          </w:rPr>
          <w:t>Vallet et al., 2008</w:t>
        </w:r>
      </w:hyperlink>
      <w:r w:rsidR="005352E7">
        <w:rPr>
          <w:noProof/>
          <w:color w:val="000000"/>
        </w:rPr>
        <w:t xml:space="preserve">, </w:t>
      </w:r>
      <w:hyperlink w:anchor="_ENREF_388" w:tooltip="Singhal, 1999 #4933" w:history="1">
        <w:r w:rsidR="004A784D">
          <w:rPr>
            <w:noProof/>
            <w:color w:val="000000"/>
          </w:rPr>
          <w:t>Singhal et al., 1999</w:t>
        </w:r>
      </w:hyperlink>
      <w:r w:rsidR="005352E7">
        <w:rPr>
          <w:noProof/>
          <w:color w:val="000000"/>
        </w:rPr>
        <w:t>)</w:t>
      </w:r>
      <w:r w:rsidRPr="001A6261">
        <w:rPr>
          <w:color w:val="000000"/>
        </w:rPr>
        <w:fldChar w:fldCharType="end"/>
      </w:r>
      <w:r w:rsidRPr="001A6261">
        <w:rPr>
          <w:color w:val="000000"/>
        </w:rPr>
        <w:t xml:space="preserve">. Thalidomide, proved not only to be effective in the treatment of multiple myeloma, but also instigated a wide range of </w:t>
      </w:r>
      <w:r w:rsidRPr="001A6261">
        <w:rPr>
          <w:i/>
          <w:color w:val="000000"/>
        </w:rPr>
        <w:t>in vitro</w:t>
      </w:r>
      <w:r w:rsidRPr="001A6261">
        <w:rPr>
          <w:color w:val="000000"/>
        </w:rPr>
        <w:t xml:space="preserve"> and </w:t>
      </w:r>
      <w:r w:rsidRPr="001A6261">
        <w:rPr>
          <w:i/>
          <w:color w:val="000000"/>
        </w:rPr>
        <w:t>in vivo</w:t>
      </w:r>
      <w:r w:rsidRPr="001A6261">
        <w:rPr>
          <w:color w:val="000000"/>
        </w:rPr>
        <w:t xml:space="preserve"> studies to define the pathophysiology of the plasma cell dyscrasia. </w:t>
      </w:r>
      <w:r>
        <w:rPr>
          <w:color w:val="000000"/>
        </w:rPr>
        <w:t>Analysis of r</w:t>
      </w:r>
      <w:r w:rsidRPr="001A6261">
        <w:rPr>
          <w:color w:val="000000"/>
        </w:rPr>
        <w:t xml:space="preserve">ecent long term follow up data indicates that patients exposed to thalidomide early in their treatment history obtain durable benefit </w:t>
      </w:r>
      <w:r w:rsidRPr="001A6261">
        <w:rPr>
          <w:color w:val="000000"/>
        </w:rPr>
        <w:fldChar w:fldCharType="begin">
          <w:fldData xml:space="preserve">PEVuZE5vdGU+PENpdGU+PEF1dGhvcj5CYXJsb2dpZTwvQXV0aG9yPjxZZWFyPjIwMDg8L1llYXI+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</w:fldData>
        </w:fldChar>
      </w:r>
      <w:r w:rsidR="00B933E7">
        <w:rPr>
          <w:color w:val="000000"/>
        </w:rPr>
        <w:instrText xml:space="preserve"> ADDIN EN.CITE </w:instrText>
      </w:r>
      <w:r w:rsidR="00B933E7">
        <w:rPr>
          <w:color w:val="000000"/>
        </w:rPr>
        <w:fldChar w:fldCharType="begin">
          <w:fldData xml:space="preserve">PEVuZE5vdGU+PENpdGU+PEF1dGhvcj5CYXJsb2dpZTwvQXV0aG9yPjxZZWFyPjIwMDg8L1llYXI+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</w:fldData>
        </w:fldChar>
      </w:r>
      <w:r w:rsidR="00B933E7">
        <w:rPr>
          <w:color w:val="000000"/>
        </w:rPr>
        <w:instrText xml:space="preserve"> ADDIN EN.CITE.DATA </w:instrText>
      </w:r>
      <w:r w:rsidR="00B933E7">
        <w:rPr>
          <w:color w:val="000000"/>
        </w:rPr>
      </w:r>
      <w:r w:rsidR="00B933E7">
        <w:rPr>
          <w:color w:val="000000"/>
        </w:rPr>
        <w:fldChar w:fldCharType="end"/>
      </w:r>
      <w:r w:rsidRPr="001A6261">
        <w:rPr>
          <w:color w:val="000000"/>
        </w:rPr>
      </w:r>
      <w:r w:rsidRPr="001A6261">
        <w:rPr>
          <w:color w:val="000000"/>
        </w:rPr>
        <w:fldChar w:fldCharType="separate"/>
      </w:r>
      <w:r w:rsidR="00B933E7">
        <w:rPr>
          <w:noProof/>
          <w:color w:val="000000"/>
        </w:rPr>
        <w:t>(</w:t>
      </w:r>
      <w:hyperlink w:anchor="_ENREF_36" w:tooltip="Barlogie, 2008 #3458" w:history="1">
        <w:r w:rsidR="004A784D">
          <w:rPr>
            <w:noProof/>
            <w:color w:val="000000"/>
          </w:rPr>
          <w:t>Barlogie et al., 2008b</w:t>
        </w:r>
      </w:hyperlink>
      <w:r w:rsidR="00B933E7">
        <w:rPr>
          <w:noProof/>
          <w:color w:val="000000"/>
        </w:rPr>
        <w:t>)</w:t>
      </w:r>
      <w:r w:rsidRPr="001A6261">
        <w:rPr>
          <w:color w:val="000000"/>
        </w:rPr>
        <w:fldChar w:fldCharType="end"/>
      </w:r>
      <w:r w:rsidRPr="001A6261">
        <w:rPr>
          <w:color w:val="000000"/>
        </w:rPr>
        <w:t>. Therefore, it is likely that thalidomide and its emerging analogues such as lenalidomide will remain a central component of anti-MM therapy</w:t>
      </w:r>
      <w:r>
        <w:rPr>
          <w:color w:val="000000"/>
        </w:rPr>
        <w:t xml:space="preserve"> </w:t>
      </w:r>
      <w:r w:rsidR="00AA6539">
        <w:rPr>
          <w:color w:val="000000"/>
        </w:rPr>
        <w:t xml:space="preserve"> </w:t>
      </w:r>
      <w:r>
        <w:rPr>
          <w:color w:val="000000"/>
        </w:rPr>
        <w:fldChar w:fldCharType="begin"/>
      </w:r>
      <w:r w:rsidR="006F41FE">
        <w:rPr>
          <w:color w:val="000000"/>
        </w:rPr>
        <w:instrText xml:space="preserve"> ADDIN EN.CITE &lt;EndNote&gt;&lt;Cite&gt;&lt;Author&gt;Wang&lt;/Author&gt;&lt;Year&gt;2011&lt;/Year&gt;&lt;RecNum&gt;4838&lt;/RecNum&gt;&lt;DisplayText&gt;(Wang et al., 2011)&lt;/DisplayText&gt;&lt;record&gt;&lt;rec-number&gt;4838&lt;/rec-number&gt;&lt;foreign-keys&gt;&lt;key app="EN" db-id="zf0awxsaczrdd3eft5qvw9wrtxxawdfrvw2a"&gt;4838&lt;/key&gt;&lt;/foreign-keys&gt;&lt;ref-type name="Journal Article"&gt;17&lt;/ref-type&gt;&lt;contributors&gt;&lt;authors&gt;&lt;author&gt;Wang, L.&lt;/author&gt;&lt;author&gt;Ran, X.&lt;/author&gt;&lt;author&gt;Wang, B.&lt;/author&gt;&lt;author&gt;Sheng, Z.&lt;/author&gt;&lt;author&gt;Liu, L.&lt;/author&gt;&lt;/authors&gt;&lt;/contributors&gt;&lt;auth-address&gt;E.N.T. department, Weifang People&amp;apos;s Hospital of Weifang Medical University, Weifang, China.&lt;/auth-address&gt;&lt;titles&gt;&lt;title&gt;Novel agents-based regimens as induction treatment prior to autologous stem-cell transplantation in newly diagnosed multiple myeloma: a meta-analysis of randomized controlled trials&lt;/title&gt;&lt;secondary-title&gt;Hematol Oncol&lt;/secondary-title&gt;&lt;/titles&gt;&lt;periodical&gt;&lt;full-title&gt;Hematol Oncol&lt;/full-title&gt;&lt;/periodical&gt;&lt;edition&gt;2011/08/03&lt;/edition&gt;&lt;dates&gt;&lt;year&gt;2011&lt;/year&gt;&lt;pub-dates&gt;&lt;date&gt;Aug 2&lt;/date&gt;&lt;/pub-dates&gt;&lt;/dates&gt;&lt;isbn&gt;1099-1069 (Electronic)&amp;#xD;0278-0232 (Linking)&lt;/isbn&gt;&lt;accession-num&gt;21809367&lt;/accession-num&gt;&lt;urls&gt;&lt;related-urls&gt;&lt;url&gt;http://www.ncbi.nlm.nih.gov/pubmed/21809367&lt;/url&gt;&lt;/related-urls&gt;&lt;/urls&gt;&lt;electronic-resource-num&gt;10.1002/hon.1007&lt;/electronic-resource-num&gt;&lt;language&gt;Eng&lt;/language&gt;&lt;/record&gt;&lt;/Cite&gt;&lt;/EndNote&gt;</w:instrText>
      </w:r>
      <w:r>
        <w:rPr>
          <w:color w:val="000000"/>
        </w:rPr>
        <w:fldChar w:fldCharType="separate"/>
      </w:r>
      <w:r w:rsidR="006F41FE">
        <w:rPr>
          <w:noProof/>
          <w:color w:val="000000"/>
        </w:rPr>
        <w:t>(</w:t>
      </w:r>
      <w:hyperlink w:anchor="_ENREF_446" w:tooltip="Wang, 2011 #4838" w:history="1">
        <w:r w:rsidR="004A784D">
          <w:rPr>
            <w:noProof/>
            <w:color w:val="000000"/>
          </w:rPr>
          <w:t>Wang et al., 2011</w:t>
        </w:r>
      </w:hyperlink>
      <w:r w:rsidR="006F41FE">
        <w:rPr>
          <w:noProof/>
          <w:color w:val="000000"/>
        </w:rPr>
        <w:t>)</w:t>
      </w:r>
      <w:r>
        <w:rPr>
          <w:color w:val="000000"/>
        </w:rPr>
        <w:fldChar w:fldCharType="end"/>
      </w:r>
      <w:r w:rsidRPr="001A6261">
        <w:rPr>
          <w:color w:val="000000"/>
        </w:rPr>
        <w:t xml:space="preserve">. </w:t>
      </w:r>
    </w:p>
    <w:p w:rsidR="00B61503" w:rsidRPr="001A6261" w:rsidRDefault="00B61503" w:rsidP="00057B42">
      <w:pPr>
        <w:spacing w:line="360" w:lineRule="auto"/>
        <w:jc w:val="both"/>
        <w:rPr>
          <w:color w:val="000000"/>
        </w:rPr>
      </w:pPr>
    </w:p>
    <w:p w:rsidR="00B61503" w:rsidRDefault="00B61503" w:rsidP="005407DA">
      <w:pPr>
        <w:spacing w:line="360" w:lineRule="auto"/>
        <w:jc w:val="both"/>
        <w:rPr>
          <w:color w:val="000000"/>
        </w:rPr>
      </w:pPr>
      <w:r w:rsidRPr="001A6261">
        <w:rPr>
          <w:color w:val="000000"/>
        </w:rPr>
        <w:lastRenderedPageBreak/>
        <w:t xml:space="preserve">Thalidomide remains </w:t>
      </w:r>
      <w:r>
        <w:rPr>
          <w:color w:val="000000"/>
        </w:rPr>
        <w:t xml:space="preserve">a </w:t>
      </w:r>
      <w:r w:rsidRPr="001A6261">
        <w:rPr>
          <w:color w:val="000000"/>
        </w:rPr>
        <w:t xml:space="preserve">central component of the one of the standard treatment options for </w:t>
      </w:r>
      <w:r>
        <w:rPr>
          <w:color w:val="000000"/>
        </w:rPr>
        <w:t>MM</w:t>
      </w:r>
      <w:r w:rsidRPr="001A6261">
        <w:rPr>
          <w:color w:val="000000"/>
        </w:rPr>
        <w:t xml:space="preserve"> patients in many countries. Many studies have shown that the addition of thalidomide to melphalan and prednisone significantly </w:t>
      </w:r>
      <w:r>
        <w:rPr>
          <w:color w:val="000000"/>
        </w:rPr>
        <w:t>improves</w:t>
      </w:r>
      <w:r w:rsidRPr="001A6261">
        <w:rPr>
          <w:color w:val="000000"/>
        </w:rPr>
        <w:t xml:space="preserve"> response rate and longer</w:t>
      </w:r>
      <w:r w:rsidR="00AA6539">
        <w:rPr>
          <w:color w:val="000000"/>
        </w:rPr>
        <w:t xml:space="preserve"> progression-free survival</w:t>
      </w:r>
      <w:r w:rsidRPr="001A6261">
        <w:rPr>
          <w:color w:val="000000"/>
        </w:rPr>
        <w:t xml:space="preserve"> </w:t>
      </w:r>
      <w:r w:rsidRPr="001A6261">
        <w:rPr>
          <w:color w:val="000000"/>
        </w:rPr>
        <w:fldChar w:fldCharType="begin">
          <w:fldData xml:space="preserve">PEVuZE5vdGU+PENpdGU+PEF1dGhvcj5QYWx1bWJvPC9BdXRob3I+PFllYXI+MjAwODwvWWVhcj48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</w:fldData>
        </w:fldChar>
      </w:r>
      <w:r w:rsidR="00413040">
        <w:rPr>
          <w:color w:val="000000"/>
        </w:rPr>
        <w:instrText xml:space="preserve"> ADDIN EN.CITE </w:instrText>
      </w:r>
      <w:r w:rsidR="00413040">
        <w:rPr>
          <w:color w:val="000000"/>
        </w:rPr>
        <w:fldChar w:fldCharType="begin">
          <w:fldData xml:space="preserve">PEVuZE5vdGU+PENpdGU+PEF1dGhvcj5QYWx1bWJvPC9BdXRob3I+PFllYXI+MjAwODwvWWVhcj48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</w:fldData>
        </w:fldChar>
      </w:r>
      <w:r w:rsidR="00413040">
        <w:rPr>
          <w:color w:val="000000"/>
        </w:rPr>
        <w:instrText xml:space="preserve"> ADDIN EN.CITE.DATA </w:instrText>
      </w:r>
      <w:r w:rsidR="00413040">
        <w:rPr>
          <w:color w:val="000000"/>
        </w:rPr>
      </w:r>
      <w:r w:rsidR="00413040">
        <w:rPr>
          <w:color w:val="000000"/>
        </w:rPr>
        <w:fldChar w:fldCharType="end"/>
      </w:r>
      <w:r w:rsidRPr="001A6261">
        <w:rPr>
          <w:color w:val="000000"/>
        </w:rPr>
      </w:r>
      <w:r w:rsidRPr="001A6261">
        <w:rPr>
          <w:color w:val="000000"/>
        </w:rPr>
        <w:fldChar w:fldCharType="separate"/>
      </w:r>
      <w:r w:rsidR="006F41FE">
        <w:rPr>
          <w:noProof/>
          <w:color w:val="000000"/>
        </w:rPr>
        <w:t>(</w:t>
      </w:r>
      <w:hyperlink w:anchor="_ENREF_313" w:tooltip="Palumbo, 2008 #5005" w:history="1">
        <w:r w:rsidR="004A784D">
          <w:rPr>
            <w:noProof/>
            <w:color w:val="000000"/>
          </w:rPr>
          <w:t>Palumbo et al., 2008b</w:t>
        </w:r>
      </w:hyperlink>
      <w:r w:rsidR="006F41FE">
        <w:rPr>
          <w:noProof/>
          <w:color w:val="000000"/>
        </w:rPr>
        <w:t xml:space="preserve">, </w:t>
      </w:r>
      <w:hyperlink w:anchor="_ENREF_310" w:tooltip="Palumbo, 2008 #5003" w:history="1">
        <w:r w:rsidR="004A784D">
          <w:rPr>
            <w:noProof/>
            <w:color w:val="000000"/>
          </w:rPr>
          <w:t>Palumbo et al., 2008a</w:t>
        </w:r>
      </w:hyperlink>
      <w:r w:rsidR="006F41FE">
        <w:rPr>
          <w:noProof/>
          <w:color w:val="000000"/>
        </w:rPr>
        <w:t xml:space="preserve">, </w:t>
      </w:r>
      <w:hyperlink w:anchor="_ENREF_119" w:tooltip="Facon, 2007 #5012" w:history="1">
        <w:r w:rsidR="004A784D">
          <w:rPr>
            <w:noProof/>
            <w:color w:val="000000"/>
          </w:rPr>
          <w:t>Facon et al., 2007</w:t>
        </w:r>
      </w:hyperlink>
      <w:r w:rsidR="006F41FE">
        <w:rPr>
          <w:noProof/>
          <w:color w:val="000000"/>
        </w:rPr>
        <w:t>)</w:t>
      </w:r>
      <w:r w:rsidRPr="001A6261">
        <w:rPr>
          <w:color w:val="000000"/>
        </w:rPr>
        <w:fldChar w:fldCharType="end"/>
      </w:r>
      <w:r w:rsidRPr="001A6261">
        <w:rPr>
          <w:color w:val="000000"/>
        </w:rPr>
        <w:t xml:space="preserve">. </w:t>
      </w:r>
    </w:p>
    <w:p w:rsidR="008E15EA" w:rsidRPr="001A6261" w:rsidRDefault="008E15EA" w:rsidP="008E15EA">
      <w:pPr>
        <w:spacing w:line="360" w:lineRule="auto"/>
        <w:rPr>
          <w:color w:val="000000"/>
        </w:rPr>
      </w:pPr>
    </w:p>
    <w:p w:rsidR="00B61503" w:rsidRDefault="00B61503" w:rsidP="00057B42">
      <w:pPr>
        <w:spacing w:line="360" w:lineRule="auto"/>
        <w:jc w:val="both"/>
        <w:rPr>
          <w:color w:val="000000"/>
        </w:rPr>
      </w:pPr>
      <w:r>
        <w:t>T</w:t>
      </w:r>
      <w:r w:rsidRPr="001A6261">
        <w:t>he mechanism of action of thalidomide</w:t>
      </w:r>
      <w:r w:rsidR="005407DA">
        <w:t xml:space="preserve"> is </w:t>
      </w:r>
      <w:r w:rsidRPr="001A6261">
        <w:t xml:space="preserve">thought to be complex </w:t>
      </w:r>
      <w:r>
        <w:t>and t</w:t>
      </w:r>
      <w:r w:rsidRPr="001A6261">
        <w:t xml:space="preserve">here is no clear mechanism as to how thalidomide affects the various </w:t>
      </w:r>
      <w:r w:rsidR="00321273">
        <w:t>cells,</w:t>
      </w:r>
      <w:r w:rsidRPr="001A6261">
        <w:t xml:space="preserve"> including plasma cells.</w:t>
      </w:r>
      <w:r w:rsidRPr="001A6261">
        <w:rPr>
          <w:color w:val="000000"/>
        </w:rPr>
        <w:t xml:space="preserve"> </w:t>
      </w:r>
      <w:r w:rsidR="00321273">
        <w:rPr>
          <w:color w:val="000000"/>
        </w:rPr>
        <w:t xml:space="preserve">This is </w:t>
      </w:r>
      <w:r w:rsidRPr="001A6261">
        <w:rPr>
          <w:color w:val="000000"/>
        </w:rPr>
        <w:t xml:space="preserve"> discussed </w:t>
      </w:r>
      <w:r w:rsidR="00321273">
        <w:rPr>
          <w:color w:val="000000"/>
        </w:rPr>
        <w:t xml:space="preserve">in more detail </w:t>
      </w:r>
      <w:r w:rsidR="00AA6539">
        <w:rPr>
          <w:color w:val="000000"/>
        </w:rPr>
        <w:t>on page 343</w:t>
      </w:r>
      <w:r w:rsidRPr="001A6261">
        <w:rPr>
          <w:color w:val="000000"/>
        </w:rPr>
        <w:t>,</w:t>
      </w:r>
      <w:r w:rsidR="00321273">
        <w:rPr>
          <w:color w:val="000000"/>
        </w:rPr>
        <w:t xml:space="preserve"> briefly;</w:t>
      </w:r>
      <w:r w:rsidRPr="001A6261">
        <w:rPr>
          <w:color w:val="000000"/>
        </w:rPr>
        <w:t xml:space="preserve">  </w:t>
      </w:r>
      <w:r w:rsidRPr="001A6261">
        <w:t xml:space="preserve">four main mechanisms have been proposed to explain the anti-myeloma activity of thalidomide: (1) immunomodulatory effects on cytokine production and T-cell activation; (2) anti-angiogenic effects (3) effect on bone marrow environment, stromal cells and inhibition of cell adhesion (4) Direct inhibition of myeloma cells growth and survival </w:t>
      </w:r>
      <w:r w:rsidRPr="001A6261">
        <w:fldChar w:fldCharType="begin">
          <w:fldData xml:space="preserve">PEVuZE5vdGU+PENpdGU+PEF1dGhvcj5TemU8L0F1dGhvcj48WWVhcj4yMDA2PC9ZZWFyPjxSZWNO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</w:fldData>
        </w:fldChar>
      </w:r>
      <w:r w:rsidR="00413040">
        <w:instrText xml:space="preserve"> ADDIN EN.CITE </w:instrText>
      </w:r>
      <w:r w:rsidR="00413040">
        <w:fldChar w:fldCharType="begin">
          <w:fldData xml:space="preserve">PEVuZE5vdGU+PENpdGU+PEF1dGhvcj5TemU8L0F1dGhvcj48WWVhcj4yMDA2PC9ZZWFyPjxSZWNO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</w:fldData>
        </w:fldChar>
      </w:r>
      <w:r w:rsidR="00413040">
        <w:instrText xml:space="preserve"> ADDIN EN.CITE.DATA </w:instrText>
      </w:r>
      <w:r w:rsidR="00413040">
        <w:fldChar w:fldCharType="end"/>
      </w:r>
      <w:r w:rsidRPr="001A6261">
        <w:fldChar w:fldCharType="separate"/>
      </w:r>
      <w:r w:rsidR="006F41FE">
        <w:rPr>
          <w:noProof/>
        </w:rPr>
        <w:t>(</w:t>
      </w:r>
      <w:hyperlink w:anchor="_ENREF_408" w:tooltip="Sze, 2006 #4924" w:history="1">
        <w:r w:rsidR="004A784D">
          <w:rPr>
            <w:noProof/>
          </w:rPr>
          <w:t>Sze et al., 2006</w:t>
        </w:r>
      </w:hyperlink>
      <w:r w:rsidR="006F41FE">
        <w:rPr>
          <w:noProof/>
        </w:rPr>
        <w:t xml:space="preserve">, </w:t>
      </w:r>
      <w:hyperlink w:anchor="_ENREF_313" w:tooltip="Palumbo, 2008 #5005" w:history="1">
        <w:r w:rsidR="004A784D">
          <w:rPr>
            <w:noProof/>
          </w:rPr>
          <w:t>Palumbo et al., 2008b</w:t>
        </w:r>
      </w:hyperlink>
      <w:r w:rsidR="006F41FE">
        <w:rPr>
          <w:noProof/>
        </w:rPr>
        <w:t xml:space="preserve">, </w:t>
      </w:r>
      <w:hyperlink w:anchor="_ENREF_21" w:tooltip="Anderson, 2005 #6" w:history="1">
        <w:r w:rsidR="004A784D">
          <w:rPr>
            <w:noProof/>
          </w:rPr>
          <w:t>Anderson, 2005</w:t>
        </w:r>
      </w:hyperlink>
      <w:r w:rsidR="006F41FE">
        <w:rPr>
          <w:noProof/>
        </w:rPr>
        <w:t xml:space="preserve">, </w:t>
      </w:r>
      <w:hyperlink w:anchor="_ENREF_457" w:tooltip="Yasui, 2005 #3979" w:history="1">
        <w:r w:rsidR="004A784D">
          <w:rPr>
            <w:noProof/>
          </w:rPr>
          <w:t>Yasui et al., 2005</w:t>
        </w:r>
      </w:hyperlink>
      <w:r w:rsidR="006F41FE">
        <w:rPr>
          <w:noProof/>
        </w:rPr>
        <w:t xml:space="preserve">, </w:t>
      </w:r>
      <w:hyperlink w:anchor="_ENREF_147" w:tooltip="Gockel, 2004 #1" w:history="1">
        <w:r w:rsidR="004A784D">
          <w:rPr>
            <w:noProof/>
          </w:rPr>
          <w:t>Gockel et al., 2004</w:t>
        </w:r>
      </w:hyperlink>
      <w:r w:rsidR="006F41FE">
        <w:rPr>
          <w:noProof/>
        </w:rPr>
        <w:t xml:space="preserve">, </w:t>
      </w:r>
      <w:hyperlink w:anchor="_ENREF_428" w:tooltip="Vallet, 2008 #8" w:history="1">
        <w:r w:rsidR="004A784D">
          <w:rPr>
            <w:noProof/>
          </w:rPr>
          <w:t>Vallet et al., 2008</w:t>
        </w:r>
      </w:hyperlink>
      <w:r w:rsidR="006F41FE">
        <w:rPr>
          <w:noProof/>
        </w:rPr>
        <w:t>)</w:t>
      </w:r>
      <w:r w:rsidRPr="001A6261">
        <w:fldChar w:fldCharType="end"/>
      </w:r>
      <w:r w:rsidRPr="001A6261">
        <w:t xml:space="preserve">. </w:t>
      </w:r>
      <w:r>
        <w:rPr>
          <w:color w:val="000000"/>
        </w:rPr>
        <w:t>Now with increasing understanding</w:t>
      </w:r>
      <w:r w:rsidR="005407DA">
        <w:rPr>
          <w:color w:val="000000"/>
        </w:rPr>
        <w:t xml:space="preserve"> of</w:t>
      </w:r>
      <w:r>
        <w:rPr>
          <w:color w:val="000000"/>
        </w:rPr>
        <w:t xml:space="preserve"> the efficacy of thalidomide in MM and t</w:t>
      </w:r>
      <w:r w:rsidRPr="001A6261">
        <w:rPr>
          <w:color w:val="000000"/>
        </w:rPr>
        <w:t>he attention thalidomide has received in the past and recent histo</w:t>
      </w:r>
      <w:r>
        <w:rPr>
          <w:color w:val="000000"/>
        </w:rPr>
        <w:t>ry has not been without a price,</w:t>
      </w:r>
      <w:r w:rsidRPr="001A6261">
        <w:rPr>
          <w:color w:val="000000"/>
        </w:rPr>
        <w:t xml:space="preserve"> </w:t>
      </w:r>
      <w:r>
        <w:rPr>
          <w:color w:val="000000"/>
        </w:rPr>
        <w:t xml:space="preserve">the drug also have significant side effects which necessitate careful clinical management. </w:t>
      </w:r>
    </w:p>
    <w:p w:rsidR="00B61503" w:rsidRDefault="00B61503" w:rsidP="00057B42">
      <w:pPr>
        <w:spacing w:line="360" w:lineRule="auto"/>
        <w:jc w:val="both"/>
        <w:rPr>
          <w:color w:val="000000"/>
        </w:rPr>
      </w:pPr>
    </w:p>
    <w:p w:rsidR="00B61503" w:rsidRDefault="00B61503" w:rsidP="00645687">
      <w:pPr>
        <w:pStyle w:val="Heading2"/>
        <w:numPr>
          <w:ilvl w:val="3"/>
          <w:numId w:val="19"/>
        </w:numPr>
      </w:pPr>
      <w:r w:rsidRPr="001A6261">
        <w:rPr>
          <w:sz w:val="24"/>
          <w:szCs w:val="24"/>
        </w:rPr>
        <w:t xml:space="preserve">   </w:t>
      </w:r>
      <w:bookmarkStart w:id="1680" w:name="_Toc302582400"/>
      <w:bookmarkStart w:id="1681" w:name="_Toc305690059"/>
      <w:r w:rsidR="00300A1B">
        <w:rPr>
          <w:sz w:val="24"/>
          <w:szCs w:val="24"/>
        </w:rPr>
        <w:tab/>
      </w:r>
      <w:bookmarkStart w:id="1682" w:name="_Toc306570751"/>
      <w:bookmarkStart w:id="1683" w:name="_Toc307067811"/>
      <w:bookmarkStart w:id="1684" w:name="_Toc312169378"/>
      <w:bookmarkStart w:id="1685" w:name="_Toc312172305"/>
      <w:bookmarkStart w:id="1686" w:name="_Toc312257854"/>
      <w:r w:rsidRPr="001A6261">
        <w:t>Thalidomide side effects</w:t>
      </w:r>
      <w:bookmarkEnd w:id="1680"/>
      <w:bookmarkEnd w:id="1681"/>
      <w:bookmarkEnd w:id="1682"/>
      <w:bookmarkEnd w:id="1683"/>
      <w:bookmarkEnd w:id="1684"/>
      <w:bookmarkEnd w:id="1685"/>
      <w:bookmarkEnd w:id="1686"/>
    </w:p>
    <w:p w:rsidR="00B61503" w:rsidRPr="001A6261" w:rsidRDefault="00B61503" w:rsidP="00140632">
      <w:pPr>
        <w:spacing w:before="240" w:line="360" w:lineRule="auto"/>
        <w:jc w:val="both"/>
        <w:rPr>
          <w:color w:val="000000"/>
        </w:rPr>
      </w:pPr>
      <w:r>
        <w:rPr>
          <w:color w:val="000000"/>
        </w:rPr>
        <w:t xml:space="preserve">While the efficacy of thalidomide is clearly established, </w:t>
      </w:r>
      <w:r w:rsidRPr="001A6261">
        <w:rPr>
          <w:color w:val="000000"/>
        </w:rPr>
        <w:t>the response rate to thalidomide are variable and major acute adverse events</w:t>
      </w:r>
      <w:r>
        <w:rPr>
          <w:color w:val="000000"/>
        </w:rPr>
        <w:t xml:space="preserve"> are not uncommon</w:t>
      </w:r>
      <w:r w:rsidRPr="001A6261">
        <w:rPr>
          <w:color w:val="000000"/>
        </w:rPr>
        <w:t xml:space="preserve">  (National Cancer Institute Common Toxicity Criteria Grade III-IV) included thrombosis (20%), infections (12%), constipation (6%), hematologic (22%) and neurologic (8%) toxicities </w:t>
      </w:r>
      <w:r w:rsidRPr="001A6261">
        <w:rPr>
          <w:color w:val="000000"/>
        </w:rPr>
        <w:fldChar w:fldCharType="begin">
          <w:fldData xml:space="preserve">PEVuZE5vdGU+PENpdGU+PEF1dGhvcj5GYWNvbjwvQXV0aG9yPjxZZWFyPjIwMDc8L1llYXI+PFJl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=
</w:fldData>
        </w:fldChar>
      </w:r>
      <w:r w:rsidR="00413040">
        <w:rPr>
          <w:color w:val="000000"/>
        </w:rPr>
        <w:instrText xml:space="preserve"> ADDIN EN.CITE </w:instrText>
      </w:r>
      <w:r w:rsidR="00413040">
        <w:rPr>
          <w:color w:val="000000"/>
        </w:rPr>
        <w:fldChar w:fldCharType="begin">
          <w:fldData xml:space="preserve">PEVuZE5vdGU+PENpdGU+PEF1dGhvcj5GYWNvbjwvQXV0aG9yPjxZZWFyPjIwMDc8L1llYXI+PFJl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=
</w:fldData>
        </w:fldChar>
      </w:r>
      <w:r w:rsidR="00413040">
        <w:rPr>
          <w:color w:val="000000"/>
        </w:rPr>
        <w:instrText xml:space="preserve"> ADDIN EN.CITE.DATA </w:instrText>
      </w:r>
      <w:r w:rsidR="00413040">
        <w:rPr>
          <w:color w:val="000000"/>
        </w:rPr>
      </w:r>
      <w:r w:rsidR="00413040">
        <w:rPr>
          <w:color w:val="000000"/>
        </w:rPr>
        <w:fldChar w:fldCharType="end"/>
      </w:r>
      <w:r w:rsidRPr="001A6261">
        <w:rPr>
          <w:color w:val="000000"/>
        </w:rPr>
      </w:r>
      <w:r w:rsidRPr="001A6261">
        <w:rPr>
          <w:color w:val="000000"/>
        </w:rPr>
        <w:fldChar w:fldCharType="separate"/>
      </w:r>
      <w:r w:rsidR="006F41FE">
        <w:rPr>
          <w:noProof/>
          <w:color w:val="000000"/>
        </w:rPr>
        <w:t>(</w:t>
      </w:r>
      <w:hyperlink w:anchor="_ENREF_119" w:tooltip="Facon, 2007 #5012" w:history="1">
        <w:r w:rsidR="004A784D">
          <w:rPr>
            <w:noProof/>
            <w:color w:val="000000"/>
          </w:rPr>
          <w:t>Facon et al., 2007</w:t>
        </w:r>
      </w:hyperlink>
      <w:r w:rsidR="006F41FE">
        <w:rPr>
          <w:noProof/>
          <w:color w:val="000000"/>
        </w:rPr>
        <w:t xml:space="preserve">, </w:t>
      </w:r>
      <w:hyperlink w:anchor="_ENREF_462" w:tooltip="Zangari, 2004 #3699" w:history="1">
        <w:r w:rsidR="004A784D">
          <w:rPr>
            <w:noProof/>
            <w:color w:val="000000"/>
          </w:rPr>
          <w:t>Zangari et al., 2004</w:t>
        </w:r>
      </w:hyperlink>
      <w:r w:rsidR="006F41FE">
        <w:rPr>
          <w:noProof/>
          <w:color w:val="000000"/>
        </w:rPr>
        <w:t>)</w:t>
      </w:r>
      <w:r w:rsidRPr="001A6261">
        <w:rPr>
          <w:color w:val="000000"/>
        </w:rPr>
        <w:fldChar w:fldCharType="end"/>
      </w:r>
      <w:r w:rsidRPr="001A6261">
        <w:rPr>
          <w:color w:val="000000"/>
        </w:rPr>
        <w:t>. The development of severe neuropathy can preclude the future use of other neurotox</w:t>
      </w:r>
      <w:r>
        <w:rPr>
          <w:color w:val="000000"/>
        </w:rPr>
        <w:t xml:space="preserve">ic agents including Bortezomib </w:t>
      </w:r>
      <w:r w:rsidRPr="001A6261">
        <w:rPr>
          <w:color w:val="000000"/>
        </w:rPr>
        <w:fldChar w:fldCharType="begin">
          <w:fldData xml:space="preserve">PEVuZE5vdGU+PENpdGU+PEF1dGhvcj5Ub3NpPC9BdXRob3I+PFllYXI+MjAwNTwvWWVhcj48UmVj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</w:fldData>
        </w:fldChar>
      </w:r>
      <w:r w:rsidR="006F41FE">
        <w:rPr>
          <w:color w:val="000000"/>
        </w:rPr>
        <w:instrText xml:space="preserve"> ADDIN EN.CITE </w:instrText>
      </w:r>
      <w:r w:rsidR="006F41FE">
        <w:rPr>
          <w:color w:val="000000"/>
        </w:rPr>
        <w:fldChar w:fldCharType="begin">
          <w:fldData xml:space="preserve">PEVuZE5vdGU+PENpdGU+PEF1dGhvcj5Ub3NpPC9BdXRob3I+PFllYXI+MjAwNTwvWWVhcj48UmVj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422" w:tooltip="Tosi, 2005 #3678" w:history="1">
        <w:r w:rsidR="004A784D">
          <w:rPr>
            <w:noProof/>
            <w:color w:val="000000"/>
          </w:rPr>
          <w:t>Tosi et al., 2005</w:t>
        </w:r>
      </w:hyperlink>
      <w:r w:rsidR="006F41FE">
        <w:rPr>
          <w:noProof/>
          <w:color w:val="000000"/>
        </w:rPr>
        <w:t xml:space="preserve">, </w:t>
      </w:r>
      <w:hyperlink w:anchor="_ENREF_80" w:tooltip="Cockwell, 2010 #229" w:history="1">
        <w:r w:rsidR="004A784D">
          <w:rPr>
            <w:noProof/>
            <w:color w:val="000000"/>
          </w:rPr>
          <w:t>Cockwell and Hutchison, 2010</w:t>
        </w:r>
      </w:hyperlink>
      <w:r w:rsidR="006F41FE">
        <w:rPr>
          <w:noProof/>
          <w:color w:val="000000"/>
        </w:rPr>
        <w:t>)</w:t>
      </w:r>
      <w:r w:rsidRPr="001A6261">
        <w:rPr>
          <w:color w:val="000000"/>
        </w:rPr>
        <w:fldChar w:fldCharType="end"/>
      </w:r>
      <w:r w:rsidRPr="001A6261">
        <w:rPr>
          <w:color w:val="000000"/>
        </w:rPr>
        <w:t xml:space="preserve">. </w:t>
      </w:r>
    </w:p>
    <w:p w:rsidR="001C5327" w:rsidRDefault="001C5327"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We hypothesized that</w:t>
      </w:r>
      <w:r>
        <w:rPr>
          <w:color w:val="000000"/>
        </w:rPr>
        <w:t>,</w:t>
      </w:r>
      <w:r w:rsidRPr="001A6261">
        <w:rPr>
          <w:color w:val="000000"/>
        </w:rPr>
        <w:t xml:space="preserve"> although individual patient response to thalidomide in MM patients are complex, specific markers exist circulating in the blood stream which correlate w</w:t>
      </w:r>
      <w:r>
        <w:rPr>
          <w:color w:val="000000"/>
        </w:rPr>
        <w:t>ith thalidomide sensitivity. Q</w:t>
      </w:r>
      <w:r w:rsidRPr="001A6261">
        <w:rPr>
          <w:color w:val="000000"/>
        </w:rPr>
        <w:t>uantification of a profile of these</w:t>
      </w:r>
      <w:r>
        <w:rPr>
          <w:color w:val="000000"/>
        </w:rPr>
        <w:t xml:space="preserve"> circulating bio</w:t>
      </w:r>
      <w:r w:rsidRPr="001A6261">
        <w:rPr>
          <w:color w:val="000000"/>
        </w:rPr>
        <w:t xml:space="preserve">markers will provide valuable prognostic information on the likelihood of patient response </w:t>
      </w:r>
      <w:r>
        <w:rPr>
          <w:color w:val="000000"/>
        </w:rPr>
        <w:t>to</w:t>
      </w:r>
      <w:r w:rsidRPr="001A6261">
        <w:rPr>
          <w:color w:val="000000"/>
        </w:rPr>
        <w:t xml:space="preserve"> treatment</w:t>
      </w:r>
      <w:r>
        <w:rPr>
          <w:color w:val="000000"/>
        </w:rPr>
        <w:t xml:space="preserve">. </w:t>
      </w:r>
    </w:p>
    <w:p w:rsidR="001C5327" w:rsidRDefault="001C5327" w:rsidP="00057B42">
      <w:pPr>
        <w:spacing w:line="360" w:lineRule="auto"/>
        <w:jc w:val="both"/>
        <w:rPr>
          <w:color w:val="000000"/>
        </w:rPr>
      </w:pPr>
    </w:p>
    <w:p w:rsidR="00B61503" w:rsidRDefault="00B61503" w:rsidP="00057B42">
      <w:pPr>
        <w:spacing w:line="360" w:lineRule="auto"/>
        <w:jc w:val="both"/>
        <w:rPr>
          <w:color w:val="000000"/>
        </w:rPr>
      </w:pPr>
      <w:r>
        <w:rPr>
          <w:color w:val="000000"/>
        </w:rPr>
        <w:t xml:space="preserve">This strategy will </w:t>
      </w:r>
      <w:r w:rsidRPr="001A6261">
        <w:rPr>
          <w:color w:val="000000"/>
        </w:rPr>
        <w:t>maximize the ben</w:t>
      </w:r>
      <w:r>
        <w:rPr>
          <w:color w:val="000000"/>
        </w:rPr>
        <w:t>efit: risk ratio by individualizing treatment options</w:t>
      </w:r>
      <w:r w:rsidRPr="005C118B">
        <w:rPr>
          <w:color w:val="000000"/>
        </w:rPr>
        <w:t xml:space="preserve"> </w:t>
      </w:r>
      <w:r>
        <w:rPr>
          <w:color w:val="000000"/>
        </w:rPr>
        <w:t>in MM patients</w:t>
      </w:r>
      <w:r w:rsidRPr="001A6261">
        <w:rPr>
          <w:color w:val="000000"/>
        </w:rPr>
        <w:t xml:space="preserve">. </w:t>
      </w:r>
      <w:r>
        <w:rPr>
          <w:color w:val="000000"/>
        </w:rPr>
        <w:t xml:space="preserve">Therefore if we could predict response and identify MM patients who are unlikely to benefit from thalidomide treatment, this cohort could avoid the side effects of a treatment which is not providing them </w:t>
      </w:r>
      <w:r w:rsidR="0056502E">
        <w:rPr>
          <w:color w:val="000000"/>
        </w:rPr>
        <w:t xml:space="preserve">with </w:t>
      </w:r>
      <w:r>
        <w:rPr>
          <w:color w:val="000000"/>
        </w:rPr>
        <w:t xml:space="preserve">clinical benefit. </w:t>
      </w:r>
    </w:p>
    <w:p w:rsidR="00B61503" w:rsidRPr="00373918" w:rsidRDefault="00B61503" w:rsidP="00645687">
      <w:pPr>
        <w:pStyle w:val="Heading2"/>
        <w:numPr>
          <w:ilvl w:val="2"/>
          <w:numId w:val="19"/>
        </w:numPr>
      </w:pPr>
      <w:r w:rsidRPr="001A6261">
        <w:rPr>
          <w:sz w:val="24"/>
          <w:szCs w:val="24"/>
        </w:rPr>
        <w:br w:type="page"/>
      </w:r>
      <w:bookmarkStart w:id="1687" w:name="_Toc302582401"/>
      <w:bookmarkStart w:id="1688" w:name="_Toc305690060"/>
      <w:r w:rsidR="00300A1B">
        <w:rPr>
          <w:sz w:val="24"/>
          <w:szCs w:val="24"/>
        </w:rPr>
        <w:lastRenderedPageBreak/>
        <w:tab/>
      </w:r>
      <w:bookmarkStart w:id="1689" w:name="_Toc306570752"/>
      <w:bookmarkStart w:id="1690" w:name="_Toc307067812"/>
      <w:bookmarkStart w:id="1691" w:name="_Toc312169379"/>
      <w:bookmarkStart w:id="1692" w:name="_Toc312172306"/>
      <w:bookmarkStart w:id="1693" w:name="_Toc312257855"/>
      <w:r w:rsidRPr="00373918">
        <w:t>Clinical aspect of biomarkers</w:t>
      </w:r>
      <w:bookmarkEnd w:id="1687"/>
      <w:bookmarkEnd w:id="1688"/>
      <w:bookmarkEnd w:id="1689"/>
      <w:bookmarkEnd w:id="1690"/>
      <w:bookmarkEnd w:id="1691"/>
      <w:bookmarkEnd w:id="1692"/>
      <w:bookmarkEnd w:id="1693"/>
    </w:p>
    <w:p w:rsidR="00B61503" w:rsidRPr="001A6261" w:rsidRDefault="00300A1B" w:rsidP="00645687">
      <w:pPr>
        <w:pStyle w:val="Heading2"/>
        <w:numPr>
          <w:ilvl w:val="3"/>
          <w:numId w:val="19"/>
        </w:numPr>
      </w:pPr>
      <w:bookmarkStart w:id="1694" w:name="_Toc302582402"/>
      <w:bookmarkStart w:id="1695" w:name="_Toc305690061"/>
      <w:r>
        <w:rPr>
          <w:sz w:val="24"/>
          <w:szCs w:val="24"/>
        </w:rPr>
        <w:t xml:space="preserve"> </w:t>
      </w:r>
      <w:r>
        <w:rPr>
          <w:sz w:val="24"/>
          <w:szCs w:val="24"/>
        </w:rPr>
        <w:tab/>
      </w:r>
      <w:bookmarkStart w:id="1696" w:name="_Toc306570753"/>
      <w:bookmarkStart w:id="1697" w:name="_Toc307067813"/>
      <w:bookmarkStart w:id="1698" w:name="_Toc312169380"/>
      <w:bookmarkStart w:id="1699" w:name="_Toc312172307"/>
      <w:bookmarkStart w:id="1700" w:name="_Toc312257856"/>
      <w:r w:rsidR="00B61503" w:rsidRPr="001A6261">
        <w:t>Background and disease management</w:t>
      </w:r>
      <w:bookmarkEnd w:id="1694"/>
      <w:bookmarkEnd w:id="1695"/>
      <w:bookmarkEnd w:id="1696"/>
      <w:bookmarkEnd w:id="1697"/>
      <w:bookmarkEnd w:id="1698"/>
      <w:bookmarkEnd w:id="1699"/>
      <w:bookmarkEnd w:id="1700"/>
      <w:r w:rsidR="00B61503" w:rsidRPr="001A6261">
        <w:t xml:space="preserve"> </w:t>
      </w:r>
    </w:p>
    <w:p w:rsidR="00B61503" w:rsidRDefault="00B61503" w:rsidP="00057B42">
      <w:pPr>
        <w:autoSpaceDE w:val="0"/>
        <w:autoSpaceDN w:val="0"/>
        <w:adjustRightInd w:val="0"/>
        <w:spacing w:before="240" w:line="360" w:lineRule="auto"/>
        <w:jc w:val="both"/>
        <w:rPr>
          <w:color w:val="131313"/>
        </w:rPr>
      </w:pPr>
      <w:r w:rsidRPr="00373918">
        <w:rPr>
          <w:color w:val="131313"/>
        </w:rPr>
        <w:t>There are several definitions of biomarkers. A biomarker is a characteristic that</w:t>
      </w:r>
      <w:r>
        <w:rPr>
          <w:color w:val="131313"/>
        </w:rPr>
        <w:t xml:space="preserve"> </w:t>
      </w:r>
      <w:r w:rsidRPr="00373918">
        <w:rPr>
          <w:color w:val="131313"/>
        </w:rPr>
        <w:t>can be objectively measured and evaluated as an indicator of a physiological as</w:t>
      </w:r>
      <w:r>
        <w:rPr>
          <w:color w:val="131313"/>
        </w:rPr>
        <w:t xml:space="preserve"> </w:t>
      </w:r>
      <w:r w:rsidRPr="00373918">
        <w:rPr>
          <w:color w:val="131313"/>
        </w:rPr>
        <w:t>well as a pathological process or pharmacological response to a therapeutic intervention.</w:t>
      </w:r>
      <w:r>
        <w:rPr>
          <w:color w:val="131313"/>
        </w:rPr>
        <w:t xml:space="preserve"> </w:t>
      </w:r>
      <w:r w:rsidRPr="00373918">
        <w:rPr>
          <w:color w:val="131313"/>
        </w:rPr>
        <w:t>Classical biomarkers are measurable alterations in blood pressure, blood</w:t>
      </w:r>
      <w:r>
        <w:rPr>
          <w:color w:val="131313"/>
        </w:rPr>
        <w:t xml:space="preserve"> </w:t>
      </w:r>
      <w:r w:rsidRPr="00373918">
        <w:rPr>
          <w:color w:val="131313"/>
        </w:rPr>
        <w:t>lactate levels following exercise, and blood glucose in diabetes mellitus</w:t>
      </w:r>
      <w:r w:rsidR="00886731">
        <w:rPr>
          <w:color w:val="131313"/>
        </w:rPr>
        <w:t xml:space="preserve"> </w:t>
      </w:r>
      <w:r w:rsidR="00886731">
        <w:rPr>
          <w:color w:val="131313"/>
        </w:rPr>
        <w:fldChar w:fldCharType="begin">
          <w:fldData xml:space="preserve">PEVuZE5vdGU+PENpdGU+PEF1dGhvcj5NYWNHcmVnb3I8L0F1dGhvcj48WWVhcj4yMDAzPC9ZZWFy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</w:fldData>
        </w:fldChar>
      </w:r>
      <w:r w:rsidR="00886731">
        <w:rPr>
          <w:color w:val="131313"/>
        </w:rPr>
        <w:instrText xml:space="preserve"> ADDIN EN.CITE </w:instrText>
      </w:r>
      <w:r w:rsidR="00886731">
        <w:rPr>
          <w:color w:val="131313"/>
        </w:rPr>
        <w:fldChar w:fldCharType="begin">
          <w:fldData xml:space="preserve">PEVuZE5vdGU+PENpdGU+PEF1dGhvcj5NYWNHcmVnb3I8L0F1dGhvcj48WWVhcj4yMDAzPC9ZZWFy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</w:fldData>
        </w:fldChar>
      </w:r>
      <w:r w:rsidR="00886731">
        <w:rPr>
          <w:color w:val="131313"/>
        </w:rPr>
        <w:instrText xml:space="preserve"> ADDIN EN.CITE.DATA </w:instrText>
      </w:r>
      <w:r w:rsidR="00886731">
        <w:rPr>
          <w:color w:val="131313"/>
        </w:rPr>
      </w:r>
      <w:r w:rsidR="00886731">
        <w:rPr>
          <w:color w:val="131313"/>
        </w:rPr>
        <w:fldChar w:fldCharType="end"/>
      </w:r>
      <w:r w:rsidR="00886731">
        <w:rPr>
          <w:color w:val="131313"/>
        </w:rPr>
      </w:r>
      <w:r w:rsidR="00886731">
        <w:rPr>
          <w:color w:val="131313"/>
        </w:rPr>
        <w:fldChar w:fldCharType="separate"/>
      </w:r>
      <w:r w:rsidR="00886731">
        <w:rPr>
          <w:noProof/>
          <w:color w:val="131313"/>
        </w:rPr>
        <w:t>(</w:t>
      </w:r>
      <w:hyperlink w:anchor="_ENREF_261" w:tooltip="MacGregor, 2003 #5787" w:history="1">
        <w:r w:rsidR="004A784D">
          <w:rPr>
            <w:noProof/>
            <w:color w:val="131313"/>
          </w:rPr>
          <w:t>MacGregor, 2003</w:t>
        </w:r>
      </w:hyperlink>
      <w:r w:rsidR="00886731">
        <w:rPr>
          <w:noProof/>
          <w:color w:val="131313"/>
        </w:rPr>
        <w:t xml:space="preserve">, </w:t>
      </w:r>
      <w:hyperlink w:anchor="_ENREF_228" w:tooltip="Kundu, 2011 #5776" w:history="1">
        <w:r w:rsidR="004A784D">
          <w:rPr>
            <w:noProof/>
            <w:color w:val="131313"/>
          </w:rPr>
          <w:t>Kundu et al., 2011</w:t>
        </w:r>
      </w:hyperlink>
      <w:r w:rsidR="00886731">
        <w:rPr>
          <w:noProof/>
          <w:color w:val="131313"/>
        </w:rPr>
        <w:t>)</w:t>
      </w:r>
      <w:r w:rsidR="00886731">
        <w:rPr>
          <w:color w:val="131313"/>
        </w:rPr>
        <w:fldChar w:fldCharType="end"/>
      </w:r>
      <w:r w:rsidRPr="00373918">
        <w:rPr>
          <w:color w:val="131313"/>
        </w:rPr>
        <w:t>. Any specific</w:t>
      </w:r>
      <w:r>
        <w:rPr>
          <w:color w:val="131313"/>
        </w:rPr>
        <w:t xml:space="preserve"> </w:t>
      </w:r>
      <w:r w:rsidRPr="00373918">
        <w:rPr>
          <w:color w:val="131313"/>
        </w:rPr>
        <w:t>molecular alteration of a cell on DNA, RNA, metabolite, or protein level can</w:t>
      </w:r>
      <w:r>
        <w:rPr>
          <w:color w:val="131313"/>
        </w:rPr>
        <w:t xml:space="preserve"> </w:t>
      </w:r>
      <w:r w:rsidRPr="00373918">
        <w:rPr>
          <w:color w:val="131313"/>
        </w:rPr>
        <w:t>be referred to as a molecular biomarker</w:t>
      </w:r>
      <w:r>
        <w:rPr>
          <w:color w:val="131313"/>
        </w:rPr>
        <w:t xml:space="preserve"> (Table 4.1)</w:t>
      </w:r>
      <w:r w:rsidR="00C7310F">
        <w:rPr>
          <w:color w:val="131313"/>
        </w:rPr>
        <w:fldChar w:fldCharType="begin">
          <w:fldData xml:space="preserve">PEVuZE5vdGU+PENpdGU+PEF1dGhvcj5aaXR2b2dlbDwvQXV0aG9yPjxZZWFyPjIwMTA8L1llYXI+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</w:fldData>
        </w:fldChar>
      </w:r>
      <w:r w:rsidR="00C7310F">
        <w:rPr>
          <w:color w:val="131313"/>
        </w:rPr>
        <w:instrText xml:space="preserve"> ADDIN EN.CITE </w:instrText>
      </w:r>
      <w:r w:rsidR="00C7310F">
        <w:rPr>
          <w:color w:val="131313"/>
        </w:rPr>
        <w:fldChar w:fldCharType="begin">
          <w:fldData xml:space="preserve">PEVuZE5vdGU+PENpdGU+PEF1dGhvcj5aaXR2b2dlbDwvQXV0aG9yPjxZZWFyPjIwMTA8L1llYXI+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</w:fldData>
        </w:fldChar>
      </w:r>
      <w:r w:rsidR="00C7310F">
        <w:rPr>
          <w:color w:val="131313"/>
        </w:rPr>
        <w:instrText xml:space="preserve"> ADDIN EN.CITE.DATA </w:instrText>
      </w:r>
      <w:r w:rsidR="00C7310F">
        <w:rPr>
          <w:color w:val="131313"/>
        </w:rPr>
      </w:r>
      <w:r w:rsidR="00C7310F">
        <w:rPr>
          <w:color w:val="131313"/>
        </w:rPr>
        <w:fldChar w:fldCharType="end"/>
      </w:r>
      <w:r w:rsidR="00C7310F">
        <w:rPr>
          <w:color w:val="131313"/>
        </w:rPr>
      </w:r>
      <w:r w:rsidR="00C7310F">
        <w:rPr>
          <w:color w:val="131313"/>
        </w:rPr>
        <w:fldChar w:fldCharType="separate"/>
      </w:r>
      <w:r w:rsidR="00C7310F">
        <w:rPr>
          <w:noProof/>
          <w:color w:val="131313"/>
        </w:rPr>
        <w:t>(</w:t>
      </w:r>
      <w:hyperlink w:anchor="_ENREF_474" w:tooltip="Zitvogel, 2010 #5778" w:history="1">
        <w:r w:rsidR="004A784D">
          <w:rPr>
            <w:noProof/>
            <w:color w:val="131313"/>
          </w:rPr>
          <w:t>Zitvogel et al., 2010</w:t>
        </w:r>
      </w:hyperlink>
      <w:r w:rsidR="00C7310F">
        <w:rPr>
          <w:noProof/>
          <w:color w:val="131313"/>
        </w:rPr>
        <w:t xml:space="preserve">, </w:t>
      </w:r>
      <w:hyperlink w:anchor="_ENREF_289" w:tooltip="Newberry, 2010 #5781" w:history="1">
        <w:r w:rsidR="004A784D">
          <w:rPr>
            <w:noProof/>
            <w:color w:val="131313"/>
          </w:rPr>
          <w:t>Newberry et al., 2010</w:t>
        </w:r>
      </w:hyperlink>
      <w:r w:rsidR="00C7310F">
        <w:rPr>
          <w:noProof/>
          <w:color w:val="131313"/>
        </w:rPr>
        <w:t xml:space="preserve">, </w:t>
      </w:r>
      <w:hyperlink w:anchor="_ENREF_270" w:tooltip="McPhail, 2010 #5779" w:history="1">
        <w:r w:rsidR="004A784D">
          <w:rPr>
            <w:noProof/>
            <w:color w:val="131313"/>
          </w:rPr>
          <w:t>McPhail et al., 2010</w:t>
        </w:r>
      </w:hyperlink>
      <w:r w:rsidR="00C7310F">
        <w:rPr>
          <w:noProof/>
          <w:color w:val="131313"/>
        </w:rPr>
        <w:t xml:space="preserve">, </w:t>
      </w:r>
      <w:hyperlink w:anchor="_ENREF_383" w:tooltip="Shi, 2009 #5783" w:history="1">
        <w:r w:rsidR="004A784D">
          <w:rPr>
            <w:noProof/>
            <w:color w:val="131313"/>
          </w:rPr>
          <w:t>Shi and Guo, 2009</w:t>
        </w:r>
      </w:hyperlink>
      <w:r w:rsidR="00C7310F">
        <w:rPr>
          <w:noProof/>
          <w:color w:val="131313"/>
        </w:rPr>
        <w:t xml:space="preserve">, </w:t>
      </w:r>
      <w:hyperlink w:anchor="_ENREF_348" w:tooltip="Robert, 2009 #5782" w:history="1">
        <w:r w:rsidR="004A784D">
          <w:rPr>
            <w:noProof/>
            <w:color w:val="131313"/>
          </w:rPr>
          <w:t>Robert et al., 2009</w:t>
        </w:r>
      </w:hyperlink>
      <w:r w:rsidR="00C7310F">
        <w:rPr>
          <w:noProof/>
          <w:color w:val="131313"/>
        </w:rPr>
        <w:t xml:space="preserve">, </w:t>
      </w:r>
      <w:hyperlink w:anchor="_ENREF_430" w:tooltip="Van Leeuwen, 2008 #5784" w:history="1">
        <w:r w:rsidR="004A784D">
          <w:rPr>
            <w:noProof/>
            <w:color w:val="131313"/>
          </w:rPr>
          <w:t>Van Leeuwen et al., 2008</w:t>
        </w:r>
      </w:hyperlink>
      <w:r w:rsidR="00C7310F">
        <w:rPr>
          <w:noProof/>
          <w:color w:val="131313"/>
        </w:rPr>
        <w:t>)</w:t>
      </w:r>
      <w:r w:rsidR="00C7310F">
        <w:rPr>
          <w:color w:val="131313"/>
        </w:rPr>
        <w:fldChar w:fldCharType="end"/>
      </w:r>
      <w:r w:rsidRPr="00373918">
        <w:rPr>
          <w:color w:val="131313"/>
        </w:rPr>
        <w:t>.</w:t>
      </w:r>
    </w:p>
    <w:p w:rsidR="00B61503" w:rsidRDefault="00B61503" w:rsidP="00057B42">
      <w:pPr>
        <w:autoSpaceDE w:val="0"/>
        <w:autoSpaceDN w:val="0"/>
        <w:adjustRightInd w:val="0"/>
        <w:spacing w:line="360" w:lineRule="auto"/>
        <w:jc w:val="both"/>
        <w:rPr>
          <w:color w:val="131313"/>
        </w:rPr>
      </w:pPr>
    </w:p>
    <w:p w:rsidR="00B61503" w:rsidRDefault="00C7310F" w:rsidP="00057B42">
      <w:pPr>
        <w:keepNext/>
        <w:autoSpaceDE w:val="0"/>
        <w:autoSpaceDN w:val="0"/>
        <w:adjustRightInd w:val="0"/>
        <w:spacing w:line="360" w:lineRule="auto"/>
        <w:ind w:left="284"/>
        <w:jc w:val="both"/>
      </w:pPr>
      <w:r w:rsidRPr="00C7310F">
        <w:rPr>
          <w:noProof/>
          <w:lang w:eastAsia="en-IE"/>
        </w:rPr>
        <w:drawing>
          <wp:inline distT="0" distB="0" distL="0" distR="0" wp14:anchorId="00F7E22B" wp14:editId="40AC46E4">
            <wp:extent cx="4461343" cy="3600000"/>
            <wp:effectExtent l="0" t="0" r="0" b="635"/>
            <wp:docPr id="291125" name="Picture 29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t="1511"/>
                    <a:stretch/>
                  </pic:blipFill>
                  <pic:spPr bwMode="auto">
                    <a:xfrm>
                      <a:off x="0" y="0"/>
                      <a:ext cx="4461343" cy="3600000"/>
                    </a:xfrm>
                    <a:prstGeom prst="rect">
                      <a:avLst/>
                    </a:prstGeom>
                    <a:ln>
                      <a:noFill/>
                    </a:ln>
                    <a:extLst>
                      <a:ext uri="{53640926-AAD7-44D8-BBD7-CCE9431645EC}">
                        <a14:shadowObscured xmlns:a14="http://schemas.microsoft.com/office/drawing/2010/main"/>
                      </a:ext>
                    </a:extLst>
                  </pic:spPr>
                </pic:pic>
              </a:graphicData>
            </a:graphic>
          </wp:inline>
        </w:drawing>
      </w:r>
    </w:p>
    <w:p w:rsidR="0056502E" w:rsidRDefault="0056502E" w:rsidP="00057B42">
      <w:pPr>
        <w:pBdr>
          <w:bottom w:val="single" w:sz="12" w:space="1" w:color="auto"/>
        </w:pBdr>
        <w:spacing w:line="360" w:lineRule="auto"/>
        <w:jc w:val="both"/>
        <w:rPr>
          <w:b/>
          <w:color w:val="000000"/>
        </w:rPr>
      </w:pPr>
    </w:p>
    <w:p w:rsidR="00B61503" w:rsidRDefault="00D74982" w:rsidP="00057B42">
      <w:pPr>
        <w:pBdr>
          <w:bottom w:val="single" w:sz="12" w:space="1" w:color="auto"/>
        </w:pBdr>
        <w:spacing w:line="360" w:lineRule="auto"/>
        <w:jc w:val="both"/>
        <w:rPr>
          <w:b/>
          <w:color w:val="000000"/>
        </w:rPr>
      </w:pPr>
      <w:r>
        <w:rPr>
          <w:b/>
          <w:color w:val="000000"/>
        </w:rPr>
        <w:t>Table 4</w:t>
      </w:r>
      <w:r w:rsidR="0056502E">
        <w:rPr>
          <w:b/>
          <w:color w:val="000000"/>
        </w:rPr>
        <w:t>-</w:t>
      </w:r>
      <w:r>
        <w:rPr>
          <w:b/>
          <w:color w:val="000000"/>
        </w:rPr>
        <w:t>1 C</w:t>
      </w:r>
      <w:r w:rsidR="00B61503" w:rsidRPr="00BA038F">
        <w:rPr>
          <w:b/>
          <w:color w:val="000000"/>
        </w:rPr>
        <w:t xml:space="preserve">lassification of biomarkers is shown. While researchers are studying all categories, biotechnology and pharmaceutical companies favour using biomarkers as drug discovery tools – not only to detect biological responses to experimental drugs but also to aid in the discovery of new targets </w:t>
      </w:r>
      <w:r w:rsidR="00B61503" w:rsidRPr="00BA038F">
        <w:rPr>
          <w:b/>
          <w:color w:val="000000"/>
        </w:rPr>
        <w:lastRenderedPageBreak/>
        <w:t>for therapeutic intervention (</w:t>
      </w:r>
      <w:r w:rsidR="00B61503" w:rsidRPr="00F935D7">
        <w:rPr>
          <w:b/>
          <w:color w:val="000000"/>
        </w:rPr>
        <w:t xml:space="preserve">Reproduce from </w:t>
      </w:r>
      <w:r w:rsidR="00B61503">
        <w:rPr>
          <w:b/>
          <w:color w:val="000000"/>
        </w:rPr>
        <w:t>t</w:t>
      </w:r>
      <w:r w:rsidR="00F35910">
        <w:rPr>
          <w:b/>
          <w:color w:val="000000"/>
        </w:rPr>
        <w:t xml:space="preserve">he, </w:t>
      </w:r>
      <w:r w:rsidR="00B61503" w:rsidRPr="00BA038F">
        <w:rPr>
          <w:b/>
          <w:color w:val="000000"/>
        </w:rPr>
        <w:t>Handbook of Biomarkers</w:t>
      </w:r>
      <w:r w:rsidR="00B61503">
        <w:rPr>
          <w:b/>
          <w:color w:val="000000"/>
        </w:rPr>
        <w:t>, by</w:t>
      </w:r>
      <w:r w:rsidR="00B61503" w:rsidRPr="00BA038F">
        <w:rPr>
          <w:b/>
          <w:color w:val="000000"/>
        </w:rPr>
        <w:t xml:space="preserve"> Kewal K. Jain, Library of Congress</w:t>
      </w:r>
      <w:r w:rsidR="00B61503">
        <w:rPr>
          <w:b/>
          <w:color w:val="000000"/>
        </w:rPr>
        <w:t>,</w:t>
      </w:r>
      <w:r w:rsidR="00B61503" w:rsidRPr="00BA038F">
        <w:rPr>
          <w:b/>
          <w:color w:val="000000"/>
        </w:rPr>
        <w:t xml:space="preserve"> </w:t>
      </w:r>
      <w:r w:rsidR="00B61503">
        <w:rPr>
          <w:b/>
          <w:color w:val="000000"/>
        </w:rPr>
        <w:t>ID</w:t>
      </w:r>
      <w:r w:rsidR="00B61503" w:rsidRPr="00BA038F">
        <w:rPr>
          <w:b/>
          <w:color w:val="000000"/>
        </w:rPr>
        <w:t xml:space="preserve"> Number: 2010920089)</w:t>
      </w:r>
      <w:r w:rsidR="00B61503">
        <w:rPr>
          <w:b/>
          <w:color w:val="000000"/>
        </w:rPr>
        <w:t xml:space="preserve">. </w:t>
      </w:r>
    </w:p>
    <w:p w:rsidR="00B61503" w:rsidRPr="00BA038F" w:rsidRDefault="00B61503" w:rsidP="00057B42">
      <w:pPr>
        <w:pBdr>
          <w:bottom w:val="single" w:sz="12" w:space="1" w:color="auto"/>
        </w:pBdr>
        <w:spacing w:line="360" w:lineRule="auto"/>
        <w:jc w:val="both"/>
        <w:rPr>
          <w:b/>
          <w:color w:val="000000"/>
        </w:rPr>
      </w:pPr>
    </w:p>
    <w:p w:rsidR="00B61503" w:rsidRDefault="00B61503"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Historically, a biomarker that displays a proportional association with the stage of a disease can be used as a surrogate to monitor its severity or detect a relapse. However, </w:t>
      </w:r>
      <w:r>
        <w:rPr>
          <w:color w:val="000000"/>
        </w:rPr>
        <w:t>there is ambiguity</w:t>
      </w:r>
      <w:r w:rsidRPr="001A6261">
        <w:rPr>
          <w:color w:val="000000"/>
        </w:rPr>
        <w:t xml:space="preserve"> of the</w:t>
      </w:r>
      <w:r>
        <w:rPr>
          <w:color w:val="000000"/>
        </w:rPr>
        <w:t xml:space="preserve"> use</w:t>
      </w:r>
      <w:r w:rsidRPr="001A6261">
        <w:rPr>
          <w:color w:val="000000"/>
        </w:rPr>
        <w:t xml:space="preserve"> </w:t>
      </w:r>
      <w:r>
        <w:rPr>
          <w:color w:val="000000"/>
        </w:rPr>
        <w:t>of the term</w:t>
      </w:r>
      <w:r w:rsidRPr="001A6261">
        <w:rPr>
          <w:color w:val="000000"/>
        </w:rPr>
        <w:t xml:space="preserve"> </w:t>
      </w:r>
      <w:r>
        <w:rPr>
          <w:color w:val="000000"/>
        </w:rPr>
        <w:t>‘</w:t>
      </w:r>
      <w:r w:rsidRPr="001A6261">
        <w:rPr>
          <w:color w:val="000000"/>
        </w:rPr>
        <w:t>prognostic</w:t>
      </w:r>
      <w:r>
        <w:rPr>
          <w:color w:val="000000"/>
        </w:rPr>
        <w:t>’</w:t>
      </w:r>
      <w:r w:rsidRPr="001A6261">
        <w:rPr>
          <w:color w:val="000000"/>
        </w:rPr>
        <w:t xml:space="preserve"> and </w:t>
      </w:r>
      <w:r>
        <w:rPr>
          <w:color w:val="000000"/>
        </w:rPr>
        <w:t>‘</w:t>
      </w:r>
      <w:r w:rsidRPr="001A6261">
        <w:rPr>
          <w:color w:val="000000"/>
        </w:rPr>
        <w:t>predictive</w:t>
      </w:r>
      <w:r>
        <w:rPr>
          <w:color w:val="000000"/>
        </w:rPr>
        <w:t>’</w:t>
      </w:r>
      <w:r w:rsidRPr="001A6261">
        <w:rPr>
          <w:color w:val="000000"/>
        </w:rPr>
        <w:t xml:space="preserve"> biomarkers. This is to a degree due to the fact that predictive and prognostic biomarkers are often swapped</w:t>
      </w:r>
      <w:r w:rsidR="00F35910">
        <w:rPr>
          <w:color w:val="000000"/>
        </w:rPr>
        <w:t xml:space="preserve"> </w:t>
      </w:r>
      <w:r w:rsidR="00F35910">
        <w:rPr>
          <w:color w:val="000000"/>
        </w:rPr>
        <w:fldChar w:fldCharType="begin">
          <w:fldData xml:space="preserve">PEVuZE5vdGU+PENpdGU+PEF1dGhvcj5LZXNpc2lzPC9BdXRob3I+PFllYXI+MjAxMDwvWWVhcj48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</w:fldData>
        </w:fldChar>
      </w:r>
      <w:r w:rsidR="00F35910">
        <w:rPr>
          <w:color w:val="000000"/>
        </w:rPr>
        <w:instrText xml:space="preserve"> ADDIN EN.CITE </w:instrText>
      </w:r>
      <w:r w:rsidR="00F35910">
        <w:rPr>
          <w:color w:val="000000"/>
        </w:rPr>
        <w:fldChar w:fldCharType="begin">
          <w:fldData xml:space="preserve">PEVuZE5vdGU+PENpdGU+PEF1dGhvcj5LZXNpc2lzPC9BdXRob3I+PFllYXI+MjAxMDwvWWVhcj48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</w:fldData>
        </w:fldChar>
      </w:r>
      <w:r w:rsidR="00F35910">
        <w:rPr>
          <w:color w:val="000000"/>
        </w:rPr>
        <w:instrText xml:space="preserve"> ADDIN EN.CITE.DATA </w:instrText>
      </w:r>
      <w:r w:rsidR="00F35910">
        <w:rPr>
          <w:color w:val="000000"/>
        </w:rPr>
      </w:r>
      <w:r w:rsidR="00F35910">
        <w:rPr>
          <w:color w:val="000000"/>
        </w:rPr>
        <w:fldChar w:fldCharType="end"/>
      </w:r>
      <w:r w:rsidR="00F35910">
        <w:rPr>
          <w:color w:val="000000"/>
        </w:rPr>
      </w:r>
      <w:r w:rsidR="00F35910">
        <w:rPr>
          <w:color w:val="000000"/>
        </w:rPr>
        <w:fldChar w:fldCharType="separate"/>
      </w:r>
      <w:r w:rsidR="00F35910">
        <w:rPr>
          <w:noProof/>
          <w:color w:val="000000"/>
        </w:rPr>
        <w:t>(</w:t>
      </w:r>
      <w:hyperlink w:anchor="_ENREF_208" w:tooltip="Kesisis, 2010 #5794" w:history="1">
        <w:r w:rsidR="004A784D">
          <w:rPr>
            <w:noProof/>
            <w:color w:val="000000"/>
          </w:rPr>
          <w:t>Kesisis et al., 2010</w:t>
        </w:r>
      </w:hyperlink>
      <w:r w:rsidR="00F35910">
        <w:rPr>
          <w:noProof/>
          <w:color w:val="000000"/>
        </w:rPr>
        <w:t xml:space="preserve">, </w:t>
      </w:r>
      <w:hyperlink w:anchor="_ENREF_436" w:tooltip="Vickers, 2010 #5795" w:history="1">
        <w:r w:rsidR="004A784D">
          <w:rPr>
            <w:noProof/>
            <w:color w:val="000000"/>
          </w:rPr>
          <w:t>Vickers and Heng, 2010</w:t>
        </w:r>
      </w:hyperlink>
      <w:r w:rsidR="00F35910">
        <w:rPr>
          <w:noProof/>
          <w:color w:val="000000"/>
        </w:rPr>
        <w:t xml:space="preserve">, </w:t>
      </w:r>
      <w:hyperlink w:anchor="_ENREF_281" w:tooltip="Mudan, 2010 #5796" w:history="1">
        <w:r w:rsidR="004A784D">
          <w:rPr>
            <w:noProof/>
            <w:color w:val="000000"/>
          </w:rPr>
          <w:t>Mudan et al., 2010</w:t>
        </w:r>
      </w:hyperlink>
      <w:r w:rsidR="00F35910">
        <w:rPr>
          <w:noProof/>
          <w:color w:val="000000"/>
        </w:rPr>
        <w:t xml:space="preserve">, </w:t>
      </w:r>
      <w:hyperlink w:anchor="_ENREF_376" w:tooltip="Scott, 2008 #5797" w:history="1">
        <w:r w:rsidR="004A784D">
          <w:rPr>
            <w:noProof/>
            <w:color w:val="000000"/>
          </w:rPr>
          <w:t>Scott and Salgia, 2008</w:t>
        </w:r>
      </w:hyperlink>
      <w:r w:rsidR="00F35910">
        <w:rPr>
          <w:noProof/>
          <w:color w:val="000000"/>
        </w:rPr>
        <w:t xml:space="preserve">, </w:t>
      </w:r>
      <w:hyperlink w:anchor="_ENREF_110" w:tooltip="Dunn, 2009 #5798" w:history="1">
        <w:r w:rsidR="004A784D">
          <w:rPr>
            <w:noProof/>
            <w:color w:val="000000"/>
          </w:rPr>
          <w:t>Dunn and Demichele, 2009</w:t>
        </w:r>
      </w:hyperlink>
      <w:r w:rsidR="00F35910">
        <w:rPr>
          <w:noProof/>
          <w:color w:val="000000"/>
        </w:rPr>
        <w:t xml:space="preserve">, </w:t>
      </w:r>
      <w:hyperlink w:anchor="_ENREF_205" w:tooltip="Kay, 2007 #5799" w:history="1">
        <w:r w:rsidR="004A784D">
          <w:rPr>
            <w:noProof/>
            <w:color w:val="000000"/>
          </w:rPr>
          <w:t>Kay et al., 2007</w:t>
        </w:r>
      </w:hyperlink>
      <w:r w:rsidR="00F35910">
        <w:rPr>
          <w:noProof/>
          <w:color w:val="000000"/>
        </w:rPr>
        <w:t xml:space="preserve">, </w:t>
      </w:r>
      <w:hyperlink w:anchor="_ENREF_377" w:tooltip="Sehn, 2006 #5800" w:history="1">
        <w:r w:rsidR="004A784D">
          <w:rPr>
            <w:noProof/>
            <w:color w:val="000000"/>
          </w:rPr>
          <w:t>Sehn, 2006</w:t>
        </w:r>
      </w:hyperlink>
      <w:r w:rsidR="00F35910">
        <w:rPr>
          <w:noProof/>
          <w:color w:val="000000"/>
        </w:rPr>
        <w:t>)</w:t>
      </w:r>
      <w:r w:rsidR="00F35910">
        <w:rPr>
          <w:color w:val="000000"/>
        </w:rPr>
        <w:fldChar w:fldCharType="end"/>
      </w:r>
      <w:r w:rsidRPr="001A6261">
        <w:rPr>
          <w:color w:val="000000"/>
        </w:rPr>
        <w:t xml:space="preserve">. </w:t>
      </w:r>
    </w:p>
    <w:p w:rsidR="0056502E" w:rsidRDefault="0056502E"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Prognostic biomarkers might especially be useful for hypothesis testing for their relevance as predictive markers, as targets for therapy and for the selection of patients for novel treatment. Therefore, prognostic biomarkers may be used to </w:t>
      </w:r>
      <w:r>
        <w:rPr>
          <w:color w:val="000000"/>
        </w:rPr>
        <w:t>asses</w:t>
      </w:r>
      <w:r w:rsidRPr="001A6261">
        <w:rPr>
          <w:color w:val="000000"/>
        </w:rPr>
        <w:t xml:space="preserve"> treatment response, although cannot specifically predict response to given therapy</w:t>
      </w:r>
      <w:r>
        <w:rPr>
          <w:color w:val="000000"/>
        </w:rPr>
        <w:t xml:space="preserve"> </w:t>
      </w:r>
      <w:r>
        <w:rPr>
          <w:color w:val="000000"/>
        </w:rPr>
        <w:fldChar w:fldCharType="begin">
          <w:fldData xml:space="preserve">PEVuZE5vdGU+PENpdGU+PEF1dGhvcj5Bbmd1aWFubzwvQXV0aG9yPjxZZWFyPjIwMDk8L1llYXI+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</w:fldData>
        </w:fldChar>
      </w:r>
      <w:r w:rsidR="00857D49">
        <w:rPr>
          <w:color w:val="000000"/>
        </w:rPr>
        <w:instrText xml:space="preserve"> ADDIN EN.CITE </w:instrText>
      </w:r>
      <w:r w:rsidR="00857D49">
        <w:rPr>
          <w:color w:val="000000"/>
        </w:rPr>
        <w:fldChar w:fldCharType="begin">
          <w:fldData xml:space="preserve">PEVuZE5vdGU+PENpdGU+PEF1dGhvcj5Bbmd1aWFubzwvQXV0aG9yPjxZZWFyPjIwMDk8L1llYXI+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</w:fldData>
        </w:fldChar>
      </w:r>
      <w:r w:rsidR="00857D49">
        <w:rPr>
          <w:color w:val="000000"/>
        </w:rPr>
        <w:instrText xml:space="preserve"> ADDIN EN.CITE.DATA </w:instrText>
      </w:r>
      <w:r w:rsidR="00857D49">
        <w:rPr>
          <w:color w:val="000000"/>
        </w:rPr>
      </w:r>
      <w:r w:rsidR="00857D49">
        <w:rPr>
          <w:color w:val="000000"/>
        </w:rPr>
        <w:fldChar w:fldCharType="end"/>
      </w:r>
      <w:r>
        <w:rPr>
          <w:color w:val="000000"/>
        </w:rPr>
      </w:r>
      <w:r>
        <w:rPr>
          <w:color w:val="000000"/>
        </w:rPr>
        <w:fldChar w:fldCharType="separate"/>
      </w:r>
      <w:r w:rsidR="006F41FE">
        <w:rPr>
          <w:noProof/>
          <w:color w:val="000000"/>
        </w:rPr>
        <w:t>(</w:t>
      </w:r>
      <w:hyperlink w:anchor="_ENREF_25" w:tooltip="Anguiano, 2009 #7159" w:history="1">
        <w:r w:rsidR="004A784D">
          <w:rPr>
            <w:noProof/>
            <w:color w:val="000000"/>
          </w:rPr>
          <w:t>Anguiano et al., 2009</w:t>
        </w:r>
      </w:hyperlink>
      <w:r w:rsidR="006F41FE">
        <w:rPr>
          <w:noProof/>
          <w:color w:val="000000"/>
        </w:rPr>
        <w:t>)</w:t>
      </w:r>
      <w:r>
        <w:rPr>
          <w:color w:val="000000"/>
        </w:rPr>
        <w:fldChar w:fldCharType="end"/>
      </w:r>
      <w:r w:rsidRPr="001A6261">
        <w:rPr>
          <w:color w:val="000000"/>
        </w:rPr>
        <w:t xml:space="preserve">. </w:t>
      </w:r>
    </w:p>
    <w:p w:rsidR="0056502E" w:rsidRDefault="0056502E" w:rsidP="00057B42">
      <w:pPr>
        <w:spacing w:line="360" w:lineRule="auto"/>
        <w:jc w:val="both"/>
        <w:rPr>
          <w:color w:val="000000"/>
        </w:rPr>
      </w:pPr>
    </w:p>
    <w:p w:rsidR="00B61503" w:rsidRDefault="00B61503" w:rsidP="00057B42">
      <w:pPr>
        <w:spacing w:line="360" w:lineRule="auto"/>
        <w:jc w:val="both"/>
        <w:rPr>
          <w:color w:val="000000"/>
        </w:rPr>
      </w:pPr>
      <w:r>
        <w:rPr>
          <w:color w:val="000000"/>
        </w:rPr>
        <w:t>Despite</w:t>
      </w:r>
      <w:r w:rsidRPr="001A6261">
        <w:rPr>
          <w:color w:val="000000"/>
        </w:rPr>
        <w:t xml:space="preserve"> a growing number of publications about biomarkers that give information on disease outcome, the best prognostic factors in </w:t>
      </w:r>
      <w:r>
        <w:rPr>
          <w:color w:val="000000"/>
        </w:rPr>
        <w:t>MM</w:t>
      </w:r>
      <w:r w:rsidRPr="001A6261">
        <w:rPr>
          <w:color w:val="000000"/>
        </w:rPr>
        <w:t xml:space="preserve"> are still simple clinical parameters like performan</w:t>
      </w:r>
      <w:r w:rsidR="005C6BF8">
        <w:rPr>
          <w:color w:val="000000"/>
        </w:rPr>
        <w:t xml:space="preserve">ce status, B2M and albumin </w:t>
      </w:r>
      <w:r w:rsidRPr="001A6261">
        <w:rPr>
          <w:color w:val="000000"/>
        </w:rPr>
        <w:t>level</w:t>
      </w:r>
      <w:r w:rsidR="005C6BF8">
        <w:rPr>
          <w:color w:val="000000"/>
        </w:rPr>
        <w:t xml:space="preserve">. </w:t>
      </w:r>
      <w:r>
        <w:rPr>
          <w:color w:val="000000"/>
        </w:rPr>
        <w:fldChar w:fldCharType="begin"/>
      </w:r>
      <w:r w:rsidR="006F41FE">
        <w:rPr>
          <w:color w:val="000000"/>
        </w:rPr>
        <w:instrText xml:space="preserve"> ADDIN EN.CITE &lt;EndNote&gt;&lt;Cite&gt;&lt;Author&gt;Dimopoulos&lt;/Author&gt;&lt;Year&gt;2010&lt;/Year&gt;&lt;RecNum&gt;4841&lt;/RecNum&gt;&lt;DisplayText&gt;(Dimopoulos and Terpos, 2010)&lt;/DisplayText&gt;&lt;record&gt;&lt;rec-number&gt;4841&lt;/rec-number&gt;&lt;foreign-keys&gt;&lt;key app="EN" db-id="zf0awxsaczrdd3eft5qvw9wrtxxawdfrvw2a"&gt;4841&lt;/key&gt;&lt;/foreign-keys&gt;&lt;ref-type name="Journal Article"&gt;17&lt;/ref-type&gt;&lt;contributors&gt;&lt;authors&gt;&lt;author&gt;Dimopoulos, M. A.&lt;/author&gt;&lt;author&gt;Terpos, E.&lt;/author&gt;&lt;/authors&gt;&lt;/contributors&gt;&lt;auth-address&gt;Department of Clinical Therapeutics, University of Athens School of Medicine, Athens, Greece. mdimop@med.uoa.gr&lt;/auth-address&gt;&lt;titles&gt;&lt;title&gt;Multiple myeloma&lt;/title&gt;&lt;secondary-title&gt;Ann Oncol&lt;/secondary-title&gt;&lt;/titles&gt;&lt;periodical&gt;&lt;full-title&gt;Ann Oncol&lt;/full-title&gt;&lt;/periodical&gt;&lt;pages&gt;vii143-50&lt;/pages&gt;&lt;volume&gt;21 Suppl 7&lt;/volume&gt;&lt;edition&gt;2010/10/15&lt;/edition&gt;&lt;dates&gt;&lt;year&gt;2010&lt;/year&gt;&lt;pub-dates&gt;&lt;date&gt;Oct&lt;/date&gt;&lt;/pub-dates&gt;&lt;/dates&gt;&lt;isbn&gt;1569-8041 (Electronic)&amp;#xD;0923-7534 (Linking)&lt;/isbn&gt;&lt;accession-num&gt;20943607&lt;/accession-num&gt;&lt;urls&gt;&lt;related-urls&gt;&lt;url&gt;http://www.ncbi.nlm.nih.gov/pubmed/20943607&lt;/url&gt;&lt;/related-urls&gt;&lt;/urls&gt;&lt;electronic-resource-num&gt;mdq370 [pii]&amp;#xD;10.1093/annonc/mdq370&lt;/electronic-resource-num&gt;&lt;language&gt;eng&lt;/language&gt;&lt;/record&gt;&lt;/Cite&gt;&lt;/EndNote&gt;</w:instrText>
      </w:r>
      <w:r>
        <w:rPr>
          <w:color w:val="000000"/>
        </w:rPr>
        <w:fldChar w:fldCharType="separate"/>
      </w:r>
      <w:r w:rsidR="006F41FE">
        <w:rPr>
          <w:noProof/>
          <w:color w:val="000000"/>
        </w:rPr>
        <w:t>(</w:t>
      </w:r>
      <w:hyperlink w:anchor="_ENREF_102" w:tooltip="Dimopoulos, 2010 #4841" w:history="1">
        <w:r w:rsidR="004A784D">
          <w:rPr>
            <w:noProof/>
            <w:color w:val="000000"/>
          </w:rPr>
          <w:t>Dimopoulos and Terpos, 2010</w:t>
        </w:r>
      </w:hyperlink>
      <w:r w:rsidR="006F41FE">
        <w:rPr>
          <w:noProof/>
          <w:color w:val="000000"/>
        </w:rPr>
        <w:t>)</w:t>
      </w:r>
      <w:r>
        <w:rPr>
          <w:color w:val="000000"/>
        </w:rPr>
        <w:fldChar w:fldCharType="end"/>
      </w:r>
      <w:r w:rsidRPr="001A6261">
        <w:rPr>
          <w:color w:val="000000"/>
        </w:rPr>
        <w:t>.</w:t>
      </w:r>
      <w:r w:rsidR="0056502E">
        <w:rPr>
          <w:color w:val="000000"/>
        </w:rPr>
        <w:t xml:space="preserve"> </w:t>
      </w:r>
      <w:r w:rsidRPr="001A6261">
        <w:rPr>
          <w:color w:val="000000"/>
        </w:rPr>
        <w:t xml:space="preserve">In this study we focused on </w:t>
      </w:r>
      <w:r>
        <w:rPr>
          <w:color w:val="000000"/>
        </w:rPr>
        <w:t>identification of predictive biomarkers that might</w:t>
      </w:r>
      <w:r w:rsidRPr="001A6261">
        <w:rPr>
          <w:color w:val="000000"/>
        </w:rPr>
        <w:t xml:space="preserve"> guide clinicians to a patient tailored therapy</w:t>
      </w:r>
      <w:r>
        <w:rPr>
          <w:color w:val="000000"/>
        </w:rPr>
        <w:t xml:space="preserve"> in newly diagnosed MM patients</w:t>
      </w:r>
      <w:r w:rsidR="00D732D1">
        <w:rPr>
          <w:color w:val="000000"/>
        </w:rPr>
        <w:t xml:space="preserve"> </w:t>
      </w:r>
      <w:r w:rsidR="00D732D1">
        <w:rPr>
          <w:color w:val="000000"/>
        </w:rPr>
        <w:fldChar w:fldCharType="begin">
          <w:fldData xml:space="preserve">PEVuZE5vdGU+PENpdGU+PEF1dGhvcj5SYWpwYWw8L0F1dGhvcj48WWVhcj4yMDExPC9ZZWFyPjxS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</w:fldData>
        </w:fldChar>
      </w:r>
      <w:r w:rsidR="00D732D1">
        <w:rPr>
          <w:color w:val="000000"/>
        </w:rPr>
        <w:instrText xml:space="preserve"> ADDIN EN.CITE </w:instrText>
      </w:r>
      <w:r w:rsidR="00D732D1">
        <w:rPr>
          <w:color w:val="000000"/>
        </w:rPr>
        <w:fldChar w:fldCharType="begin">
          <w:fldData xml:space="preserve">PEVuZE5vdGU+PENpdGU+PEF1dGhvcj5SYWpwYWw8L0F1dGhvcj48WWVhcj4yMDExPC9ZZWFyPjxS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</w:fldData>
        </w:fldChar>
      </w:r>
      <w:r w:rsidR="00D732D1">
        <w:rPr>
          <w:color w:val="000000"/>
        </w:rPr>
        <w:instrText xml:space="preserve"> ADDIN EN.CITE.DATA </w:instrText>
      </w:r>
      <w:r w:rsidR="00D732D1">
        <w:rPr>
          <w:color w:val="000000"/>
        </w:rPr>
      </w:r>
      <w:r w:rsidR="00D732D1">
        <w:rPr>
          <w:color w:val="000000"/>
        </w:rPr>
        <w:fldChar w:fldCharType="end"/>
      </w:r>
      <w:r w:rsidR="00D732D1">
        <w:rPr>
          <w:color w:val="000000"/>
        </w:rPr>
      </w:r>
      <w:r w:rsidR="00D732D1">
        <w:rPr>
          <w:color w:val="000000"/>
        </w:rPr>
        <w:fldChar w:fldCharType="separate"/>
      </w:r>
      <w:r w:rsidR="00D732D1">
        <w:rPr>
          <w:noProof/>
          <w:color w:val="000000"/>
        </w:rPr>
        <w:t>(</w:t>
      </w:r>
      <w:hyperlink w:anchor="_ENREF_335" w:tooltip="Rajpal, 2011 #5804" w:history="1">
        <w:r w:rsidR="004A784D">
          <w:rPr>
            <w:noProof/>
            <w:color w:val="000000"/>
          </w:rPr>
          <w:t>Rajpal et al., 2011</w:t>
        </w:r>
      </w:hyperlink>
      <w:r w:rsidR="00D732D1">
        <w:rPr>
          <w:noProof/>
          <w:color w:val="000000"/>
        </w:rPr>
        <w:t>)</w:t>
      </w:r>
      <w:r w:rsidR="00D732D1">
        <w:rPr>
          <w:color w:val="000000"/>
        </w:rPr>
        <w:fldChar w:fldCharType="end"/>
      </w:r>
      <w:r w:rsidRPr="001A6261">
        <w:rPr>
          <w:color w:val="000000"/>
        </w:rPr>
        <w:t xml:space="preserve">. </w:t>
      </w:r>
      <w:r>
        <w:rPr>
          <w:color w:val="000000"/>
        </w:rPr>
        <w:t>However f</w:t>
      </w:r>
      <w:r w:rsidRPr="00373918">
        <w:rPr>
          <w:color w:val="000000"/>
        </w:rPr>
        <w:t>inding reliable</w:t>
      </w:r>
      <w:r>
        <w:rPr>
          <w:color w:val="000000"/>
        </w:rPr>
        <w:t xml:space="preserve"> </w:t>
      </w:r>
      <w:r w:rsidRPr="00373918">
        <w:rPr>
          <w:color w:val="000000"/>
        </w:rPr>
        <w:t>biomarkers that are indicators of a certain response is difficult</w:t>
      </w:r>
      <w:r>
        <w:rPr>
          <w:color w:val="000000"/>
        </w:rPr>
        <w:t xml:space="preserve"> and can be</w:t>
      </w:r>
      <w:r w:rsidRPr="00373918">
        <w:rPr>
          <w:color w:val="000000"/>
        </w:rPr>
        <w:t xml:space="preserve"> challenging.</w:t>
      </w:r>
    </w:p>
    <w:p w:rsidR="008E15EA" w:rsidRDefault="008E15EA"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With our increasing knowledge of biologic behaviour of MM it </w:t>
      </w:r>
      <w:r w:rsidR="005C6BF8">
        <w:rPr>
          <w:color w:val="000000"/>
        </w:rPr>
        <w:t>is</w:t>
      </w:r>
      <w:r w:rsidRPr="001A6261">
        <w:rPr>
          <w:color w:val="000000"/>
        </w:rPr>
        <w:t xml:space="preserve"> evident that great heterogeneity amongst MM tumours cells and patients response exists </w:t>
      </w:r>
      <w:r w:rsidRPr="001A6261">
        <w:rPr>
          <w:color w:val="000000"/>
        </w:rPr>
        <w:fldChar w:fldCharType="begin"/>
      </w:r>
      <w:r w:rsidR="006F41FE">
        <w:rPr>
          <w:color w:val="000000"/>
        </w:rPr>
        <w:instrText xml:space="preserve"> ADDIN EN.CITE &lt;EndNote&gt;&lt;Cite&gt;&lt;Author&gt;Guikema&lt;/Author&gt;&lt;Year&gt;2004&lt;/Year&gt;&lt;RecNum&gt;14&lt;/RecNum&gt;&lt;DisplayText&gt;(Guikema et al., 2004)&lt;/DisplayText&gt;&lt;record&gt;&lt;rec-number&gt;14&lt;/rec-number&gt;&lt;foreign-keys&gt;&lt;key app="EN" db-id="zf0awxsaczrdd3eft5qvw9wrtxxawdfrvw2a"&gt;14&lt;/key&gt;&lt;/foreign-keys&gt;&lt;ref-type name="Journal Article"&gt;17&lt;/ref-type&gt;&lt;contributors&gt;&lt;authors&gt;&lt;author&gt;Guikema, J. E.&lt;/author&gt;&lt;author&gt;Hovenga, S.&lt;/author&gt;&lt;author&gt;Vellenga, E.&lt;/author&gt;&lt;author&gt;Bos, N. A.&lt;/author&gt;&lt;/authors&gt;&lt;/contributors&gt;&lt;auth-address&gt;Department of Cell Biology, Section Histology and Immunology, University of Groningen, Antonius Deusinglaan 1, 9713 AV, Groningen, The Netherlands.&lt;/auth-address&gt;&lt;titles&gt;&lt;title&gt;Heterogeneity in the multiple myeloma tumor clone&lt;/title&gt;&lt;secondary-title&gt;Leuk Lymphoma&lt;/secondary-title&gt;&lt;/titles&gt;&lt;periodical&gt;&lt;full-title&gt;Leuk Lymphoma&lt;/full-title&gt;&lt;/periodical&gt;&lt;pages&gt;857-71&lt;/pages&gt;&lt;volume&gt;45&lt;/volume&gt;&lt;number&gt;5&lt;/number&gt;&lt;edition&gt;2004/08/05&lt;/edition&gt;&lt;keywords&gt;&lt;keyword&gt;B-Lymphocytes/*pathology&lt;/keyword&gt;&lt;keyword&gt;Clone Cells/pathology&lt;/keyword&gt;&lt;keyword&gt;Humans&lt;/keyword&gt;&lt;keyword&gt;Immunoglobulin Switch Region&lt;/keyword&gt;&lt;keyword&gt;Immunophenotyping&lt;/keyword&gt;&lt;keyword&gt;Multiple Myeloma/diagnosis/*pathology&lt;/keyword&gt;&lt;/keywords&gt;&lt;dates&gt;&lt;year&gt;2004&lt;/year&gt;&lt;pub-dates&gt;&lt;date&gt;May&lt;/date&gt;&lt;/pub-dates&gt;&lt;/dates&gt;&lt;isbn&gt;1042-8194 (Print)&amp;#xD;1026-8022 (Linking)&lt;/isbn&gt;&lt;accession-num&gt;15291343&lt;/accession-num&gt;&lt;urls&gt;&lt;related-urls&gt;&lt;url&gt;http://www.ncbi.nlm.nih.gov/pubmed/15291343&lt;/url&gt;&lt;/related-urls&gt;&lt;/urls&gt;&lt;electronic-resource-num&gt;10.1080/10428190310001593201&lt;/electronic-resource-num&gt;&lt;language&gt;eng&lt;/language&gt;&lt;/record&gt;&lt;/Cite&gt;&lt;/EndNote&gt;</w:instrText>
      </w:r>
      <w:r w:rsidRPr="001A6261">
        <w:rPr>
          <w:color w:val="000000"/>
        </w:rPr>
        <w:fldChar w:fldCharType="separate"/>
      </w:r>
      <w:r w:rsidR="006F41FE">
        <w:rPr>
          <w:noProof/>
          <w:color w:val="000000"/>
        </w:rPr>
        <w:t>(</w:t>
      </w:r>
      <w:hyperlink w:anchor="_ENREF_154" w:tooltip="Guikema, 2004 #14" w:history="1">
        <w:r w:rsidR="004A784D">
          <w:rPr>
            <w:noProof/>
            <w:color w:val="000000"/>
          </w:rPr>
          <w:t>Guikema et al., 2004</w:t>
        </w:r>
      </w:hyperlink>
      <w:r w:rsidR="006F41FE">
        <w:rPr>
          <w:noProof/>
          <w:color w:val="000000"/>
        </w:rPr>
        <w:t>)</w:t>
      </w:r>
      <w:r w:rsidRPr="001A6261">
        <w:rPr>
          <w:color w:val="000000"/>
        </w:rPr>
        <w:fldChar w:fldCharType="end"/>
      </w:r>
      <w:r w:rsidRPr="001A6261">
        <w:rPr>
          <w:color w:val="000000"/>
        </w:rPr>
        <w:t xml:space="preserve">. </w:t>
      </w:r>
      <w:r>
        <w:rPr>
          <w:color w:val="000000"/>
        </w:rPr>
        <w:t>In the last decades</w:t>
      </w:r>
      <w:r w:rsidRPr="001A6261">
        <w:rPr>
          <w:color w:val="000000"/>
        </w:rPr>
        <w:t>, together with the development of new novel anti-myeloma</w:t>
      </w:r>
      <w:r>
        <w:rPr>
          <w:color w:val="000000"/>
        </w:rPr>
        <w:t xml:space="preserve"> therapies, i</w:t>
      </w:r>
      <w:r w:rsidRPr="001A6261">
        <w:rPr>
          <w:color w:val="000000"/>
        </w:rPr>
        <w:t xml:space="preserve">nnovative research </w:t>
      </w:r>
      <w:r>
        <w:rPr>
          <w:color w:val="000000"/>
        </w:rPr>
        <w:t xml:space="preserve">to identify </w:t>
      </w:r>
      <w:r w:rsidRPr="001A6261">
        <w:rPr>
          <w:color w:val="000000"/>
        </w:rPr>
        <w:t xml:space="preserve">effective predictive biomarkers has been </w:t>
      </w:r>
      <w:r>
        <w:rPr>
          <w:color w:val="000000"/>
        </w:rPr>
        <w:t>undertaken</w:t>
      </w:r>
      <w:r w:rsidRPr="001A6261">
        <w:rPr>
          <w:color w:val="000000"/>
        </w:rPr>
        <w:t xml:space="preserve">. </w:t>
      </w:r>
    </w:p>
    <w:p w:rsidR="00B61503" w:rsidRPr="001A6261" w:rsidRDefault="00B61503" w:rsidP="00057B42">
      <w:pPr>
        <w:spacing w:line="360" w:lineRule="auto"/>
        <w:jc w:val="both"/>
        <w:rPr>
          <w:color w:val="000000"/>
        </w:rPr>
      </w:pPr>
    </w:p>
    <w:p w:rsidR="00B61503" w:rsidRDefault="00300A1B" w:rsidP="00645687">
      <w:pPr>
        <w:pStyle w:val="Heading2"/>
        <w:numPr>
          <w:ilvl w:val="3"/>
          <w:numId w:val="19"/>
        </w:numPr>
      </w:pPr>
      <w:bookmarkStart w:id="1701" w:name="_Toc305690062"/>
      <w:r>
        <w:lastRenderedPageBreak/>
        <w:tab/>
      </w:r>
      <w:bookmarkStart w:id="1702" w:name="_Toc306570754"/>
      <w:bookmarkStart w:id="1703" w:name="_Toc307067814"/>
      <w:bookmarkStart w:id="1704" w:name="_Toc312169381"/>
      <w:bookmarkStart w:id="1705" w:name="_Toc312172308"/>
      <w:bookmarkStart w:id="1706" w:name="_Toc312257857"/>
      <w:r w:rsidR="00B61503">
        <w:t>Panel of biomarkers</w:t>
      </w:r>
      <w:bookmarkEnd w:id="1701"/>
      <w:bookmarkEnd w:id="1702"/>
      <w:bookmarkEnd w:id="1703"/>
      <w:bookmarkEnd w:id="1704"/>
      <w:bookmarkEnd w:id="1705"/>
      <w:bookmarkEnd w:id="1706"/>
    </w:p>
    <w:p w:rsidR="002676E3" w:rsidRPr="002676E3" w:rsidRDefault="002676E3" w:rsidP="002676E3">
      <w:pPr>
        <w:rPr>
          <w:lang w:eastAsia="en-US"/>
        </w:rPr>
      </w:pPr>
    </w:p>
    <w:p w:rsidR="00B61503" w:rsidRDefault="00B61503" w:rsidP="00057B42">
      <w:pPr>
        <w:spacing w:line="360" w:lineRule="auto"/>
        <w:jc w:val="both"/>
        <w:rPr>
          <w:color w:val="000000"/>
        </w:rPr>
      </w:pPr>
      <w:r w:rsidRPr="001A6261">
        <w:rPr>
          <w:color w:val="000000"/>
        </w:rPr>
        <w:t xml:space="preserve">Historically, biomarkers are in general based on </w:t>
      </w:r>
      <w:r>
        <w:rPr>
          <w:color w:val="000000"/>
        </w:rPr>
        <w:t xml:space="preserve">a </w:t>
      </w:r>
      <w:r w:rsidRPr="001A6261">
        <w:rPr>
          <w:color w:val="000000"/>
        </w:rPr>
        <w:t xml:space="preserve">single marker. However, given the fact that tumour biology is often dictated by </w:t>
      </w:r>
      <w:r w:rsidR="00C605DC" w:rsidRPr="00C605DC">
        <w:rPr>
          <w:color w:val="000000"/>
        </w:rPr>
        <w:t>usual multiple</w:t>
      </w:r>
      <w:r w:rsidR="00C605DC">
        <w:rPr>
          <w:color w:val="000000"/>
        </w:rPr>
        <w:t xml:space="preserve"> </w:t>
      </w:r>
      <w:r w:rsidRPr="001A6261">
        <w:rPr>
          <w:color w:val="000000"/>
        </w:rPr>
        <w:t xml:space="preserve">cellular alterations it may be </w:t>
      </w:r>
      <w:r>
        <w:rPr>
          <w:color w:val="000000"/>
        </w:rPr>
        <w:t>naive</w:t>
      </w:r>
      <w:r w:rsidRPr="001A6261">
        <w:rPr>
          <w:color w:val="000000"/>
        </w:rPr>
        <w:t xml:space="preserve"> to think that single factors will be enough as predictive or factors in oncology. </w:t>
      </w:r>
      <w:r w:rsidRPr="001A6261">
        <w:t xml:space="preserve">More recent literature on the search for biomarkers </w:t>
      </w:r>
      <w:r>
        <w:t xml:space="preserve">with predictive / prognostic application in </w:t>
      </w:r>
      <w:r w:rsidRPr="001A6261">
        <w:t>cancer designates a new tendency. Th</w:t>
      </w:r>
      <w:r>
        <w:t xml:space="preserve">is tendency </w:t>
      </w:r>
      <w:r w:rsidRPr="001A6261">
        <w:rPr>
          <w:color w:val="000000"/>
        </w:rPr>
        <w:t xml:space="preserve">required to </w:t>
      </w:r>
      <w:r w:rsidRPr="001A6261">
        <w:t>enhance the specificity, sensitivity and the predictive capability</w:t>
      </w:r>
      <w:r>
        <w:t xml:space="preserve"> as described below</w:t>
      </w:r>
      <w:r w:rsidRPr="001A6261">
        <w:t>. Therefore we used this approach to increase predictive capability of biomarkers. We envisage that t</w:t>
      </w:r>
      <w:r w:rsidRPr="001A6261">
        <w:rPr>
          <w:color w:val="000000"/>
        </w:rPr>
        <w:t xml:space="preserve">he </w:t>
      </w:r>
      <w:r>
        <w:rPr>
          <w:color w:val="000000"/>
        </w:rPr>
        <w:t>panel</w:t>
      </w:r>
      <w:r w:rsidRPr="001A6261">
        <w:rPr>
          <w:color w:val="000000"/>
        </w:rPr>
        <w:t xml:space="preserve"> of proteins markers, transcript </w:t>
      </w:r>
      <w:r>
        <w:rPr>
          <w:color w:val="000000"/>
        </w:rPr>
        <w:t>profiling, immunohistochemistry</w:t>
      </w:r>
      <w:r w:rsidRPr="001A6261">
        <w:rPr>
          <w:color w:val="000000"/>
        </w:rPr>
        <w:t xml:space="preserve"> and immunoassay can be a powerful approach for defining candidate biomarkers with potential use in a clinical sitting as described below</w:t>
      </w:r>
      <w:r>
        <w:rPr>
          <w:color w:val="000000"/>
        </w:rPr>
        <w:t xml:space="preserve"> </w:t>
      </w:r>
      <w:r>
        <w:rPr>
          <w:color w:val="000000"/>
        </w:rPr>
        <w:fldChar w:fldCharType="begin">
          <w:fldData xml:space="preserve">PEVuZE5vdGU+PENpdGU+PEF1dGhvcj5DaGlhbmVzZTwvQXV0aG9yPjxZZWFyPjIwMDI8L1llYXI+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</w:fldData>
        </w:fldChar>
      </w:r>
      <w:r w:rsidR="006F41FE">
        <w:rPr>
          <w:color w:val="000000"/>
        </w:rPr>
        <w:instrText xml:space="preserve"> ADDIN EN.CITE </w:instrText>
      </w:r>
      <w:r w:rsidR="006F41FE">
        <w:rPr>
          <w:color w:val="000000"/>
        </w:rPr>
        <w:fldChar w:fldCharType="begin">
          <w:fldData xml:space="preserve">PEVuZE5vdGU+PENpdGU+PEF1dGhvcj5DaGlhbmVzZTwvQXV0aG9yPjxZZWFyPjIwMDI8L1llYXI+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</w:fldData>
        </w:fldChar>
      </w:r>
      <w:r w:rsidR="006F41FE">
        <w:rPr>
          <w:color w:val="000000"/>
        </w:rPr>
        <w:instrText xml:space="preserve"> ADDIN EN.CITE.DATA </w:instrText>
      </w:r>
      <w:r w:rsidR="006F41FE">
        <w:rPr>
          <w:color w:val="000000"/>
        </w:rPr>
      </w:r>
      <w:r w:rsidR="006F41FE">
        <w:rPr>
          <w:color w:val="000000"/>
        </w:rPr>
        <w:fldChar w:fldCharType="end"/>
      </w:r>
      <w:r>
        <w:rPr>
          <w:color w:val="000000"/>
        </w:rPr>
      </w:r>
      <w:r>
        <w:rPr>
          <w:color w:val="000000"/>
        </w:rPr>
        <w:fldChar w:fldCharType="separate"/>
      </w:r>
      <w:r w:rsidR="006F41FE">
        <w:rPr>
          <w:noProof/>
          <w:color w:val="000000"/>
        </w:rPr>
        <w:t>(</w:t>
      </w:r>
      <w:hyperlink w:anchor="_ENREF_73" w:tooltip="Chianese, 2002 #4842" w:history="1">
        <w:r w:rsidR="004A784D">
          <w:rPr>
            <w:noProof/>
            <w:color w:val="000000"/>
          </w:rPr>
          <w:t>Chianese et al., 2002</w:t>
        </w:r>
      </w:hyperlink>
      <w:r w:rsidR="006F41FE">
        <w:rPr>
          <w:noProof/>
          <w:color w:val="000000"/>
        </w:rPr>
        <w:t xml:space="preserve">, </w:t>
      </w:r>
      <w:hyperlink w:anchor="_ENREF_295" w:tooltip="O'Shea, 2006 #4843" w:history="1">
        <w:r w:rsidR="004A784D">
          <w:rPr>
            <w:noProof/>
            <w:color w:val="000000"/>
          </w:rPr>
          <w:t>O'Shea et al., 2006</w:t>
        </w:r>
      </w:hyperlink>
      <w:r w:rsidR="006F41FE">
        <w:rPr>
          <w:noProof/>
          <w:color w:val="000000"/>
        </w:rPr>
        <w:t>)</w:t>
      </w:r>
      <w:r>
        <w:rPr>
          <w:color w:val="000000"/>
        </w:rPr>
        <w:fldChar w:fldCharType="end"/>
      </w:r>
      <w:r w:rsidRPr="001A6261">
        <w:rPr>
          <w:color w:val="000000"/>
        </w:rPr>
        <w:t>.</w:t>
      </w:r>
    </w:p>
    <w:p w:rsidR="00B61503" w:rsidRPr="001A6261" w:rsidRDefault="00B61503" w:rsidP="00057B42">
      <w:pPr>
        <w:spacing w:line="360" w:lineRule="auto"/>
        <w:jc w:val="both"/>
        <w:rPr>
          <w:color w:val="000000"/>
        </w:rPr>
      </w:pPr>
    </w:p>
    <w:p w:rsidR="00B61503" w:rsidRDefault="00300A1B" w:rsidP="00645687">
      <w:pPr>
        <w:pStyle w:val="Heading2"/>
        <w:numPr>
          <w:ilvl w:val="3"/>
          <w:numId w:val="19"/>
        </w:numPr>
      </w:pPr>
      <w:bookmarkStart w:id="1707" w:name="_Toc302582404"/>
      <w:bookmarkStart w:id="1708" w:name="_Toc305690063"/>
      <w:r>
        <w:rPr>
          <w:sz w:val="24"/>
          <w:szCs w:val="24"/>
        </w:rPr>
        <w:t xml:space="preserve"> </w:t>
      </w:r>
      <w:r>
        <w:rPr>
          <w:sz w:val="24"/>
          <w:szCs w:val="24"/>
        </w:rPr>
        <w:tab/>
      </w:r>
      <w:bookmarkStart w:id="1709" w:name="_Toc306570755"/>
      <w:bookmarkStart w:id="1710" w:name="_Toc307067815"/>
      <w:bookmarkStart w:id="1711" w:name="_Toc312169382"/>
      <w:bookmarkStart w:id="1712" w:name="_Toc312172309"/>
      <w:bookmarkStart w:id="1713" w:name="_Toc312257858"/>
      <w:r w:rsidR="00B61503">
        <w:rPr>
          <w:sz w:val="24"/>
          <w:szCs w:val="24"/>
        </w:rPr>
        <w:t xml:space="preserve">Goals of </w:t>
      </w:r>
      <w:r w:rsidR="00B61503" w:rsidRPr="001A6261">
        <w:t>biomarkers discovery</w:t>
      </w:r>
      <w:bookmarkEnd w:id="1707"/>
      <w:bookmarkEnd w:id="1708"/>
      <w:bookmarkEnd w:id="1709"/>
      <w:bookmarkEnd w:id="1710"/>
      <w:bookmarkEnd w:id="1711"/>
      <w:bookmarkEnd w:id="1712"/>
      <w:bookmarkEnd w:id="1713"/>
    </w:p>
    <w:p w:rsidR="002676E3" w:rsidRPr="002676E3" w:rsidRDefault="002676E3" w:rsidP="002676E3">
      <w:pPr>
        <w:rPr>
          <w:lang w:eastAsia="en-US"/>
        </w:rPr>
      </w:pPr>
    </w:p>
    <w:p w:rsidR="00B61503" w:rsidRDefault="00B61503" w:rsidP="00057B42">
      <w:pPr>
        <w:autoSpaceDE w:val="0"/>
        <w:autoSpaceDN w:val="0"/>
        <w:adjustRightInd w:val="0"/>
        <w:spacing w:line="360" w:lineRule="auto"/>
        <w:jc w:val="both"/>
        <w:rPr>
          <w:color w:val="131313"/>
          <w:lang w:eastAsia="en-US"/>
        </w:rPr>
      </w:pPr>
      <w:r w:rsidRPr="001A6261">
        <w:rPr>
          <w:color w:val="131313"/>
          <w:lang w:eastAsia="en-US"/>
        </w:rPr>
        <w:t>The goal of the cancer biomarker field is to develop simple non-invasive</w:t>
      </w:r>
      <w:r w:rsidRPr="001A6261">
        <w:rPr>
          <w:b/>
          <w:bCs/>
          <w:color w:val="131313"/>
          <w:lang w:eastAsia="en-US"/>
        </w:rPr>
        <w:t xml:space="preserve"> </w:t>
      </w:r>
      <w:r w:rsidRPr="001A6261">
        <w:rPr>
          <w:color w:val="131313"/>
          <w:lang w:eastAsia="en-US"/>
        </w:rPr>
        <w:t xml:space="preserve">tests that indicate cancer risk, allow early cancer detection, </w:t>
      </w:r>
      <w:r w:rsidRPr="001A6261">
        <w:rPr>
          <w:bCs/>
          <w:color w:val="131313"/>
          <w:lang w:eastAsia="en-US"/>
        </w:rPr>
        <w:t>predict response</w:t>
      </w:r>
      <w:r w:rsidRPr="001A6261">
        <w:rPr>
          <w:color w:val="131313"/>
          <w:lang w:eastAsia="en-US"/>
        </w:rPr>
        <w:t xml:space="preserve"> so that the patient can receive the most appropriate therapy</w:t>
      </w:r>
      <w:r w:rsidRPr="001A6261">
        <w:rPr>
          <w:b/>
          <w:bCs/>
          <w:color w:val="131313"/>
          <w:lang w:eastAsia="en-US"/>
        </w:rPr>
        <w:t xml:space="preserve"> </w:t>
      </w:r>
      <w:r w:rsidRPr="001A6261">
        <w:rPr>
          <w:bCs/>
          <w:color w:val="131313"/>
          <w:lang w:eastAsia="en-US"/>
        </w:rPr>
        <w:t>and monitor disease progression</w:t>
      </w:r>
      <w:r w:rsidRPr="001A6261">
        <w:rPr>
          <w:color w:val="131313"/>
          <w:lang w:eastAsia="en-US"/>
        </w:rPr>
        <w:t>. In addition,</w:t>
      </w:r>
      <w:r w:rsidRPr="001A6261">
        <w:rPr>
          <w:b/>
          <w:bCs/>
          <w:color w:val="131313"/>
          <w:lang w:eastAsia="en-US"/>
        </w:rPr>
        <w:t xml:space="preserve"> </w:t>
      </w:r>
      <w:r w:rsidRPr="001A6261">
        <w:rPr>
          <w:color w:val="131313"/>
          <w:lang w:eastAsia="en-US"/>
        </w:rPr>
        <w:t xml:space="preserve">biomarkers </w:t>
      </w:r>
      <w:r>
        <w:rPr>
          <w:color w:val="131313"/>
          <w:lang w:eastAsia="en-US"/>
        </w:rPr>
        <w:t xml:space="preserve">should be able to use </w:t>
      </w:r>
      <w:r w:rsidRPr="001A6261">
        <w:rPr>
          <w:color w:val="131313"/>
          <w:lang w:eastAsia="en-US"/>
        </w:rPr>
        <w:t xml:space="preserve">in combination </w:t>
      </w:r>
      <w:r>
        <w:rPr>
          <w:color w:val="131313"/>
          <w:lang w:eastAsia="en-US"/>
        </w:rPr>
        <w:t xml:space="preserve">with other diagnostic and prognostic techniques such as </w:t>
      </w:r>
      <w:r w:rsidRPr="001A6261">
        <w:rPr>
          <w:color w:val="131313"/>
          <w:lang w:eastAsia="en-US"/>
        </w:rPr>
        <w:t xml:space="preserve">imaging </w:t>
      </w:r>
      <w:r>
        <w:rPr>
          <w:color w:val="131313"/>
          <w:lang w:eastAsia="en-US"/>
        </w:rPr>
        <w:t>and histopathology</w:t>
      </w:r>
      <w:r w:rsidRPr="001A6261">
        <w:rPr>
          <w:color w:val="131313"/>
          <w:lang w:eastAsia="en-US"/>
        </w:rPr>
        <w:t xml:space="preserve"> to detect</w:t>
      </w:r>
      <w:r w:rsidRPr="001A6261">
        <w:rPr>
          <w:b/>
          <w:bCs/>
          <w:color w:val="131313"/>
          <w:lang w:eastAsia="en-US"/>
        </w:rPr>
        <w:t xml:space="preserve"> </w:t>
      </w:r>
      <w:r w:rsidRPr="001A6261">
        <w:rPr>
          <w:color w:val="131313"/>
          <w:lang w:eastAsia="en-US"/>
        </w:rPr>
        <w:t xml:space="preserve">cancer </w:t>
      </w:r>
      <w:r w:rsidRPr="00DC2C43">
        <w:rPr>
          <w:i/>
          <w:color w:val="131313"/>
          <w:lang w:eastAsia="en-US"/>
        </w:rPr>
        <w:t>in vivo</w:t>
      </w:r>
      <w:r w:rsidRPr="001A6261">
        <w:rPr>
          <w:color w:val="131313"/>
          <w:lang w:eastAsia="en-US"/>
        </w:rPr>
        <w:t xml:space="preserve"> and </w:t>
      </w:r>
      <w:r>
        <w:rPr>
          <w:color w:val="131313"/>
          <w:lang w:eastAsia="en-US"/>
        </w:rPr>
        <w:t xml:space="preserve">predict </w:t>
      </w:r>
      <w:r w:rsidRPr="001A6261">
        <w:rPr>
          <w:color w:val="131313"/>
          <w:lang w:eastAsia="en-US"/>
        </w:rPr>
        <w:t>response to</w:t>
      </w:r>
      <w:r>
        <w:rPr>
          <w:color w:val="131313"/>
          <w:lang w:eastAsia="en-US"/>
        </w:rPr>
        <w:t xml:space="preserve"> a certain</w:t>
      </w:r>
      <w:r w:rsidRPr="001A6261">
        <w:rPr>
          <w:color w:val="131313"/>
          <w:lang w:eastAsia="en-US"/>
        </w:rPr>
        <w:t xml:space="preserve"> therapy</w:t>
      </w:r>
      <w:r>
        <w:rPr>
          <w:color w:val="131313"/>
          <w:lang w:eastAsia="en-US"/>
        </w:rPr>
        <w:t xml:space="preserve"> </w:t>
      </w:r>
      <w:r>
        <w:rPr>
          <w:color w:val="131313"/>
          <w:lang w:eastAsia="en-US"/>
        </w:rPr>
        <w:fldChar w:fldCharType="begin"/>
      </w:r>
      <w:r w:rsidR="006F41FE">
        <w:rPr>
          <w:color w:val="131313"/>
          <w:lang w:eastAsia="en-US"/>
        </w:rPr>
        <w:instrText xml:space="preserve"> ADDIN EN.CITE &lt;EndNote&gt;&lt;Cite&gt;&lt;Author&gt;Terpos&lt;/Author&gt;&lt;Year&gt;2011&lt;/Year&gt;&lt;RecNum&gt;4848&lt;/RecNum&gt;&lt;DisplayText&gt;(Terpos et al., 2011)&lt;/DisplayText&gt;&lt;record&gt;&lt;rec-number&gt;4848&lt;/rec-number&gt;&lt;foreign-keys&gt;&lt;key app="EN" db-id="zf0awxsaczrdd3eft5qvw9wrtxxawdfrvw2a"&gt;4848&lt;/key&gt;&lt;/foreign-keys&gt;&lt;ref-type name="Journal Article"&gt;17&lt;/ref-type&gt;&lt;contributors&gt;&lt;authors&gt;&lt;author&gt;Terpos, E.&lt;/author&gt;&lt;author&gt;Moulopoulos, L. A.&lt;/author&gt;&lt;author&gt;Dimopoulos, M. A.&lt;/author&gt;&lt;/authors&gt;&lt;/contributors&gt;&lt;auth-address&gt;Department of Clinical Therapeutics, University of Athens School of Medicine, Alexandra General Hospital, 80 Vas. Sofias Ave, 11528, Athens, Greece. eterpos@med.uoa.gr&lt;/auth-address&gt;&lt;titles&gt;&lt;title&gt;Advances in imaging and the management of myeloma bone disease&lt;/title&gt;&lt;secondary-title&gt;J Clin Oncol&lt;/secondary-title&gt;&lt;/titles&gt;&lt;periodical&gt;&lt;full-title&gt;J Clin Oncol&lt;/full-title&gt;&lt;/periodical&gt;&lt;pages&gt;1907-15&lt;/pages&gt;&lt;volume&gt;29&lt;/volume&gt;&lt;number&gt;14&lt;/number&gt;&lt;edition&gt;2011/04/13&lt;/edition&gt;&lt;keywords&gt;&lt;keyword&gt;Bone Diseases/*diagnosis/*drug therapy&lt;/keyword&gt;&lt;keyword&gt;Diphosphonates/adverse effects&lt;/keyword&gt;&lt;keyword&gt;Fluorodeoxyglucose F18/diagnostic use&lt;/keyword&gt;&lt;keyword&gt;Humans&lt;/keyword&gt;&lt;keyword&gt;Magnetic Resonance Imaging&lt;/keyword&gt;&lt;keyword&gt;Multiple Myeloma/*complications&lt;/keyword&gt;&lt;keyword&gt;Positron-Emission Tomography&lt;/keyword&gt;&lt;keyword&gt;Tomography, X-Ray Computed&lt;/keyword&gt;&lt;/keywords&gt;&lt;dates&gt;&lt;year&gt;2011&lt;/year&gt;&lt;pub-dates&gt;&lt;date&gt;May 10&lt;/date&gt;&lt;/pub-dates&gt;&lt;/dates&gt;&lt;isbn&gt;1527-7755 (Electronic)&amp;#xD;0732-183X (Linking)&lt;/isbn&gt;&lt;accession-num&gt;21483016&lt;/accession-num&gt;&lt;urls&gt;&lt;related-urls&gt;&lt;url&gt;http://www.ncbi.nlm.nih.gov/pubmed/21483016&lt;/url&gt;&lt;/related-urls&gt;&lt;/urls&gt;&lt;electronic-resource-num&gt;JCO.2010.32.5449 [pii]&amp;#xD;10.1200/JCO.2010.32.5449&lt;/electronic-resource-num&gt;&lt;language&gt;eng&lt;/language&gt;&lt;/record&gt;&lt;/Cite&gt;&lt;/EndNote&gt;</w:instrText>
      </w:r>
      <w:r>
        <w:rPr>
          <w:color w:val="131313"/>
          <w:lang w:eastAsia="en-US"/>
        </w:rPr>
        <w:fldChar w:fldCharType="separate"/>
      </w:r>
      <w:r w:rsidR="006F41FE">
        <w:rPr>
          <w:noProof/>
          <w:color w:val="131313"/>
          <w:lang w:eastAsia="en-US"/>
        </w:rPr>
        <w:t>(</w:t>
      </w:r>
      <w:hyperlink w:anchor="_ENREF_414" w:tooltip="Terpos, 2011 #4848" w:history="1">
        <w:r w:rsidR="004A784D">
          <w:rPr>
            <w:noProof/>
            <w:color w:val="131313"/>
            <w:lang w:eastAsia="en-US"/>
          </w:rPr>
          <w:t>Terpos et al., 2011</w:t>
        </w:r>
      </w:hyperlink>
      <w:r w:rsidR="006F41FE">
        <w:rPr>
          <w:noProof/>
          <w:color w:val="131313"/>
          <w:lang w:eastAsia="en-US"/>
        </w:rPr>
        <w:t>)</w:t>
      </w:r>
      <w:r>
        <w:rPr>
          <w:color w:val="131313"/>
          <w:lang w:eastAsia="en-US"/>
        </w:rPr>
        <w:fldChar w:fldCharType="end"/>
      </w:r>
      <w:r w:rsidRPr="001A6261">
        <w:rPr>
          <w:color w:val="131313"/>
          <w:lang w:eastAsia="en-US"/>
        </w:rPr>
        <w:t>.</w:t>
      </w:r>
    </w:p>
    <w:p w:rsidR="00300A1B" w:rsidRDefault="00300A1B" w:rsidP="00057B42">
      <w:pPr>
        <w:autoSpaceDE w:val="0"/>
        <w:autoSpaceDN w:val="0"/>
        <w:adjustRightInd w:val="0"/>
        <w:spacing w:line="360" w:lineRule="auto"/>
        <w:jc w:val="both"/>
      </w:pPr>
    </w:p>
    <w:p w:rsidR="00856253" w:rsidRDefault="00B61503" w:rsidP="00057B42">
      <w:pPr>
        <w:autoSpaceDE w:val="0"/>
        <w:autoSpaceDN w:val="0"/>
        <w:adjustRightInd w:val="0"/>
        <w:spacing w:line="360" w:lineRule="auto"/>
        <w:jc w:val="both"/>
      </w:pPr>
      <w:r w:rsidRPr="001A6261">
        <w:t xml:space="preserve">Recent advances in proteomic technologies, together with powerful bioinformatics tools, have </w:t>
      </w:r>
      <w:r>
        <w:t xml:space="preserve">had </w:t>
      </w:r>
      <w:r w:rsidRPr="001A6261">
        <w:t xml:space="preserve">a direct impact on the way the search for cancer biomarkers is conducted. Such </w:t>
      </w:r>
      <w:r>
        <w:t xml:space="preserve">a </w:t>
      </w:r>
      <w:r w:rsidRPr="001A6261">
        <w:t xml:space="preserve">trend can be loosely described as </w:t>
      </w:r>
      <w:r>
        <w:t xml:space="preserve">a </w:t>
      </w:r>
      <w:r w:rsidRPr="001A6261">
        <w:t xml:space="preserve">“combined or multiple biomarkers approach.” This trend encompasses </w:t>
      </w:r>
      <w:r>
        <w:t xml:space="preserve">a distinct approach, by combining of </w:t>
      </w:r>
      <w:r w:rsidRPr="001A6261">
        <w:t>number of single biomarkers for the same type of cancer to enhance the specificity, sensitivity and improving the prediction capability</w:t>
      </w:r>
      <w:r>
        <w:t>.</w:t>
      </w:r>
      <w:r w:rsidRPr="001A6261">
        <w:t xml:space="preserve"> In </w:t>
      </w:r>
      <w:r>
        <w:t>MM</w:t>
      </w:r>
      <w:r w:rsidRPr="001A6261">
        <w:t xml:space="preserve"> </w:t>
      </w:r>
      <w:r>
        <w:t xml:space="preserve">due lack of effective predictive biomarkers, </w:t>
      </w:r>
      <w:r w:rsidRPr="001A6261">
        <w:t>there is importance in diagnosis and</w:t>
      </w:r>
      <w:r>
        <w:t xml:space="preserve"> overall prognosis using </w:t>
      </w:r>
      <w:r w:rsidRPr="001A6261">
        <w:t>histological or cytochemistry examination, which is referred to as a “gold standard”</w:t>
      </w:r>
      <w:r>
        <w:t xml:space="preserve"> </w:t>
      </w:r>
      <w:r>
        <w:fldChar w:fldCharType="begin"/>
      </w:r>
      <w:r w:rsidR="00413040">
        <w:instrText xml:space="preserve"> ADDIN EN.CITE &lt;EndNote&gt;&lt;Cite&gt;&lt;Author&gt;Mollee&lt;/Author&gt;&lt;Year&gt;2009&lt;/Year&gt;&lt;RecNum&gt;5020&lt;/RecNum&gt;&lt;DisplayText&gt;(Mollee, 2009)&lt;/DisplayText&gt;&lt;record&gt;&lt;rec-number&gt;5020&lt;/rec-number&gt;&lt;foreign-keys&gt;&lt;key app="EN" db-id="zf0awxsaczrdd3eft5qvw9wrtxxawdfrvw2a"&gt;5020&lt;/key&gt;&lt;/foreign-keys&gt;&lt;ref-type name="Journal Article"&gt;17&lt;/ref-type&gt;&lt;contributors&gt;&lt;authors&gt;&lt;author&gt;Mollee, P.&lt;/author&gt;&lt;/authors&gt;&lt;/contributors&gt;&lt;auth-address&gt;Haematology Department, Pathology Queensland, Princess Alexandra Hospital, Brisbane, Qld 4102, Australia. peter_mollee@health.qld.gov.au&lt;/auth-address&gt;&lt;titles&gt;&lt;title&gt;Current trends in the diagnosis, therapy and monitoring of the monoclonal gammopathies&lt;/title&gt;&lt;secondary-title&gt;Clin Biochem Rev&lt;/secondary-title&gt;&lt;/titles&gt;&lt;periodical&gt;&lt;full-title&gt;Clin Biochem Rev&lt;/full-title&gt;&lt;/periodical&gt;&lt;pages&gt;93-103&lt;/pages&gt;&lt;volume&gt;30&lt;/volume&gt;&lt;number&gt;3&lt;/number&gt;&lt;edition&gt;2009/10/21&lt;/edition&gt;&lt;dates&gt;&lt;year&gt;2009&lt;/year&gt;&lt;pub-dates&gt;&lt;date&gt;Aug&lt;/date&gt;&lt;/pub-dates&gt;&lt;/dates&gt;&lt;isbn&gt;0159-8090 (Print)&amp;#xD;0159-8090 (Linking)&lt;/isbn&gt;&lt;accession-num&gt;19841691&lt;/accession-num&gt;&lt;urls&gt;&lt;related-urls&gt;&lt;url&gt;http://www.ncbi.nlm.nih.gov/pubmed/19841691&lt;/url&gt;&lt;/related-urls&gt;&lt;/urls&gt;&lt;custom2&gt;2755006&lt;/custom2&gt;&lt;language&gt;eng&lt;/language&gt;&lt;/record&gt;&lt;/Cite&gt;&lt;/EndNote&gt;</w:instrText>
      </w:r>
      <w:r>
        <w:fldChar w:fldCharType="separate"/>
      </w:r>
      <w:r w:rsidR="006F41FE">
        <w:rPr>
          <w:noProof/>
        </w:rPr>
        <w:t>(</w:t>
      </w:r>
      <w:hyperlink w:anchor="_ENREF_278" w:tooltip="Mollee, 2009 #5020" w:history="1">
        <w:r w:rsidR="004A784D">
          <w:rPr>
            <w:noProof/>
          </w:rPr>
          <w:t>Mollee, 2009</w:t>
        </w:r>
      </w:hyperlink>
      <w:r w:rsidR="006F41FE">
        <w:rPr>
          <w:noProof/>
        </w:rPr>
        <w:t>)</w:t>
      </w:r>
      <w:r>
        <w:fldChar w:fldCharType="end"/>
      </w:r>
      <w:r>
        <w:t>.</w:t>
      </w:r>
      <w:r w:rsidRPr="001A6261">
        <w:t xml:space="preserve"> </w:t>
      </w:r>
    </w:p>
    <w:p w:rsidR="00856253" w:rsidRDefault="00856253" w:rsidP="00057B42">
      <w:pPr>
        <w:autoSpaceDE w:val="0"/>
        <w:autoSpaceDN w:val="0"/>
        <w:adjustRightInd w:val="0"/>
        <w:spacing w:line="360" w:lineRule="auto"/>
        <w:jc w:val="both"/>
      </w:pPr>
    </w:p>
    <w:p w:rsidR="00B61503" w:rsidRPr="001A6261" w:rsidRDefault="00B61503" w:rsidP="00057B42">
      <w:pPr>
        <w:autoSpaceDE w:val="0"/>
        <w:autoSpaceDN w:val="0"/>
        <w:adjustRightInd w:val="0"/>
        <w:spacing w:line="360" w:lineRule="auto"/>
        <w:jc w:val="both"/>
      </w:pPr>
      <w:r w:rsidRPr="001A6261">
        <w:lastRenderedPageBreak/>
        <w:t xml:space="preserve">In our study, we focused on the combination of the discovered proteins biomarkers to </w:t>
      </w:r>
      <w:r>
        <w:t xml:space="preserve">enhance assay </w:t>
      </w:r>
      <w:r w:rsidRPr="001A6261">
        <w:t>specificity and sensitivity</w:t>
      </w:r>
      <w:r>
        <w:t xml:space="preserve"> for </w:t>
      </w:r>
      <w:r w:rsidRPr="006C5858">
        <w:t xml:space="preserve">identifying subsets of </w:t>
      </w:r>
      <w:r>
        <w:t xml:space="preserve">MM </w:t>
      </w:r>
      <w:r w:rsidRPr="006C5858">
        <w:t xml:space="preserve">patients who will benefit from </w:t>
      </w:r>
      <w:r>
        <w:t xml:space="preserve">thalidomide based regimen. </w:t>
      </w:r>
      <w:r w:rsidRPr="006C5858">
        <w:t xml:space="preserve">This strategy </w:t>
      </w:r>
      <w:r>
        <w:t xml:space="preserve">will benefit MM patients by </w:t>
      </w:r>
      <w:r w:rsidRPr="006C5858">
        <w:t xml:space="preserve">reducing the cost and failure rates of </w:t>
      </w:r>
      <w:r>
        <w:t xml:space="preserve">anti-myeloma treatment </w:t>
      </w:r>
      <w:r>
        <w:fldChar w:fldCharType="begin">
          <w:fldData xml:space="preserve">PEVuZE5vdGU+PENpdGU+PEF1dGhvcj5CZWNrbWFuPC9BdXRob3I+PFllYXI+MjAxMTwvWWVhcj48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</w:fldData>
        </w:fldChar>
      </w:r>
      <w:r w:rsidR="006F41FE">
        <w:instrText xml:space="preserve"> ADDIN EN.CITE </w:instrText>
      </w:r>
      <w:r w:rsidR="006F41FE">
        <w:fldChar w:fldCharType="begin">
          <w:fldData xml:space="preserve">PEVuZE5vdGU+PENpdGU+PEF1dGhvcj5CZWNrbWFuPC9BdXRob3I+PFllYXI+MjAxMTwvWWVhcj48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</w:fldData>
        </w:fldChar>
      </w:r>
      <w:r w:rsidR="006F41FE">
        <w:instrText xml:space="preserve"> ADDIN EN.CITE.DATA </w:instrText>
      </w:r>
      <w:r w:rsidR="006F41FE">
        <w:fldChar w:fldCharType="end"/>
      </w:r>
      <w:r>
        <w:fldChar w:fldCharType="separate"/>
      </w:r>
      <w:r w:rsidR="006F41FE">
        <w:rPr>
          <w:noProof/>
        </w:rPr>
        <w:t>(</w:t>
      </w:r>
      <w:hyperlink w:anchor="_ENREF_40" w:tooltip="Beckman, 2011 #4845" w:history="1">
        <w:r w:rsidR="004A784D">
          <w:rPr>
            <w:noProof/>
          </w:rPr>
          <w:t>Beckman et al., 2011</w:t>
        </w:r>
      </w:hyperlink>
      <w:r w:rsidR="006F41FE">
        <w:rPr>
          <w:noProof/>
        </w:rPr>
        <w:t xml:space="preserve">, </w:t>
      </w:r>
      <w:hyperlink w:anchor="_ENREF_472" w:tooltip="Zhou, 2011 #4846" w:history="1">
        <w:r w:rsidR="004A784D">
          <w:rPr>
            <w:noProof/>
          </w:rPr>
          <w:t>Zhou and Gallo, 2011</w:t>
        </w:r>
      </w:hyperlink>
      <w:r w:rsidR="006F41FE">
        <w:rPr>
          <w:noProof/>
        </w:rPr>
        <w:t>)</w:t>
      </w:r>
      <w:r>
        <w:fldChar w:fldCharType="end"/>
      </w:r>
      <w:r w:rsidRPr="006C5858">
        <w:t>.</w:t>
      </w:r>
    </w:p>
    <w:p w:rsidR="00B61503" w:rsidRPr="001A6261" w:rsidRDefault="00B61503" w:rsidP="00057B42">
      <w:pPr>
        <w:spacing w:line="360" w:lineRule="auto"/>
        <w:jc w:val="both"/>
        <w:rPr>
          <w:color w:val="000000"/>
        </w:rPr>
      </w:pPr>
    </w:p>
    <w:p w:rsidR="00B61503" w:rsidRDefault="00B61503" w:rsidP="00645687">
      <w:pPr>
        <w:pStyle w:val="Heading2"/>
        <w:numPr>
          <w:ilvl w:val="3"/>
          <w:numId w:val="19"/>
        </w:numPr>
      </w:pPr>
      <w:r w:rsidRPr="001A6261">
        <w:rPr>
          <w:sz w:val="24"/>
          <w:szCs w:val="24"/>
        </w:rPr>
        <w:t xml:space="preserve"> </w:t>
      </w:r>
      <w:r w:rsidR="00300A1B">
        <w:rPr>
          <w:sz w:val="24"/>
          <w:szCs w:val="24"/>
        </w:rPr>
        <w:tab/>
      </w:r>
      <w:r w:rsidRPr="001A6261">
        <w:rPr>
          <w:sz w:val="24"/>
          <w:szCs w:val="24"/>
        </w:rPr>
        <w:t xml:space="preserve">  </w:t>
      </w:r>
      <w:bookmarkStart w:id="1714" w:name="_Toc302582403"/>
      <w:bookmarkStart w:id="1715" w:name="_Toc305690064"/>
      <w:bookmarkStart w:id="1716" w:name="_Toc306570756"/>
      <w:bookmarkStart w:id="1717" w:name="_Toc307067816"/>
      <w:bookmarkStart w:id="1718" w:name="_Toc312169383"/>
      <w:bookmarkStart w:id="1719" w:name="_Toc312172310"/>
      <w:bookmarkStart w:id="1720" w:name="_Toc312257859"/>
      <w:r w:rsidRPr="001A6261">
        <w:t>Biomarkers and cancer, historical discussion</w:t>
      </w:r>
      <w:bookmarkEnd w:id="1714"/>
      <w:bookmarkEnd w:id="1715"/>
      <w:bookmarkEnd w:id="1716"/>
      <w:bookmarkEnd w:id="1717"/>
      <w:bookmarkEnd w:id="1718"/>
      <w:bookmarkEnd w:id="1719"/>
      <w:bookmarkEnd w:id="1720"/>
      <w:r w:rsidRPr="001A6261">
        <w:t xml:space="preserve"> </w:t>
      </w:r>
    </w:p>
    <w:p w:rsidR="00856253" w:rsidRDefault="00B61503" w:rsidP="0056502E">
      <w:pPr>
        <w:spacing w:before="240" w:line="360" w:lineRule="auto"/>
        <w:jc w:val="both"/>
      </w:pPr>
      <w:r w:rsidRPr="001A6261">
        <w:t xml:space="preserve">While cancer biomarkers can be used in various phases of the disease process </w:t>
      </w:r>
      <w:r w:rsidR="0056502E">
        <w:t>i.e. for screening and prognosis</w:t>
      </w:r>
      <w:r w:rsidRPr="001A6261">
        <w:t xml:space="preserve"> with </w:t>
      </w:r>
      <w:r w:rsidR="0056502E" w:rsidRPr="001A6261">
        <w:t>rather</w:t>
      </w:r>
      <w:r w:rsidR="0056502E">
        <w:t xml:space="preserve"> less interest in predictive of</w:t>
      </w:r>
      <w:r w:rsidRPr="001A6261">
        <w:t xml:space="preserve"> re</w:t>
      </w:r>
      <w:r w:rsidR="0056502E">
        <w:t>sponse to a therapy</w:t>
      </w:r>
      <w:r w:rsidRPr="001A6261">
        <w:t xml:space="preserve">. The circumstance in the development of biomarkers for oncology is driven, in part, by the presence of </w:t>
      </w:r>
      <w:r>
        <w:t xml:space="preserve">carcinoma </w:t>
      </w:r>
      <w:r w:rsidRPr="004428F8">
        <w:rPr>
          <w:i/>
        </w:rPr>
        <w:t>in situ</w:t>
      </w:r>
      <w:r w:rsidRPr="001A6261">
        <w:t xml:space="preserve"> and its effect on the patients serum concentration of various </w:t>
      </w:r>
      <w:r>
        <w:t>bio</w:t>
      </w:r>
      <w:r w:rsidRPr="001A6261">
        <w:t>markers</w:t>
      </w:r>
      <w:r>
        <w:t xml:space="preserve"> </w:t>
      </w:r>
      <w:r>
        <w:fldChar w:fldCharType="begin"/>
      </w:r>
      <w:r w:rsidR="006F41FE">
        <w:instrText xml:space="preserve"> ADDIN EN.CITE &lt;EndNote&gt;&lt;Cite&gt;&lt;Author&gt;Vickers&lt;/Author&gt;&lt;Year&gt;2011&lt;/Year&gt;&lt;RecNum&gt;4847&lt;/RecNum&gt;&lt;DisplayText&gt;(Vickers, 2011)&lt;/DisplayText&gt;&lt;record&gt;&lt;rec-number&gt;4847&lt;/rec-number&gt;&lt;foreign-keys&gt;&lt;key app="EN" db-id="zf0awxsaczrdd3eft5qvw9wrtxxawdfrvw2a"&gt;4847&lt;/key&gt;&lt;/foreign-keys&gt;&lt;ref-type name="Journal Article"&gt;17&lt;/ref-type&gt;&lt;contributors&gt;&lt;authors&gt;&lt;author&gt;Vickers, A. J.&lt;/author&gt;&lt;/authors&gt;&lt;/contributors&gt;&lt;titles&gt;&lt;title&gt;Prediction models: revolutionary in principle, but do they do more good than harm?&lt;/title&gt;&lt;secondary-title&gt;J Clin Oncol&lt;/secondary-title&gt;&lt;/titles&gt;&lt;periodical&gt;&lt;full-title&gt;J Clin Oncol&lt;/full-title&gt;&lt;/periodical&gt;&lt;pages&gt;2951-2&lt;/pages&gt;&lt;volume&gt;29&lt;/volume&gt;&lt;number&gt;22&lt;/number&gt;&lt;edition&gt;2011/06/22&lt;/edition&gt;&lt;keywords&gt;&lt;keyword&gt;Biopsy&lt;/keyword&gt;&lt;keyword&gt;Humans&lt;/keyword&gt;&lt;keyword&gt;Male&lt;/keyword&gt;&lt;keyword&gt;*Models, Statistical&lt;/keyword&gt;&lt;keyword&gt;Neoplasms/*blood/*diagnosis&lt;/keyword&gt;&lt;keyword&gt;Nomograms&lt;/keyword&gt;&lt;keyword&gt;Predictive Value of Tests&lt;/keyword&gt;&lt;keyword&gt;Prostate-Specific Antigen/blood&lt;/keyword&gt;&lt;keyword&gt;Prostatic Neoplasms/diagnosis&lt;/keyword&gt;&lt;keyword&gt;Risk Assessment&lt;/keyword&gt;&lt;keyword&gt;Tumor Markers, Biological/*blood&lt;/keyword&gt;&lt;/keywords&gt;&lt;dates&gt;&lt;year&gt;2011&lt;/year&gt;&lt;pub-dates&gt;&lt;date&gt;Aug 1&lt;/date&gt;&lt;/pub-dates&gt;&lt;/dates&gt;&lt;isbn&gt;1527-7755 (Electronic)&amp;#xD;0732-183X (Linking)&lt;/isbn&gt;&lt;accession-num&gt;21690474&lt;/accession-num&gt;&lt;urls&gt;&lt;related-urls&gt;&lt;url&gt;http://www.ncbi.nlm.nih.gov/pubmed/21690474&lt;/url&gt;&lt;/related-urls&gt;&lt;/urls&gt;&lt;electronic-resource-num&gt;JCO.2011.36.1329 [pii]&amp;#xD;10.1200/JCO.2011.36.1329&lt;/electronic-resource-num&gt;&lt;language&gt;eng&lt;/language&gt;&lt;/record&gt;&lt;/Cite&gt;&lt;/EndNote&gt;</w:instrText>
      </w:r>
      <w:r>
        <w:fldChar w:fldCharType="separate"/>
      </w:r>
      <w:r w:rsidR="006F41FE">
        <w:rPr>
          <w:noProof/>
        </w:rPr>
        <w:t>(</w:t>
      </w:r>
      <w:hyperlink w:anchor="_ENREF_435" w:tooltip="Vickers, 2011 #4847" w:history="1">
        <w:r w:rsidR="004A784D">
          <w:rPr>
            <w:noProof/>
          </w:rPr>
          <w:t>Vickers, 2011</w:t>
        </w:r>
      </w:hyperlink>
      <w:r w:rsidR="006F41FE">
        <w:rPr>
          <w:noProof/>
        </w:rPr>
        <w:t>)</w:t>
      </w:r>
      <w:r>
        <w:fldChar w:fldCharType="end"/>
      </w:r>
      <w:r w:rsidR="005C6BF8">
        <w:t xml:space="preserve">. </w:t>
      </w:r>
      <w:r w:rsidRPr="001A6261">
        <w:t xml:space="preserve">It is generally accepted that an early diagnosis of cancer is an important factor in therapeutic outcome and that the development of validated biomarkers is essential for early diagnosis. Many publications have explored </w:t>
      </w:r>
      <w:r w:rsidR="00003D0D">
        <w:t>the potential use of individual</w:t>
      </w:r>
      <w:r w:rsidR="0040767E">
        <w:t xml:space="preserve"> </w:t>
      </w:r>
      <w:r w:rsidRPr="001A6261">
        <w:t>proteins or combination of proteins as cancer biomarkers and have produced promising results</w:t>
      </w:r>
      <w:r w:rsidR="005C6BF8">
        <w:t xml:space="preserve"> in </w:t>
      </w:r>
      <w:r w:rsidR="00790EA2">
        <w:t>early cancer diagnosis</w:t>
      </w:r>
      <w:r>
        <w:t xml:space="preserve"> </w:t>
      </w:r>
      <w:r>
        <w:fldChar w:fldCharType="begin"/>
      </w:r>
      <w:r w:rsidR="006F41FE">
        <w:instrText xml:space="preserve"> ADDIN EN.CITE &lt;EndNote&gt;&lt;Cite&gt;&lt;Author&gt;Mandrekar&lt;/Author&gt;&lt;Year&gt;2010&lt;/Year&gt;&lt;RecNum&gt;4849&lt;/RecNum&gt;&lt;DisplayText&gt;(Mandrekar and Sargent, 2010)&lt;/DisplayText&gt;&lt;record&gt;&lt;rec-number&gt;4849&lt;/rec-number&gt;&lt;foreign-keys&gt;&lt;key app="EN" db-id="zf0awxsaczrdd3eft5qvw9wrtxxawdfrvw2a"&gt;4849&lt;/key&gt;&lt;/foreign-keys&gt;&lt;ref-type name="Journal Article"&gt;17&lt;/ref-type&gt;&lt;contributors&gt;&lt;authors&gt;&lt;author&gt;Mandrekar, S. J.&lt;/author&gt;&lt;author&gt;Sargent, D. J.&lt;/author&gt;&lt;/authors&gt;&lt;/contributors&gt;&lt;auth-address&gt;Division of Biomedical Statistics and Informatics, Mayo Clinic, Rochester, MN 55905, USA. mandrekar.sumithra@mayo.edu&lt;/auth-address&gt;&lt;titles&gt;&lt;title&gt;Predictive biomarker validation in practice: lessons from real trials&lt;/title&gt;&lt;secondary-title&gt;Clin Trials&lt;/secondary-title&gt;&lt;/titles&gt;&lt;periodical&gt;&lt;full-title&gt;Clin Trials&lt;/full-title&gt;&lt;/periodical&gt;&lt;pages&gt;567-73&lt;/pages&gt;&lt;volume&gt;7&lt;/volume&gt;&lt;number&gt;5&lt;/number&gt;&lt;edition&gt;2010/04/16&lt;/edition&gt;&lt;keywords&gt;&lt;keyword&gt;Humans&lt;/keyword&gt;&lt;keyword&gt;Molecular Targeted Therapy&lt;/keyword&gt;&lt;keyword&gt;Predictive Value of Tests&lt;/keyword&gt;&lt;keyword&gt;Prospective Studies&lt;/keyword&gt;&lt;keyword&gt;Randomized Controlled Trials as Topic/*methods&lt;/keyword&gt;&lt;keyword&gt;*Research Design&lt;/keyword&gt;&lt;keyword&gt;Retrospective Studies&lt;/keyword&gt;&lt;keyword&gt;*Tumor Markers, Biological&lt;/keyword&gt;&lt;/keywords&gt;&lt;dates&gt;&lt;year&gt;2010&lt;/year&gt;&lt;pub-dates&gt;&lt;date&gt;Oct&lt;/date&gt;&lt;/pub-dates&gt;&lt;/dates&gt;&lt;isbn&gt;1740-7753 (Electronic)&amp;#xD;1740-7745 (Linking)&lt;/isbn&gt;&lt;accession-num&gt;20392785&lt;/accession-num&gt;&lt;urls&gt;&lt;related-urls&gt;&lt;url&gt;http://www.ncbi.nlm.nih.gov/pubmed/20392785&lt;/url&gt;&lt;/related-urls&gt;&lt;/urls&gt;&lt;electronic-resource-num&gt;1740774510368574 [pii]&amp;#xD;10.1177/1740774510368574&lt;/electronic-resource-num&gt;&lt;language&gt;eng&lt;/language&gt;&lt;/record&gt;&lt;/Cite&gt;&lt;/EndNote&gt;</w:instrText>
      </w:r>
      <w:r>
        <w:fldChar w:fldCharType="separate"/>
      </w:r>
      <w:r w:rsidR="006F41FE">
        <w:rPr>
          <w:noProof/>
        </w:rPr>
        <w:t>(</w:t>
      </w:r>
      <w:hyperlink w:anchor="_ENREF_264" w:tooltip="Mandrekar, 2010 #4849" w:history="1">
        <w:r w:rsidR="004A784D">
          <w:rPr>
            <w:noProof/>
          </w:rPr>
          <w:t>Mandrekar and Sargent, 2010</w:t>
        </w:r>
      </w:hyperlink>
      <w:r w:rsidR="006F41FE">
        <w:rPr>
          <w:noProof/>
        </w:rPr>
        <w:t>)</w:t>
      </w:r>
      <w:r>
        <w:fldChar w:fldCharType="end"/>
      </w:r>
      <w:r w:rsidRPr="001A6261">
        <w:t xml:space="preserve">. </w:t>
      </w:r>
    </w:p>
    <w:p w:rsidR="00856253" w:rsidRDefault="00856253" w:rsidP="00057B42">
      <w:pPr>
        <w:spacing w:line="360" w:lineRule="auto"/>
        <w:jc w:val="both"/>
      </w:pPr>
    </w:p>
    <w:p w:rsidR="00856253" w:rsidRDefault="00B61503" w:rsidP="00057B42">
      <w:pPr>
        <w:spacing w:line="360" w:lineRule="auto"/>
        <w:jc w:val="both"/>
      </w:pPr>
      <w:r w:rsidRPr="001A6261">
        <w:t>Proteins were selected for investigation as biomarkers for particular cancers because of their ‘track record’ as biomarkers for other disease states or other cancers as explained below. For most of these proteins, however, their role as a cancer biomarker has not been validated in the context of a defined clinical application.</w:t>
      </w:r>
    </w:p>
    <w:p w:rsidR="00856253" w:rsidRDefault="00856253" w:rsidP="00057B42">
      <w:pPr>
        <w:spacing w:line="360" w:lineRule="auto"/>
        <w:jc w:val="both"/>
      </w:pPr>
    </w:p>
    <w:p w:rsidR="00B61503" w:rsidRDefault="00B61503" w:rsidP="00057B42">
      <w:pPr>
        <w:spacing w:line="360" w:lineRule="auto"/>
        <w:jc w:val="both"/>
      </w:pPr>
      <w:r w:rsidRPr="001A6261">
        <w:t xml:space="preserve">The advent of proteomic technologies has allowed </w:t>
      </w:r>
      <w:r w:rsidR="00856253">
        <w:t>us to</w:t>
      </w:r>
      <w:r w:rsidRPr="001A6261">
        <w:t xml:space="preserve"> </w:t>
      </w:r>
      <w:r w:rsidR="00856253" w:rsidRPr="001A6261">
        <w:t>systematic</w:t>
      </w:r>
      <w:r w:rsidR="00856253">
        <w:t>ally</w:t>
      </w:r>
      <w:r w:rsidRPr="001A6261">
        <w:t xml:space="preserve"> </w:t>
      </w:r>
      <w:r w:rsidR="00C605DC" w:rsidRPr="00C605DC">
        <w:t>analyse</w:t>
      </w:r>
      <w:r w:rsidRPr="001A6261">
        <w:t xml:space="preserve"> of complex proteomes and the identification of differentially expressed proteins in cells, tissues and body fluids. This has heightened interest in the application of proteomics to the identification of cancer biomarkers found in the blood.</w:t>
      </w:r>
      <w:r>
        <w:t xml:space="preserve"> T</w:t>
      </w:r>
      <w:r w:rsidRPr="001A6261">
        <w:t xml:space="preserve">he use of </w:t>
      </w:r>
      <w:r w:rsidR="00C605DC">
        <w:t>panel of bio</w:t>
      </w:r>
      <w:r w:rsidRPr="001A6261">
        <w:t xml:space="preserve"> markers for the detection an</w:t>
      </w:r>
      <w:r>
        <w:t xml:space="preserve">d prognosis of other cancers </w:t>
      </w:r>
      <w:r w:rsidR="00C605DC">
        <w:t>are discussed b</w:t>
      </w:r>
      <w:r w:rsidRPr="001A6261">
        <w:t>elow</w:t>
      </w:r>
      <w:r>
        <w:t xml:space="preserve"> </w:t>
      </w:r>
      <w:r>
        <w:fldChar w:fldCharType="begin">
          <w:fldData xml:space="preserve">PEVuZE5vdGU+PENpdGU+PEF1dGhvcj5Sb3NzPC9BdXRob3I+PFllYXI+MjAxMTwvWWVhcj48UmVj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</w:fldData>
        </w:fldChar>
      </w:r>
      <w:r w:rsidR="006F41FE">
        <w:instrText xml:space="preserve"> ADDIN EN.CITE </w:instrText>
      </w:r>
      <w:r w:rsidR="006F41FE">
        <w:fldChar w:fldCharType="begin">
          <w:fldData xml:space="preserve">PEVuZE5vdGU+PENpdGU+PEF1dGhvcj5Sb3NzPC9BdXRob3I+PFllYXI+MjAxMTwvWWVhcj48UmVj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</w:fldData>
        </w:fldChar>
      </w:r>
      <w:r w:rsidR="006F41FE">
        <w:instrText xml:space="preserve"> ADDIN EN.CITE.DATA </w:instrText>
      </w:r>
      <w:r w:rsidR="006F41FE">
        <w:fldChar w:fldCharType="end"/>
      </w:r>
      <w:r>
        <w:fldChar w:fldCharType="separate"/>
      </w:r>
      <w:r w:rsidR="006F41FE">
        <w:rPr>
          <w:noProof/>
        </w:rPr>
        <w:t>(</w:t>
      </w:r>
      <w:hyperlink w:anchor="_ENREF_353" w:tooltip="Ross, 2011 #4850" w:history="1">
        <w:r w:rsidR="004A784D">
          <w:rPr>
            <w:noProof/>
          </w:rPr>
          <w:t>Ross, 2011</w:t>
        </w:r>
      </w:hyperlink>
      <w:r w:rsidR="006F41FE">
        <w:rPr>
          <w:noProof/>
        </w:rPr>
        <w:t xml:space="preserve">, </w:t>
      </w:r>
      <w:hyperlink w:anchor="_ENREF_321" w:tooltip="Pepe, 2010 #4851" w:history="1">
        <w:r w:rsidR="004A784D">
          <w:rPr>
            <w:noProof/>
          </w:rPr>
          <w:t>Pepe et al., 2010</w:t>
        </w:r>
      </w:hyperlink>
      <w:r w:rsidR="006F41FE">
        <w:rPr>
          <w:noProof/>
        </w:rPr>
        <w:t>)</w:t>
      </w:r>
      <w:r>
        <w:fldChar w:fldCharType="end"/>
      </w:r>
      <w:r w:rsidRPr="001A6261">
        <w:t>.</w:t>
      </w:r>
      <w:r>
        <w:t xml:space="preserve"> </w:t>
      </w:r>
    </w:p>
    <w:p w:rsidR="001C5333" w:rsidRDefault="001C5333" w:rsidP="00057B42">
      <w:pPr>
        <w:spacing w:line="360" w:lineRule="auto"/>
        <w:jc w:val="both"/>
      </w:pPr>
    </w:p>
    <w:p w:rsidR="00856253" w:rsidRPr="001A6261" w:rsidRDefault="00856253" w:rsidP="00057B42">
      <w:pPr>
        <w:spacing w:line="360" w:lineRule="auto"/>
        <w:jc w:val="both"/>
      </w:pPr>
    </w:p>
    <w:p w:rsidR="00B61503" w:rsidRDefault="00B61503" w:rsidP="00645687">
      <w:pPr>
        <w:pStyle w:val="Heading2"/>
        <w:numPr>
          <w:ilvl w:val="4"/>
          <w:numId w:val="19"/>
        </w:numPr>
      </w:pPr>
      <w:bookmarkStart w:id="1721" w:name="_Toc302582405"/>
      <w:bookmarkStart w:id="1722" w:name="_Toc305690065"/>
      <w:bookmarkStart w:id="1723" w:name="_Toc306570757"/>
      <w:bookmarkStart w:id="1724" w:name="_Toc307067817"/>
      <w:bookmarkStart w:id="1725" w:name="_Toc312169384"/>
      <w:bookmarkStart w:id="1726" w:name="_Toc312172311"/>
      <w:bookmarkStart w:id="1727" w:name="_Toc312257860"/>
      <w:r w:rsidRPr="001A6261">
        <w:lastRenderedPageBreak/>
        <w:t>Tumour node metastases (TNM) system</w:t>
      </w:r>
      <w:bookmarkEnd w:id="1721"/>
      <w:bookmarkEnd w:id="1722"/>
      <w:bookmarkEnd w:id="1723"/>
      <w:bookmarkEnd w:id="1724"/>
      <w:bookmarkEnd w:id="1725"/>
      <w:bookmarkEnd w:id="1726"/>
      <w:bookmarkEnd w:id="1727"/>
    </w:p>
    <w:p w:rsidR="00B61503" w:rsidRDefault="00B61503" w:rsidP="001C5333">
      <w:pPr>
        <w:spacing w:before="240" w:line="360" w:lineRule="auto"/>
        <w:jc w:val="both"/>
      </w:pPr>
      <w:r w:rsidRPr="001A6261">
        <w:t xml:space="preserve">The traditional </w:t>
      </w:r>
      <w:r>
        <w:t xml:space="preserve">cancer classification staging </w:t>
      </w:r>
      <w:r w:rsidRPr="001A6261">
        <w:t xml:space="preserve">system of </w:t>
      </w:r>
      <w:r>
        <w:t>‘</w:t>
      </w:r>
      <w:r w:rsidRPr="001A6261">
        <w:t>tumour</w:t>
      </w:r>
      <w:r>
        <w:t>-node-</w:t>
      </w:r>
      <w:r w:rsidRPr="001A6261">
        <w:t>metastases</w:t>
      </w:r>
      <w:r>
        <w:t>’</w:t>
      </w:r>
      <w:r w:rsidRPr="001A6261">
        <w:t xml:space="preserve"> (TNM) has been the main tool for identifying prognostic differences among patients and for guiding </w:t>
      </w:r>
      <w:r>
        <w:t>management</w:t>
      </w:r>
      <w:r w:rsidRPr="001A6261">
        <w:t xml:space="preserve">. </w:t>
      </w:r>
      <w:r>
        <w:t xml:space="preserve">The </w:t>
      </w:r>
      <w:r w:rsidRPr="001A6261">
        <w:t>TNM system was first</w:t>
      </w:r>
      <w:r w:rsidRPr="001A6261">
        <w:rPr>
          <w:lang w:val="en"/>
        </w:rPr>
        <w:t xml:space="preserve"> published in 1977 and went into effect</w:t>
      </w:r>
      <w:r>
        <w:rPr>
          <w:lang w:val="en"/>
        </w:rPr>
        <w:t xml:space="preserve"> in</w:t>
      </w:r>
      <w:r w:rsidRPr="001A6261">
        <w:rPr>
          <w:lang w:val="en"/>
        </w:rPr>
        <w:t xml:space="preserve"> 1978</w:t>
      </w:r>
      <w:r>
        <w:rPr>
          <w:lang w:val="en"/>
        </w:rPr>
        <w:t xml:space="preserve"> </w:t>
      </w:r>
      <w:r>
        <w:rPr>
          <w:lang w:val="en"/>
        </w:rPr>
        <w:fldChar w:fldCharType="begin"/>
      </w:r>
      <w:r w:rsidR="00807CA3">
        <w:rPr>
          <w:lang w:val="en"/>
        </w:rPr>
        <w:instrText xml:space="preserve"> ADDIN EN.CITE &lt;EndNote&gt;&lt;Cite&gt;&lt;Author&gt;Jewett&lt;/Author&gt;&lt;Year&gt;1977&lt;/Year&gt;&lt;RecNum&gt;4970&lt;/RecNum&gt;&lt;DisplayText&gt;(Jewett, 1977)&lt;/DisplayText&gt;&lt;record&gt;&lt;rec-number&gt;4970&lt;/rec-number&gt;&lt;foreign-keys&gt;&lt;key app="EN" db-id="zf0awxsaczrdd3eft5qvw9wrtxxawdfrvw2a"&gt;4970&lt;/key&gt;&lt;/foreign-keys&gt;&lt;ref-type name="Journal Article"&gt;17&lt;/ref-type&gt;&lt;contributors&gt;&lt;authors&gt;&lt;author&gt;Jewett, H. J.&lt;/author&gt;&lt;/authors&gt;&lt;/contributors&gt;&lt;titles&gt;&lt;title&gt;The historical development of the staging of bladder tumors: personal reminiscences&lt;/title&gt;&lt;secondary-title&gt;Urol Surv&lt;/secondary-title&gt;&lt;/titles&gt;&lt;periodical&gt;&lt;full-title&gt;Urol Surv&lt;/full-title&gt;&lt;/periodical&gt;&lt;pages&gt;37-40&lt;/pages&gt;&lt;volume&gt;27&lt;/volume&gt;&lt;number&gt;2&lt;/number&gt;&lt;edition&gt;1977/04/01&lt;/edition&gt;&lt;keywords&gt;&lt;keyword&gt;Carcinoma, Papillary/history/mortality/*pathology&lt;/keyword&gt;&lt;keyword&gt;History, 20th Century&lt;/keyword&gt;&lt;keyword&gt;Humans&lt;/keyword&gt;&lt;keyword&gt;Prognosis&lt;/keyword&gt;&lt;keyword&gt;Urinary Bladder Neoplasms/history/mortality/*pathology&lt;/keyword&gt;&lt;/keywords&gt;&lt;dates&gt;&lt;year&gt;1977&lt;/year&gt;&lt;pub-dates&gt;&lt;date&gt;Apr&lt;/date&gt;&lt;/pub-dates&gt;&lt;/dates&gt;&lt;isbn&gt;0042-1146 (Print)&amp;#xD;0042-1146 (Linking)&lt;/isbn&gt;&lt;accession-num&gt;329533&lt;/accession-num&gt;&lt;urls&gt;&lt;related-urls&gt;&lt;url&gt;http://www.ncbi.nlm.nih.gov/pubmed/329533&lt;/url&gt;&lt;/related-urls&gt;&lt;/urls&gt;&lt;language&gt;eng&lt;/language&gt;&lt;/record&gt;&lt;/Cite&gt;&lt;/EndNote&gt;</w:instrText>
      </w:r>
      <w:r>
        <w:rPr>
          <w:lang w:val="en"/>
        </w:rPr>
        <w:fldChar w:fldCharType="separate"/>
      </w:r>
      <w:r w:rsidR="006F41FE">
        <w:rPr>
          <w:noProof/>
          <w:lang w:val="en"/>
        </w:rPr>
        <w:t>(</w:t>
      </w:r>
      <w:hyperlink w:anchor="_ENREF_190" w:tooltip="Jewett, 1977 #4970" w:history="1">
        <w:r w:rsidR="004A784D">
          <w:rPr>
            <w:noProof/>
            <w:lang w:val="en"/>
          </w:rPr>
          <w:t>Jewett, 1977</w:t>
        </w:r>
      </w:hyperlink>
      <w:r w:rsidR="006F41FE">
        <w:rPr>
          <w:noProof/>
          <w:lang w:val="en"/>
        </w:rPr>
        <w:t>)</w:t>
      </w:r>
      <w:r>
        <w:rPr>
          <w:lang w:val="en"/>
        </w:rPr>
        <w:fldChar w:fldCharType="end"/>
      </w:r>
      <w:r w:rsidRPr="001A6261">
        <w:rPr>
          <w:lang w:val="en"/>
        </w:rPr>
        <w:t xml:space="preserve">. </w:t>
      </w:r>
      <w:r w:rsidRPr="001A6261">
        <w:t xml:space="preserve">The TNM system is based on the macroscopic and microscopic morphological examination of pathological samples. </w:t>
      </w:r>
    </w:p>
    <w:p w:rsidR="00856253" w:rsidRDefault="00856253" w:rsidP="00057B42">
      <w:pPr>
        <w:spacing w:line="360" w:lineRule="auto"/>
        <w:jc w:val="both"/>
      </w:pPr>
    </w:p>
    <w:p w:rsidR="00B61503" w:rsidRDefault="00B61503" w:rsidP="00057B42">
      <w:pPr>
        <w:spacing w:line="360" w:lineRule="auto"/>
        <w:jc w:val="both"/>
      </w:pPr>
      <w:r w:rsidRPr="001A6261">
        <w:t>Despite the advantage of standardisation for international communications and studies, there are many limitations of this system as a first-line method for prediction and prognosis of cancer.</w:t>
      </w:r>
      <w:r>
        <w:t xml:space="preserve"> For example, i</w:t>
      </w:r>
      <w:r w:rsidRPr="001A6261">
        <w:t xml:space="preserve">t is difficult to distinguish related disease subtypes, which </w:t>
      </w:r>
      <w:r>
        <w:t xml:space="preserve">might </w:t>
      </w:r>
      <w:r w:rsidRPr="001A6261">
        <w:t>have different medical managements and clinical outcomes</w:t>
      </w:r>
      <w:r>
        <w:t xml:space="preserve"> </w:t>
      </w:r>
      <w:r>
        <w:fldChar w:fldCharType="begin"/>
      </w:r>
      <w:r w:rsidR="00807CA3">
        <w:instrText xml:space="preserve"> ADDIN EN.CITE &lt;EndNote&gt;&lt;Cite&gt;&lt;Author&gt;Sobin&lt;/Author&gt;&lt;Year&gt;2003&lt;/Year&gt;&lt;RecNum&gt;4945&lt;/RecNum&gt;&lt;DisplayText&gt;(Sobin, 2003)&lt;/DisplayText&gt;&lt;record&gt;&lt;rec-number&gt;4945&lt;/rec-number&gt;&lt;foreign-keys&gt;&lt;key app="EN" db-id="zf0awxsaczrdd3eft5qvw9wrtxxawdfrvw2a"&gt;4945&lt;/key&gt;&lt;/foreign-keys&gt;&lt;ref-type name="Journal Article"&gt;17&lt;/ref-type&gt;&lt;contributors&gt;&lt;authors&gt;&lt;author&gt;Sobin, L. H.&lt;/author&gt;&lt;/authors&gt;&lt;/contributors&gt;&lt;auth-address&gt;Department of Hepatic and Gastrointestinal Pathology, Armed Forces Institute of Pathology, Washington, DC 20306, USA. sobin@afip.osd.mil&lt;/auth-address&gt;&lt;titles&gt;&lt;title&gt;TNM: evolution and relation to other prognostic factors&lt;/title&gt;&lt;secondary-title&gt;Semin Surg Oncol&lt;/secondary-title&gt;&lt;/titles&gt;&lt;periodical&gt;&lt;full-title&gt;Semin Surg Oncol&lt;/full-title&gt;&lt;/periodical&gt;&lt;pages&gt;3-7&lt;/pages&gt;&lt;volume&gt;21&lt;/volume&gt;&lt;number&gt;1&lt;/number&gt;&lt;edition&gt;2003/08/19&lt;/edition&gt;&lt;keywords&gt;&lt;keyword&gt;History, 20th Century&lt;/keyword&gt;&lt;keyword&gt;Humans&lt;/keyword&gt;&lt;keyword&gt;Lymph Nodes/pathology&lt;/keyword&gt;&lt;keyword&gt;*Neoplasm Invasiveness&lt;/keyword&gt;&lt;keyword&gt;Neoplasm Metastasis&lt;/keyword&gt;&lt;keyword&gt;Neoplasm Staging/history/*methods&lt;/keyword&gt;&lt;keyword&gt;Neoplasms/*classification/diagnosis/pathology&lt;/keyword&gt;&lt;keyword&gt;Prognosis&lt;/keyword&gt;&lt;keyword&gt;Sentinel Lymph Node Biopsy/*classification&lt;/keyword&gt;&lt;keyword&gt;Tumor Markers, Biological/analysis&lt;/keyword&gt;&lt;/keywords&gt;&lt;dates&gt;&lt;year&gt;2003&lt;/year&gt;&lt;/dates&gt;&lt;isbn&gt;8756-0437 (Print)&amp;#xD;1098-2388 (Linking)&lt;/isbn&gt;&lt;accession-num&gt;12923909&lt;/accession-num&gt;&lt;urls&gt;&lt;related-urls&gt;&lt;url&gt;http://www.ncbi.nlm.nih.gov/pubmed/12923909&lt;/url&gt;&lt;/related-urls&gt;&lt;/urls&gt;&lt;electronic-resource-num&gt;10.1002/ssu.10014&lt;/electronic-resource-num&gt;&lt;language&gt;eng&lt;/language&gt;&lt;/record&gt;&lt;/Cite&gt;&lt;/EndNote&gt;</w:instrText>
      </w:r>
      <w:r>
        <w:fldChar w:fldCharType="separate"/>
      </w:r>
      <w:r w:rsidR="006F41FE">
        <w:rPr>
          <w:noProof/>
        </w:rPr>
        <w:t>(</w:t>
      </w:r>
      <w:hyperlink w:anchor="_ENREF_393" w:tooltip="Sobin, 2003 #4945" w:history="1">
        <w:r w:rsidR="004A784D">
          <w:rPr>
            <w:noProof/>
          </w:rPr>
          <w:t>Sobin, 2003</w:t>
        </w:r>
      </w:hyperlink>
      <w:r w:rsidR="006F41FE">
        <w:rPr>
          <w:noProof/>
        </w:rPr>
        <w:t>)</w:t>
      </w:r>
      <w:r>
        <w:fldChar w:fldCharType="end"/>
      </w:r>
      <w:r w:rsidRPr="001A6261">
        <w:t xml:space="preserve">. </w:t>
      </w:r>
    </w:p>
    <w:p w:rsidR="00B61503" w:rsidRPr="001A6261" w:rsidRDefault="00B61503" w:rsidP="00057B42">
      <w:pPr>
        <w:spacing w:line="360" w:lineRule="auto"/>
        <w:jc w:val="both"/>
      </w:pPr>
    </w:p>
    <w:p w:rsidR="00B61503" w:rsidRDefault="00B61503" w:rsidP="00645687">
      <w:pPr>
        <w:pStyle w:val="Heading2"/>
        <w:numPr>
          <w:ilvl w:val="4"/>
          <w:numId w:val="19"/>
        </w:numPr>
      </w:pPr>
      <w:r w:rsidRPr="001A6261">
        <w:rPr>
          <w:sz w:val="24"/>
          <w:szCs w:val="24"/>
        </w:rPr>
        <w:t xml:space="preserve"> </w:t>
      </w:r>
      <w:bookmarkStart w:id="1728" w:name="_Toc302582406"/>
      <w:bookmarkStart w:id="1729" w:name="_Toc305690066"/>
      <w:bookmarkStart w:id="1730" w:name="_Toc306570758"/>
      <w:bookmarkStart w:id="1731" w:name="_Toc307067818"/>
      <w:bookmarkStart w:id="1732" w:name="_Toc312169385"/>
      <w:bookmarkStart w:id="1733" w:name="_Toc312172312"/>
      <w:bookmarkStart w:id="1734" w:name="_Toc312257861"/>
      <w:r w:rsidRPr="001A6261">
        <w:t>Ovarian cancer and cancer antigen 125 (CA-125)</w:t>
      </w:r>
      <w:bookmarkEnd w:id="1728"/>
      <w:bookmarkEnd w:id="1729"/>
      <w:bookmarkEnd w:id="1730"/>
      <w:bookmarkEnd w:id="1731"/>
      <w:bookmarkEnd w:id="1732"/>
      <w:bookmarkEnd w:id="1733"/>
      <w:bookmarkEnd w:id="1734"/>
      <w:r w:rsidRPr="001A6261">
        <w:t xml:space="preserve"> </w:t>
      </w:r>
    </w:p>
    <w:p w:rsidR="00B61503" w:rsidRDefault="00B61503" w:rsidP="009B07E4">
      <w:pPr>
        <w:spacing w:before="240" w:line="360" w:lineRule="auto"/>
        <w:jc w:val="both"/>
      </w:pPr>
      <w:r w:rsidRPr="001A6261">
        <w:t>Since its development over 25 years ago, measurement of serum levels of CA-125 has become an integral part of the management of epithelial ovarian cancer. CA-125</w:t>
      </w:r>
      <w:r>
        <w:t xml:space="preserve"> protein</w:t>
      </w:r>
      <w:r w:rsidRPr="001A6261">
        <w:t xml:space="preserve"> is found on the surface of many ovarian cancer cells. While the levels of this antigen at the time of diagnosis are of limited prognostic significance, the measurements of the same antigen are now performed almost routinely during the course of various treatments. </w:t>
      </w:r>
      <w:r>
        <w:t>E</w:t>
      </w:r>
      <w:r w:rsidRPr="001A6261">
        <w:t xml:space="preserve">arly attempts to evaluate </w:t>
      </w:r>
      <w:r>
        <w:t xml:space="preserve">the utility of </w:t>
      </w:r>
      <w:r w:rsidRPr="001A6261">
        <w:t xml:space="preserve">CA-125 in combination with other potential biomarkers were conducted by Bast’s group </w:t>
      </w:r>
      <w:r w:rsidRPr="001A6261">
        <w:fldChar w:fldCharType="begin">
          <w:fldData xml:space="preserve">PEVuZE5vdGU+PENpdGU+PEF1dGhvcj5YdTwvQXV0aG9yPjxZZWFyPjE5OTM8L1llYXI+PFJlY051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</w:fldData>
        </w:fldChar>
      </w:r>
      <w:r w:rsidR="006F41FE">
        <w:instrText xml:space="preserve"> ADDIN EN.CITE </w:instrText>
      </w:r>
      <w:r w:rsidR="006F41FE">
        <w:fldChar w:fldCharType="begin">
          <w:fldData xml:space="preserve">PEVuZE5vdGU+PENpdGU+PEF1dGhvcj5YdTwvQXV0aG9yPjxZZWFyPjE5OTM8L1llYXI+PFJlY051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</w:fldData>
        </w:fldChar>
      </w:r>
      <w:r w:rsidR="006F41FE">
        <w:instrText xml:space="preserve"> ADDIN EN.CITE.DATA </w:instrText>
      </w:r>
      <w:r w:rsidR="006F41FE">
        <w:fldChar w:fldCharType="end"/>
      </w:r>
      <w:r w:rsidRPr="001A6261">
        <w:fldChar w:fldCharType="separate"/>
      </w:r>
      <w:r w:rsidR="006F41FE">
        <w:rPr>
          <w:noProof/>
        </w:rPr>
        <w:t>(</w:t>
      </w:r>
      <w:hyperlink w:anchor="_ENREF_451" w:tooltip="Xu, 1993 #3116" w:history="1">
        <w:r w:rsidR="004A784D">
          <w:rPr>
            <w:noProof/>
          </w:rPr>
          <w:t>Xu et al., 1993</w:t>
        </w:r>
      </w:hyperlink>
      <w:r w:rsidR="006F41FE">
        <w:rPr>
          <w:noProof/>
        </w:rPr>
        <w:t>)</w:t>
      </w:r>
      <w:r w:rsidRPr="001A6261">
        <w:fldChar w:fldCharType="end"/>
      </w:r>
      <w:r w:rsidRPr="001A6261">
        <w:t xml:space="preserve">.  </w:t>
      </w:r>
    </w:p>
    <w:p w:rsidR="00856253" w:rsidRDefault="00856253" w:rsidP="00057B42">
      <w:pPr>
        <w:spacing w:line="360" w:lineRule="auto"/>
        <w:jc w:val="both"/>
      </w:pPr>
    </w:p>
    <w:p w:rsidR="00B61503" w:rsidRDefault="00B61503" w:rsidP="00057B42">
      <w:pPr>
        <w:spacing w:line="360" w:lineRule="auto"/>
        <w:jc w:val="both"/>
      </w:pPr>
      <w:r w:rsidRPr="001A6261">
        <w:t xml:space="preserve">To increase preoperative sensitivity for early stage ovarian cancer, Skates et al. (2004) used a panel of biomarkers composed of CA-125, CA 15-3, CA 72-4, and M-CSF. The logistic model </w:t>
      </w:r>
      <w:r>
        <w:t xml:space="preserve">developed </w:t>
      </w:r>
      <w:r w:rsidRPr="001A6261">
        <w:t>gave a correct prediction in 73%</w:t>
      </w:r>
      <w:r>
        <w:t xml:space="preserve"> of patients</w:t>
      </w:r>
      <w:r w:rsidRPr="001A6261">
        <w:t xml:space="preserve">  This panel of biomarker detection tests is still under development and more markers were added, so</w:t>
      </w:r>
      <w:r>
        <w:t>,</w:t>
      </w:r>
      <w:r w:rsidRPr="001A6261">
        <w:t xml:space="preserve"> in principle</w:t>
      </w:r>
      <w:r>
        <w:t>,</w:t>
      </w:r>
      <w:r w:rsidRPr="001A6261">
        <w:t xml:space="preserve"> </w:t>
      </w:r>
      <w:r>
        <w:t>it is expected that</w:t>
      </w:r>
      <w:r w:rsidRPr="001A6261">
        <w:t xml:space="preserve"> their combined use will further increases accuracy. Suboptimal sensitivity of a detection assay can lead to </w:t>
      </w:r>
      <w:r>
        <w:t xml:space="preserve">false negative results which can lead to </w:t>
      </w:r>
      <w:r w:rsidRPr="001A6261">
        <w:t>more frequent testing of women at high</w:t>
      </w:r>
      <w:r>
        <w:t>er</w:t>
      </w:r>
      <w:r w:rsidRPr="001A6261">
        <w:t xml:space="preserve"> risk</w:t>
      </w:r>
      <w:r>
        <w:t xml:space="preserve">. </w:t>
      </w:r>
    </w:p>
    <w:p w:rsidR="00B61503" w:rsidRPr="001A6261" w:rsidRDefault="00B61503" w:rsidP="00057B42">
      <w:pPr>
        <w:spacing w:line="360" w:lineRule="auto"/>
        <w:jc w:val="both"/>
      </w:pPr>
      <w:r>
        <w:t>Therefore</w:t>
      </w:r>
      <w:r w:rsidRPr="001A6261">
        <w:t xml:space="preserve"> a more accurate assay makes such routine testing less </w:t>
      </w:r>
      <w:r>
        <w:t>frequent</w:t>
      </w:r>
      <w:r w:rsidRPr="001A6261">
        <w:t xml:space="preserve"> and increases patient comfort and compliance</w:t>
      </w:r>
      <w:r>
        <w:t xml:space="preserve"> </w:t>
      </w:r>
      <w:r w:rsidRPr="001A6261">
        <w:fldChar w:fldCharType="begin">
          <w:fldData xml:space="preserve">PEVuZE5vdGU+PENpdGU+PEF1dGhvcj5TY2h1dHRlcjwvQXV0aG9yPjxZZWFyPjIwMDI8L1llYXI+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</w:fldData>
        </w:fldChar>
      </w:r>
      <w:r w:rsidR="00B933E7">
        <w:instrText xml:space="preserve"> ADDIN EN.CITE </w:instrText>
      </w:r>
      <w:r w:rsidR="00B933E7">
        <w:fldChar w:fldCharType="begin">
          <w:fldData xml:space="preserve">PEVuZE5vdGU+PENpdGU+PEF1dGhvcj5TY2h1dHRlcjwvQXV0aG9yPjxZZWFyPjIwMDI8L1llYXI+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</w:fldData>
        </w:fldChar>
      </w:r>
      <w:r w:rsidR="00B933E7">
        <w:instrText xml:space="preserve"> ADDIN EN.CITE.DATA </w:instrText>
      </w:r>
      <w:r w:rsidR="00B933E7">
        <w:fldChar w:fldCharType="end"/>
      </w:r>
      <w:r w:rsidRPr="001A6261">
        <w:fldChar w:fldCharType="separate"/>
      </w:r>
      <w:r w:rsidR="00B933E7">
        <w:rPr>
          <w:noProof/>
        </w:rPr>
        <w:t>(</w:t>
      </w:r>
      <w:hyperlink w:anchor="_ENREF_374" w:tooltip="Schutter, 2002 #3167" w:history="1">
        <w:r w:rsidR="004A784D">
          <w:rPr>
            <w:noProof/>
          </w:rPr>
          <w:t>Schutter et al., 2002</w:t>
        </w:r>
      </w:hyperlink>
      <w:r w:rsidR="00B933E7">
        <w:rPr>
          <w:noProof/>
        </w:rPr>
        <w:t xml:space="preserve">, </w:t>
      </w:r>
      <w:hyperlink w:anchor="_ENREF_467" w:tooltip="Zhang, 2007 #3161" w:history="1">
        <w:r w:rsidR="004A784D">
          <w:rPr>
            <w:noProof/>
          </w:rPr>
          <w:t>Zhang et al., 2007b</w:t>
        </w:r>
      </w:hyperlink>
      <w:r w:rsidR="00B933E7">
        <w:rPr>
          <w:noProof/>
        </w:rPr>
        <w:t>)</w:t>
      </w:r>
      <w:r w:rsidRPr="001A6261">
        <w:fldChar w:fldCharType="end"/>
      </w:r>
      <w:r w:rsidRPr="001A6261">
        <w:t xml:space="preserve">. </w:t>
      </w:r>
    </w:p>
    <w:p w:rsidR="00B61503" w:rsidRDefault="00B61503" w:rsidP="00645687">
      <w:pPr>
        <w:pStyle w:val="Heading2"/>
        <w:numPr>
          <w:ilvl w:val="4"/>
          <w:numId w:val="19"/>
        </w:numPr>
      </w:pPr>
      <w:r>
        <w:rPr>
          <w:sz w:val="24"/>
          <w:szCs w:val="24"/>
        </w:rPr>
        <w:br w:type="page"/>
      </w:r>
      <w:r w:rsidRPr="001A6261">
        <w:rPr>
          <w:sz w:val="24"/>
          <w:szCs w:val="24"/>
        </w:rPr>
        <w:lastRenderedPageBreak/>
        <w:t xml:space="preserve"> </w:t>
      </w:r>
      <w:r w:rsidRPr="001A6261">
        <w:t xml:space="preserve"> </w:t>
      </w:r>
      <w:bookmarkStart w:id="1735" w:name="_Toc302582407"/>
      <w:bookmarkStart w:id="1736" w:name="_Toc305690067"/>
      <w:bookmarkStart w:id="1737" w:name="_Toc306570759"/>
      <w:bookmarkStart w:id="1738" w:name="_Toc307067819"/>
      <w:bookmarkStart w:id="1739" w:name="_Toc312169386"/>
      <w:bookmarkStart w:id="1740" w:name="_Toc312172313"/>
      <w:bookmarkStart w:id="1741" w:name="_Toc312257862"/>
      <w:r w:rsidRPr="001A6261">
        <w:t>Prostate cancer and Prostate-specific antigen (PSA)</w:t>
      </w:r>
      <w:bookmarkEnd w:id="1735"/>
      <w:bookmarkEnd w:id="1736"/>
      <w:bookmarkEnd w:id="1737"/>
      <w:bookmarkEnd w:id="1738"/>
      <w:bookmarkEnd w:id="1739"/>
      <w:bookmarkEnd w:id="1740"/>
      <w:bookmarkEnd w:id="1741"/>
    </w:p>
    <w:p w:rsidR="00B61503" w:rsidRDefault="00B61503" w:rsidP="009B07E4">
      <w:pPr>
        <w:spacing w:before="240" w:line="360" w:lineRule="auto"/>
        <w:jc w:val="both"/>
      </w:pPr>
      <w:r w:rsidRPr="001A6261">
        <w:t>Prostate cancer is the most common cause of death from cancer in men over the age of 75</w:t>
      </w:r>
      <w:r>
        <w:t xml:space="preserve"> years</w:t>
      </w:r>
      <w:r w:rsidRPr="001A6261">
        <w:t>. Over 230,000 new prostate cancer cases and 30,000 prostate cancer deaths are estimated in the U</w:t>
      </w:r>
      <w:r>
        <w:t xml:space="preserve">nited </w:t>
      </w:r>
      <w:r w:rsidRPr="001A6261">
        <w:t>S</w:t>
      </w:r>
      <w:r>
        <w:t>tates</w:t>
      </w:r>
      <w:r w:rsidRPr="001A6261">
        <w:t xml:space="preserve"> per year. This makes prostate cancer the most commonly diagnosed cancer and the second leading cause of cancer-related deaths in men in the United States. </w:t>
      </w:r>
    </w:p>
    <w:p w:rsidR="00856253" w:rsidRDefault="00856253" w:rsidP="00057B42">
      <w:pPr>
        <w:spacing w:line="360" w:lineRule="auto"/>
        <w:jc w:val="both"/>
      </w:pPr>
    </w:p>
    <w:p w:rsidR="00B61503" w:rsidRDefault="00B61503" w:rsidP="00057B42">
      <w:pPr>
        <w:spacing w:line="360" w:lineRule="auto"/>
        <w:jc w:val="both"/>
      </w:pPr>
      <w:r w:rsidRPr="001A6261">
        <w:t xml:space="preserve">PSA has a long </w:t>
      </w:r>
      <w:r>
        <w:t>history</w:t>
      </w:r>
      <w:r w:rsidRPr="001A6261">
        <w:t xml:space="preserve"> of use in diagnosis for prostate cancer. Since its</w:t>
      </w:r>
      <w:r>
        <w:t xml:space="preserve"> first</w:t>
      </w:r>
      <w:r w:rsidRPr="001A6261">
        <w:t xml:space="preserve"> approval by the </w:t>
      </w:r>
      <w:r>
        <w:t xml:space="preserve">regulatory authority </w:t>
      </w:r>
      <w:r w:rsidRPr="001A6261">
        <w:t>FDA in 1986, PSA has probably become the most analysed serum tumour marker in clinical practice today. Serum PSA level is now routinely used in the diagnosis and monitoring of prostate cancer</w:t>
      </w:r>
      <w:r>
        <w:t xml:space="preserve"> remission and progression</w:t>
      </w:r>
      <w:r w:rsidRPr="001A6261">
        <w:t>. There is a general agreement among clinicians t</w:t>
      </w:r>
      <w:r>
        <w:t>hat the PSA test has a reasonable</w:t>
      </w:r>
      <w:r w:rsidRPr="001A6261">
        <w:t xml:space="preserve"> high predictive value for prostate cancer, particularly when the malignancy is in its early stages. </w:t>
      </w:r>
      <w:r>
        <w:t>However, a</w:t>
      </w:r>
      <w:r w:rsidRPr="001A6261">
        <w:t>t the same time, high PSA</w:t>
      </w:r>
      <w:r>
        <w:t xml:space="preserve"> level</w:t>
      </w:r>
      <w:r w:rsidRPr="001A6261">
        <w:t xml:space="preserve"> can also</w:t>
      </w:r>
      <w:r w:rsidR="009B07E4">
        <w:t xml:space="preserve"> be</w:t>
      </w:r>
      <w:r w:rsidRPr="001A6261">
        <w:t xml:space="preserve"> associated with the benign prostatic enlargement. Therefore there is a disagreement as to what level of PSA should prompt suspicions of prostate cancer and </w:t>
      </w:r>
      <w:r>
        <w:t xml:space="preserve">indication </w:t>
      </w:r>
      <w:r w:rsidRPr="001A6261">
        <w:t xml:space="preserve">for a prostate biopsy. </w:t>
      </w:r>
    </w:p>
    <w:p w:rsidR="00856253" w:rsidRDefault="00856253" w:rsidP="00057B42">
      <w:pPr>
        <w:spacing w:line="360" w:lineRule="auto"/>
        <w:jc w:val="both"/>
      </w:pPr>
    </w:p>
    <w:p w:rsidR="00B61503" w:rsidRPr="001A6261" w:rsidRDefault="00B61503" w:rsidP="00057B42">
      <w:pPr>
        <w:spacing w:line="360" w:lineRule="auto"/>
        <w:jc w:val="both"/>
      </w:pPr>
      <w:r w:rsidRPr="001A6261">
        <w:t xml:space="preserve">In </w:t>
      </w:r>
      <w:r w:rsidR="00ED6DDA">
        <w:t xml:space="preserve">2004 a </w:t>
      </w:r>
      <w:r w:rsidRPr="001A6261">
        <w:t>study</w:t>
      </w:r>
      <w:r>
        <w:t xml:space="preserve"> </w:t>
      </w:r>
      <w:r w:rsidR="00ED6DDA">
        <w:t xml:space="preserve">published </w:t>
      </w:r>
      <w:r>
        <w:t xml:space="preserve">by </w:t>
      </w:r>
      <w:r w:rsidRPr="002A4D65">
        <w:t xml:space="preserve">Kreisberg </w:t>
      </w:r>
      <w:r>
        <w:t>et al</w:t>
      </w:r>
      <w:r w:rsidR="00ED6DDA">
        <w:t>,</w:t>
      </w:r>
      <w:r>
        <w:t xml:space="preserve"> </w:t>
      </w:r>
      <w:r w:rsidRPr="001A6261">
        <w:t>an attempt was made to use the extent of phosphorylation of Akt (Ser 473) to predict prostate cancer and clinical outcome. This study was considered to establish whether increased phosphorylation of Akt and/or decreased phosphorylation of ERK (extracellular signal-regulated kinase) could be used to predict poor clinical outcome in prostate cancer</w:t>
      </w:r>
      <w:r w:rsidR="000F43ED">
        <w:t>. Author suggested that</w:t>
      </w:r>
      <w:r w:rsidR="000F43ED" w:rsidRPr="000F43ED">
        <w:t xml:space="preserve"> that, while activation of Akt may correlate with disease progression in prostate cancer, Erk MAPK activation may inversely correlate with aggressive disease</w:t>
      </w:r>
      <w:r w:rsidRPr="001A6261">
        <w:t xml:space="preserve"> </w:t>
      </w:r>
      <w:r w:rsidRPr="001A6261">
        <w:fldChar w:fldCharType="begin">
          <w:fldData xml:space="preserve">PEVuZE5vdGU+PENpdGU+PEF1dGhvcj5HaG9zaDwvQXV0aG9yPjxZZWFyPjIwMDM8L1llYXI+PFJl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=
</w:fldData>
        </w:fldChar>
      </w:r>
      <w:r w:rsidR="006F41FE">
        <w:instrText xml:space="preserve"> ADDIN EN.CITE </w:instrText>
      </w:r>
      <w:r w:rsidR="006F41FE">
        <w:fldChar w:fldCharType="begin">
          <w:fldData xml:space="preserve">PEVuZE5vdGU+PENpdGU+PEF1dGhvcj5HaG9zaDwvQXV0aG9yPjxZZWFyPjIwMDM8L1llYXI+PFJl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=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143" w:tooltip="Ghosh, 2003 #3184" w:history="1">
        <w:r w:rsidR="004A784D">
          <w:rPr>
            <w:noProof/>
          </w:rPr>
          <w:t>Ghosh et al., 2003</w:t>
        </w:r>
      </w:hyperlink>
      <w:r w:rsidR="006F41FE">
        <w:rPr>
          <w:noProof/>
        </w:rPr>
        <w:t xml:space="preserve">, </w:t>
      </w:r>
      <w:hyperlink w:anchor="_ENREF_221" w:tooltip="Kreisberg, 2004 #3183" w:history="1">
        <w:r w:rsidR="004A784D">
          <w:rPr>
            <w:noProof/>
          </w:rPr>
          <w:t>Kreisberg et al., 2004</w:t>
        </w:r>
      </w:hyperlink>
      <w:r w:rsidR="006F41FE">
        <w:rPr>
          <w:noProof/>
        </w:rPr>
        <w:t xml:space="preserve">, </w:t>
      </w:r>
      <w:hyperlink w:anchor="_ENREF_133" w:tooltip="Gao, 2011 #4852" w:history="1">
        <w:r w:rsidR="004A784D">
          <w:rPr>
            <w:noProof/>
          </w:rPr>
          <w:t>Gao et al., 2011</w:t>
        </w:r>
      </w:hyperlink>
      <w:r w:rsidR="006F41FE">
        <w:rPr>
          <w:noProof/>
        </w:rPr>
        <w:t>)</w:t>
      </w:r>
      <w:r w:rsidRPr="001A6261">
        <w:fldChar w:fldCharType="end"/>
      </w:r>
      <w:r w:rsidRPr="001A6261">
        <w:t xml:space="preserve">. </w:t>
      </w:r>
    </w:p>
    <w:p w:rsidR="00B61503" w:rsidRPr="001A6261" w:rsidRDefault="00B61503" w:rsidP="00057B42">
      <w:pPr>
        <w:spacing w:line="360" w:lineRule="auto"/>
        <w:jc w:val="both"/>
      </w:pPr>
    </w:p>
    <w:p w:rsidR="00B61503" w:rsidRDefault="00B61503" w:rsidP="00645687">
      <w:pPr>
        <w:pStyle w:val="Heading2"/>
        <w:numPr>
          <w:ilvl w:val="4"/>
          <w:numId w:val="19"/>
        </w:numPr>
      </w:pPr>
      <w:r w:rsidRPr="001A6261">
        <w:rPr>
          <w:sz w:val="24"/>
          <w:szCs w:val="24"/>
        </w:rPr>
        <w:t xml:space="preserve">  </w:t>
      </w:r>
      <w:bookmarkStart w:id="1742" w:name="_Toc302582408"/>
      <w:bookmarkStart w:id="1743" w:name="_Toc305690068"/>
      <w:bookmarkStart w:id="1744" w:name="_Toc306570760"/>
      <w:bookmarkStart w:id="1745" w:name="_Toc307067820"/>
      <w:bookmarkStart w:id="1746" w:name="_Toc312169387"/>
      <w:bookmarkStart w:id="1747" w:name="_Toc312172314"/>
      <w:bookmarkStart w:id="1748" w:name="_Toc312257863"/>
      <w:r>
        <w:rPr>
          <w:sz w:val="24"/>
          <w:szCs w:val="24"/>
        </w:rPr>
        <w:t>T</w:t>
      </w:r>
      <w:r w:rsidRPr="001A6261">
        <w:t>umour marker</w:t>
      </w:r>
      <w:bookmarkEnd w:id="1742"/>
      <w:r>
        <w:t xml:space="preserve">s in </w:t>
      </w:r>
      <w:r w:rsidRPr="001A6261">
        <w:rPr>
          <w:sz w:val="24"/>
          <w:szCs w:val="24"/>
        </w:rPr>
        <w:t>gastrointestinal</w:t>
      </w:r>
      <w:r>
        <w:rPr>
          <w:sz w:val="24"/>
          <w:szCs w:val="24"/>
        </w:rPr>
        <w:t xml:space="preserve"> (GI)</w:t>
      </w:r>
      <w:r w:rsidRPr="001A6261">
        <w:t xml:space="preserve"> malignancies</w:t>
      </w:r>
      <w:bookmarkEnd w:id="1743"/>
      <w:bookmarkEnd w:id="1744"/>
      <w:bookmarkEnd w:id="1745"/>
      <w:bookmarkEnd w:id="1746"/>
      <w:bookmarkEnd w:id="1747"/>
      <w:bookmarkEnd w:id="1748"/>
    </w:p>
    <w:p w:rsidR="00B61503" w:rsidRDefault="00B61503" w:rsidP="009B07E4">
      <w:pPr>
        <w:spacing w:before="240" w:line="360" w:lineRule="auto"/>
        <w:jc w:val="both"/>
      </w:pPr>
      <w:r w:rsidRPr="001A6261">
        <w:t xml:space="preserve">In </w:t>
      </w:r>
      <w:r>
        <w:t>GI</w:t>
      </w:r>
      <w:r w:rsidRPr="001A6261">
        <w:t xml:space="preserve"> tumour</w:t>
      </w:r>
      <w:r>
        <w:t>s</w:t>
      </w:r>
      <w:r w:rsidRPr="001A6261">
        <w:t xml:space="preserve">, serum markers are used in clinical practice for detecting the presence of disease or the recurrence of tumour </w:t>
      </w:r>
      <w:r>
        <w:t xml:space="preserve">after a course of treatment and as well as </w:t>
      </w:r>
      <w:r w:rsidRPr="001A6261">
        <w:t xml:space="preserve">for monitoring responses to therapy. Most markers are overexpressed by the gastrointestinal tumour itself and thus are detectable in the serum samples from the </w:t>
      </w:r>
      <w:r w:rsidRPr="001A6261">
        <w:lastRenderedPageBreak/>
        <w:t xml:space="preserve">cancer patients. Those in clinical use at present include: carcinoembryonic antigen (CEA) for colorectal carcinomas, alpha-fetoprotein (AFP) for primary liver carcinomas, CA 125 for colon carcinomas (but predominantly used for ovarian carcinomas as explained </w:t>
      </w:r>
      <w:r>
        <w:t>previously</w:t>
      </w:r>
      <w:r w:rsidRPr="001A6261">
        <w:t>) and CA 19–9 for pancreatic and gastric carcinomas</w:t>
      </w:r>
      <w:r>
        <w:t xml:space="preserve"> </w:t>
      </w:r>
      <w:r>
        <w:fldChar w:fldCharType="begin"/>
      </w:r>
      <w:r w:rsidR="006F41FE">
        <w:instrText xml:space="preserve"> ADDIN EN.CITE &lt;EndNote&gt;&lt;Cite&gt;&lt;Author&gt;Lundholm&lt;/Author&gt;&lt;Year&gt;2010&lt;/Year&gt;&lt;RecNum&gt;4853&lt;/RecNum&gt;&lt;DisplayText&gt;(Lundholm et al., 2010)&lt;/DisplayText&gt;&lt;record&gt;&lt;rec-number&gt;4853&lt;/rec-number&gt;&lt;foreign-keys&gt;&lt;key app="EN" db-id="zf0awxsaczrdd3eft5qvw9wrtxxawdfrvw2a"&gt;4853&lt;/key&gt;&lt;/foreign-keys&gt;&lt;ref-type name="Journal Article"&gt;17&lt;/ref-type&gt;&lt;contributors&gt;&lt;authors&gt;&lt;author&gt;Lundholm, K.&lt;/author&gt;&lt;author&gt;Gunnebo, L.&lt;/author&gt;&lt;author&gt;Korner, U.&lt;/author&gt;&lt;author&gt;Iresjo, B. M.&lt;/author&gt;&lt;author&gt;Engstrom, C.&lt;/author&gt;&lt;author&gt;Hyltander, A.&lt;/author&gt;&lt;author&gt;Smedh, U.&lt;/author&gt;&lt;author&gt;Bosaeus, I.&lt;/author&gt;&lt;/authors&gt;&lt;/contributors&gt;&lt;auth-address&gt;Department of Surgery, Surgical Metabolic Research Laboratory at Lundberg Laboratory for Cancer Research, Sahlgrenska Academy and University Hospital, Gothenburg, Sweden. kent.lundholm@surgery.gu.se&lt;/auth-address&gt;&lt;titles&gt;&lt;title&gt;Effects by daily long term provision of ghrelin to unselected weight-losing cancer patients: a randomized double-blind study&lt;/title&gt;&lt;secondary-title&gt;Cancer&lt;/secondary-title&gt;&lt;/titles&gt;&lt;periodical&gt;&lt;full-title&gt;Cancer&lt;/full-title&gt;&lt;/periodical&gt;&lt;pages&gt;2044-52&lt;/pages&gt;&lt;volume&gt;116&lt;/volume&gt;&lt;number&gt;8&lt;/number&gt;&lt;edition&gt;2010/02/27&lt;/edition&gt;&lt;keywords&gt;&lt;keyword&gt;Aged&lt;/keyword&gt;&lt;keyword&gt;Appetite Stimulants/*therapeutic use&lt;/keyword&gt;&lt;keyword&gt;Double-Blind Method&lt;/keyword&gt;&lt;keyword&gt;Female&lt;/keyword&gt;&lt;keyword&gt;Gastrointestinal Neoplasms/*complications&lt;/keyword&gt;&lt;keyword&gt;Ghrelin/administration &amp;amp; dosage/*therapeutic use&lt;/keyword&gt;&lt;keyword&gt;Humans&lt;/keyword&gt;&lt;keyword&gt;Male&lt;/keyword&gt;&lt;keyword&gt;Motor Activity&lt;/keyword&gt;&lt;keyword&gt;Quality of Life&lt;/keyword&gt;&lt;keyword&gt;Weight Loss/*drug effects&lt;/keyword&gt;&lt;/keywords&gt;&lt;dates&gt;&lt;year&gt;2010&lt;/year&gt;&lt;pub-dates&gt;&lt;date&gt;Apr 15&lt;/date&gt;&lt;/pub-dates&gt;&lt;/dates&gt;&lt;isbn&gt;0008-543X (Print)&amp;#xD;0008-543X (Linking)&lt;/isbn&gt;&lt;accession-num&gt;20186829&lt;/accession-num&gt;&lt;urls&gt;&lt;related-urls&gt;&lt;url&gt;http://www.ncbi.nlm.nih.gov/pubmed/20186829&lt;/url&gt;&lt;/related-urls&gt;&lt;/urls&gt;&lt;electronic-resource-num&gt;10.1002/cncr.24917&lt;/electronic-resource-num&gt;&lt;language&gt;eng&lt;/language&gt;&lt;/record&gt;&lt;/Cite&gt;&lt;/EndNote&gt;</w:instrText>
      </w:r>
      <w:r>
        <w:fldChar w:fldCharType="separate"/>
      </w:r>
      <w:r w:rsidR="006F41FE">
        <w:rPr>
          <w:noProof/>
        </w:rPr>
        <w:t>(</w:t>
      </w:r>
      <w:hyperlink w:anchor="_ENREF_258" w:tooltip="Lundholm, 2010 #4853" w:history="1">
        <w:r w:rsidR="004A784D">
          <w:rPr>
            <w:noProof/>
          </w:rPr>
          <w:t>Lundholm et al., 2010</w:t>
        </w:r>
      </w:hyperlink>
      <w:r w:rsidR="006F41FE">
        <w:rPr>
          <w:noProof/>
        </w:rPr>
        <w:t>)</w:t>
      </w:r>
      <w:r>
        <w:fldChar w:fldCharType="end"/>
      </w:r>
      <w:r w:rsidRPr="001A6261">
        <w:t xml:space="preserve">. </w:t>
      </w:r>
    </w:p>
    <w:p w:rsidR="00856253" w:rsidRDefault="00856253" w:rsidP="00057B42">
      <w:pPr>
        <w:spacing w:line="360" w:lineRule="auto"/>
        <w:jc w:val="both"/>
      </w:pPr>
    </w:p>
    <w:p w:rsidR="00B61503" w:rsidRDefault="00B61503" w:rsidP="00057B42">
      <w:pPr>
        <w:spacing w:line="360" w:lineRule="auto"/>
        <w:jc w:val="both"/>
      </w:pPr>
      <w:r w:rsidRPr="001A6261">
        <w:t xml:space="preserve">The raised serum level of CA 19–9 and CA 125 tests are correlated and predictive for diagnosing advanced stage carcinomas of the gastrointestinal tract. However, the frequent problem with these serum biomarkers is their lack of organ specificity, low sensitivity and a poor correlation </w:t>
      </w:r>
      <w:r>
        <w:t>of particular level with disease prognosis.</w:t>
      </w:r>
      <w:r w:rsidRPr="001A6261">
        <w:t xml:space="preserve"> It is also </w:t>
      </w:r>
      <w:r>
        <w:t xml:space="preserve">very </w:t>
      </w:r>
      <w:r w:rsidRPr="001A6261">
        <w:t xml:space="preserve">difficult to diagnose early stages of cancers </w:t>
      </w:r>
      <w:r>
        <w:t>using</w:t>
      </w:r>
      <w:r w:rsidRPr="001A6261">
        <w:t xml:space="preserve"> elevated levels of these biomarkers </w:t>
      </w:r>
      <w:r w:rsidRPr="001A6261">
        <w:fldChar w:fldCharType="begin">
          <w:fldData xml:space="preserve">PEVuZE5vdGU+PENpdGU+PEF1dGhvcj5PaGt1cmE8L0F1dGhvcj48WWVhcj4yMDA0PC9ZZWFyPjxS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</w:fldData>
        </w:fldChar>
      </w:r>
      <w:r w:rsidR="006F41FE">
        <w:instrText xml:space="preserve"> ADDIN EN.CITE </w:instrText>
      </w:r>
      <w:r w:rsidR="006F41FE">
        <w:fldChar w:fldCharType="begin">
          <w:fldData xml:space="preserve">PEVuZE5vdGU+PENpdGU+PEF1dGhvcj5PaGt1cmE8L0F1dGhvcj48WWVhcj4yMDA0PC9ZZWFyPjxS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</w:fldData>
        </w:fldChar>
      </w:r>
      <w:r w:rsidR="006F41FE">
        <w:instrText xml:space="preserve"> ADDIN EN.CITE.DATA </w:instrText>
      </w:r>
      <w:r w:rsidR="006F41FE">
        <w:fldChar w:fldCharType="end"/>
      </w:r>
      <w:r w:rsidRPr="001A6261">
        <w:fldChar w:fldCharType="separate"/>
      </w:r>
      <w:r w:rsidR="006F41FE">
        <w:rPr>
          <w:noProof/>
        </w:rPr>
        <w:t>(</w:t>
      </w:r>
      <w:hyperlink w:anchor="_ENREF_298" w:tooltip="Ohkura, 2004 #3223" w:history="1">
        <w:r w:rsidR="004A784D">
          <w:rPr>
            <w:noProof/>
          </w:rPr>
          <w:t>Ohkura, 2004</w:t>
        </w:r>
      </w:hyperlink>
      <w:r w:rsidR="006F41FE">
        <w:rPr>
          <w:noProof/>
        </w:rPr>
        <w:t xml:space="preserve">, </w:t>
      </w:r>
      <w:hyperlink w:anchor="_ENREF_8" w:tooltip="Ahmad, 2008 #3199" w:history="1">
        <w:r w:rsidR="004A784D">
          <w:rPr>
            <w:noProof/>
          </w:rPr>
          <w:t>Ahmad et al., 2008</w:t>
        </w:r>
      </w:hyperlink>
      <w:r w:rsidR="006F41FE">
        <w:rPr>
          <w:noProof/>
        </w:rPr>
        <w:t xml:space="preserve">, </w:t>
      </w:r>
      <w:hyperlink w:anchor="_ENREF_320" w:tooltip="Pejcic, 2010 #3190" w:history="1">
        <w:r w:rsidR="004A784D">
          <w:rPr>
            <w:noProof/>
          </w:rPr>
          <w:t>Pejcic et al., 2010</w:t>
        </w:r>
      </w:hyperlink>
      <w:r w:rsidR="006F41FE">
        <w:rPr>
          <w:noProof/>
        </w:rPr>
        <w:t>)</w:t>
      </w:r>
      <w:r w:rsidRPr="001A6261">
        <w:fldChar w:fldCharType="end"/>
      </w:r>
      <w:r w:rsidRPr="001A6261">
        <w:t>.</w:t>
      </w:r>
    </w:p>
    <w:p w:rsidR="009B07E4" w:rsidRPr="001A6261" w:rsidRDefault="009B07E4" w:rsidP="00057B42">
      <w:pPr>
        <w:spacing w:line="360" w:lineRule="auto"/>
        <w:jc w:val="both"/>
      </w:pPr>
    </w:p>
    <w:p w:rsidR="00B61503" w:rsidRDefault="00B61503" w:rsidP="00645687">
      <w:pPr>
        <w:pStyle w:val="Heading2"/>
        <w:numPr>
          <w:ilvl w:val="4"/>
          <w:numId w:val="19"/>
        </w:numPr>
      </w:pPr>
      <w:r w:rsidRPr="001A6261">
        <w:rPr>
          <w:sz w:val="24"/>
          <w:szCs w:val="24"/>
        </w:rPr>
        <w:t xml:space="preserve">  </w:t>
      </w:r>
      <w:bookmarkStart w:id="1749" w:name="_Toc302582409"/>
      <w:bookmarkStart w:id="1750" w:name="_Toc305690069"/>
      <w:bookmarkStart w:id="1751" w:name="_Toc306570761"/>
      <w:bookmarkStart w:id="1752" w:name="_Toc307067821"/>
      <w:bookmarkStart w:id="1753" w:name="_Toc312169388"/>
      <w:bookmarkStart w:id="1754" w:name="_Toc312172315"/>
      <w:bookmarkStart w:id="1755" w:name="_Toc312257864"/>
      <w:r>
        <w:t>T</w:t>
      </w:r>
      <w:r w:rsidRPr="001A6261">
        <w:t xml:space="preserve">umour markers </w:t>
      </w:r>
      <w:r>
        <w:t xml:space="preserve">in </w:t>
      </w:r>
      <w:r w:rsidRPr="001A6261">
        <w:t>Breast cancer</w:t>
      </w:r>
      <w:bookmarkEnd w:id="1749"/>
      <w:bookmarkEnd w:id="1750"/>
      <w:bookmarkEnd w:id="1751"/>
      <w:bookmarkEnd w:id="1752"/>
      <w:bookmarkEnd w:id="1753"/>
      <w:bookmarkEnd w:id="1754"/>
      <w:bookmarkEnd w:id="1755"/>
    </w:p>
    <w:p w:rsidR="002676E3" w:rsidRPr="002676E3" w:rsidRDefault="002676E3" w:rsidP="002676E3">
      <w:pPr>
        <w:rPr>
          <w:lang w:eastAsia="en-US"/>
        </w:rPr>
      </w:pPr>
    </w:p>
    <w:p w:rsidR="00856253" w:rsidRDefault="00B61503" w:rsidP="00057B42">
      <w:pPr>
        <w:autoSpaceDE w:val="0"/>
        <w:autoSpaceDN w:val="0"/>
        <w:adjustRightInd w:val="0"/>
        <w:spacing w:line="360" w:lineRule="auto"/>
        <w:jc w:val="both"/>
        <w:rPr>
          <w:color w:val="131313"/>
        </w:rPr>
      </w:pPr>
      <w:r w:rsidRPr="001A6261">
        <w:rPr>
          <w:color w:val="131313"/>
        </w:rPr>
        <w:t xml:space="preserve">Breast cancer is one of the most common </w:t>
      </w:r>
      <w:r>
        <w:rPr>
          <w:color w:val="131313"/>
        </w:rPr>
        <w:t>malignancies</w:t>
      </w:r>
      <w:r w:rsidRPr="001A6261">
        <w:rPr>
          <w:color w:val="131313"/>
        </w:rPr>
        <w:t xml:space="preserve"> affecting women. According to the National Cancer Institute, approximately 13% of women in the United States will develop breast cancer during their lifetime. The cause</w:t>
      </w:r>
      <w:r>
        <w:rPr>
          <w:color w:val="131313"/>
        </w:rPr>
        <w:t>s of breast cancer are</w:t>
      </w:r>
      <w:r w:rsidRPr="001A6261">
        <w:rPr>
          <w:color w:val="131313"/>
        </w:rPr>
        <w:t xml:space="preserve"> multifactorial, involving environmental, hormonal, and genetic factors. Early detection of breast cancer is important </w:t>
      </w:r>
      <w:r>
        <w:rPr>
          <w:color w:val="131313"/>
        </w:rPr>
        <w:t xml:space="preserve">since the treatment can be curative. </w:t>
      </w:r>
      <w:r w:rsidRPr="001A6261">
        <w:rPr>
          <w:color w:val="131313"/>
        </w:rPr>
        <w:t>Mammography and ultrasound are the most commonly used methods for screening for breast cancer. The</w:t>
      </w:r>
      <w:r>
        <w:rPr>
          <w:color w:val="131313"/>
        </w:rPr>
        <w:t xml:space="preserve"> </w:t>
      </w:r>
      <w:r w:rsidRPr="001A6261">
        <w:rPr>
          <w:color w:val="131313"/>
        </w:rPr>
        <w:t xml:space="preserve">HER-2 </w:t>
      </w:r>
      <w:r>
        <w:rPr>
          <w:color w:val="131313"/>
        </w:rPr>
        <w:t>receptor</w:t>
      </w:r>
      <w:r w:rsidRPr="001A6261">
        <w:rPr>
          <w:color w:val="131313"/>
        </w:rPr>
        <w:t xml:space="preserve"> has been widely studied for many years and has been shown to play a pivotal role in the development and progression of breast cancer. </w:t>
      </w:r>
      <w:r>
        <w:rPr>
          <w:color w:val="131313"/>
        </w:rPr>
        <w:t xml:space="preserve">Increase </w:t>
      </w:r>
      <w:r w:rsidR="009B07E4">
        <w:rPr>
          <w:color w:val="131313"/>
        </w:rPr>
        <w:t xml:space="preserve">of </w:t>
      </w:r>
      <w:r>
        <w:rPr>
          <w:color w:val="131313"/>
        </w:rPr>
        <w:t xml:space="preserve">breast cancer expression of </w:t>
      </w:r>
      <w:r w:rsidRPr="001A6261">
        <w:rPr>
          <w:color w:val="131313"/>
        </w:rPr>
        <w:t>H</w:t>
      </w:r>
      <w:r w:rsidR="009B07E4">
        <w:rPr>
          <w:color w:val="131313"/>
        </w:rPr>
        <w:t>ER-</w:t>
      </w:r>
      <w:r w:rsidRPr="001A6261">
        <w:rPr>
          <w:color w:val="131313"/>
        </w:rPr>
        <w:t xml:space="preserve">2 has been shown to be an indicator of poor prognosis with patients exhibiting </w:t>
      </w:r>
      <w:r>
        <w:rPr>
          <w:color w:val="131313"/>
        </w:rPr>
        <w:t xml:space="preserve">an </w:t>
      </w:r>
      <w:r w:rsidRPr="001A6261">
        <w:rPr>
          <w:color w:val="131313"/>
        </w:rPr>
        <w:t xml:space="preserve">aggressive disease, decreased overall survival, and a higher probability of recurrence of disease </w:t>
      </w:r>
      <w:r w:rsidRPr="001A6261">
        <w:rPr>
          <w:color w:val="131313"/>
        </w:rPr>
        <w:fldChar w:fldCharType="begin"/>
      </w:r>
      <w:r w:rsidR="006F41FE">
        <w:rPr>
          <w:color w:val="131313"/>
        </w:rPr>
        <w:instrText xml:space="preserve"> ADDIN EN.CITE &lt;EndNote&gt;&lt;Cite&gt;&lt;Author&gt;Rakha&lt;/Author&gt;&lt;Year&gt;2008&lt;/Year&gt;&lt;RecNum&gt;1748&lt;/RecNum&gt;&lt;DisplayText&gt;(Rakha et al., 2008)&lt;/DisplayText&gt;&lt;record&gt;&lt;rec-number&gt;1748&lt;/rec-number&gt;&lt;ref-type name="Journal Article"&gt;17&lt;/ref-type&gt;&lt;contributors&gt;&lt;authors&gt;&lt;author&gt;Rakha, E. A.&lt;/author&gt;&lt;author&gt;El-Sheikh, S. E.&lt;/author&gt;&lt;author&gt;Kandil, M. A.&lt;/author&gt;&lt;author&gt;El-Sayed, M. E.&lt;/author&gt;&lt;author&gt;Green, A. R.&lt;/author&gt;&lt;author&gt;Ellis, I. O.&lt;/author&gt;&lt;/authors&gt;&lt;/contributors&gt;&lt;auth-address&gt;Department of Histopathology, The Breast Unit, Nottingham City Hospital, University of Nottingham, NG5 1PB Nottingham, UK. emadrakha@yahoo.com&lt;/auth-address&gt;&lt;titles&gt;&lt;title&gt;Expression of BRCA1 protein in breast cancer and its prognostic significance&lt;/title&gt;&lt;secondary-title&gt;Hum Pathol&lt;/secondary-title&gt;&lt;/titles&gt;&lt;periodical&gt;&lt;full-title&gt;Hum Pathol&lt;/full-title&gt;&lt;/periodical&gt;&lt;pages&gt;857-65&lt;/pages&gt;&lt;volume&gt;39&lt;/volume&gt;&lt;number&gt;6&lt;/number&gt;&lt;keywords&gt;&lt;keyword&gt;Breast Neoplasms/*metabolism/mortality&lt;/keyword&gt;&lt;keyword&gt;Carcinoma, Ductal, Breast/*metabolism/mortality&lt;/keyword&gt;&lt;keyword&gt;Cell Nucleus/metabolism&lt;/keyword&gt;&lt;keyword&gt;Cytoplasm/metabolism&lt;/keyword&gt;&lt;keyword&gt;Disease-Free Survival&lt;/keyword&gt;&lt;keyword&gt;Female&lt;/keyword&gt;&lt;keyword&gt;Humans&lt;/keyword&gt;&lt;keyword&gt;Immunoenzyme Techniques&lt;/keyword&gt;&lt;keyword&gt;Neoplasm Staging&lt;/keyword&gt;&lt;keyword&gt;Prognosis&lt;/keyword&gt;&lt;keyword&gt;Survival Rate&lt;/keyword&gt;&lt;keyword&gt;Tissue Array Analysis&lt;/keyword&gt;&lt;keyword&gt;Tumor Markers, Biological/*metabolism&lt;/keyword&gt;&lt;keyword&gt;Ubiquitin-Protein Ligases/*metabolism&lt;/keyword&gt;&lt;/keywords&gt;&lt;dates&gt;&lt;year&gt;2008&lt;/year&gt;&lt;pub-dates&gt;&lt;date&gt;Jun&lt;/date&gt;&lt;/pub-dates&gt;&lt;/dates&gt;&lt;accession-num&gt;18400253&lt;/accession-num&gt;&lt;urls&gt;&lt;related-urls&gt;&lt;url&gt;http://www.ncbi.nlm.nih.gov/entrez/query.fcgi?cmd=Retrieve&amp;amp;db=PubMed&amp;amp;dopt=Citation&amp;amp;list_uids=18400253 &lt;/url&gt;&lt;/related-urls&gt;&lt;/urls&gt;&lt;/record&gt;&lt;/Cite&gt;&lt;/EndNote&gt;</w:instrText>
      </w:r>
      <w:r w:rsidRPr="001A6261">
        <w:rPr>
          <w:color w:val="131313"/>
        </w:rPr>
        <w:fldChar w:fldCharType="separate"/>
      </w:r>
      <w:r w:rsidR="006F41FE">
        <w:rPr>
          <w:noProof/>
          <w:color w:val="131313"/>
        </w:rPr>
        <w:t>(</w:t>
      </w:r>
      <w:hyperlink w:anchor="_ENREF_336" w:tooltip="Rakha, 2008 #1748" w:history="1">
        <w:r w:rsidR="004A784D">
          <w:rPr>
            <w:noProof/>
            <w:color w:val="131313"/>
          </w:rPr>
          <w:t>Rakha et al., 2008</w:t>
        </w:r>
      </w:hyperlink>
      <w:r w:rsidR="006F41FE">
        <w:rPr>
          <w:noProof/>
          <w:color w:val="131313"/>
        </w:rPr>
        <w:t>)</w:t>
      </w:r>
      <w:r w:rsidRPr="001A6261">
        <w:rPr>
          <w:color w:val="131313"/>
        </w:rPr>
        <w:fldChar w:fldCharType="end"/>
      </w:r>
      <w:r w:rsidRPr="001A6261">
        <w:rPr>
          <w:color w:val="131313"/>
        </w:rPr>
        <w:t xml:space="preserve">. </w:t>
      </w:r>
    </w:p>
    <w:p w:rsidR="00856253" w:rsidRDefault="00856253" w:rsidP="00057B42">
      <w:pPr>
        <w:autoSpaceDE w:val="0"/>
        <w:autoSpaceDN w:val="0"/>
        <w:adjustRightInd w:val="0"/>
        <w:spacing w:line="360" w:lineRule="auto"/>
        <w:jc w:val="both"/>
        <w:rPr>
          <w:color w:val="131313"/>
        </w:rPr>
      </w:pPr>
    </w:p>
    <w:p w:rsidR="00B61503" w:rsidRPr="001A6261" w:rsidRDefault="00B61503" w:rsidP="00057B42">
      <w:pPr>
        <w:autoSpaceDE w:val="0"/>
        <w:autoSpaceDN w:val="0"/>
        <w:adjustRightInd w:val="0"/>
        <w:spacing w:line="360" w:lineRule="auto"/>
        <w:jc w:val="both"/>
        <w:rPr>
          <w:color w:val="131313"/>
        </w:rPr>
      </w:pPr>
      <w:r w:rsidRPr="001A6261">
        <w:rPr>
          <w:color w:val="131313"/>
        </w:rPr>
        <w:t xml:space="preserve">As evidenced by numerous published studies, </w:t>
      </w:r>
      <w:r>
        <w:rPr>
          <w:color w:val="131313"/>
        </w:rPr>
        <w:t>amplification of the HER-2 gene is found in about</w:t>
      </w:r>
      <w:r w:rsidRPr="001A6261">
        <w:rPr>
          <w:color w:val="131313"/>
        </w:rPr>
        <w:t xml:space="preserve"> 30% of women with breast cancer</w:t>
      </w:r>
      <w:r>
        <w:rPr>
          <w:color w:val="131313"/>
        </w:rPr>
        <w:t xml:space="preserve">. </w:t>
      </w:r>
      <w:r w:rsidRPr="001A6261">
        <w:rPr>
          <w:color w:val="131313"/>
        </w:rPr>
        <w:t>Determination of a patient’s HER-2 status may be valuable in identifying whether that patient has a more aggressive disease and would, thus, derive substantial benefit from more intensive or HER-2 antagonist treatment regimens</w:t>
      </w:r>
      <w:r>
        <w:rPr>
          <w:color w:val="131313"/>
        </w:rPr>
        <w:t xml:space="preserve"> </w:t>
      </w:r>
      <w:r>
        <w:rPr>
          <w:color w:val="131313"/>
        </w:rPr>
        <w:fldChar w:fldCharType="begin">
          <w:fldData xml:space="preserve">PEVuZE5vdGU+PENpdGU+PEF1dGhvcj5EYXZvbGk8L0F1dGhvcj48WWVhcj4yMDEwPC9ZZWFyPjxS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==
</w:fldData>
        </w:fldChar>
      </w:r>
      <w:r w:rsidR="006F41FE">
        <w:rPr>
          <w:color w:val="131313"/>
        </w:rPr>
        <w:instrText xml:space="preserve"> ADDIN EN.CITE </w:instrText>
      </w:r>
      <w:r w:rsidR="006F41FE">
        <w:rPr>
          <w:color w:val="131313"/>
        </w:rPr>
        <w:fldChar w:fldCharType="begin">
          <w:fldData xml:space="preserve">PEVuZE5vdGU+PENpdGU+PEF1dGhvcj5EYXZvbGk8L0F1dGhvcj48WWVhcj4yMDEwPC9ZZWFyPjxS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==
</w:fldData>
        </w:fldChar>
      </w:r>
      <w:r w:rsidR="006F41FE">
        <w:rPr>
          <w:color w:val="131313"/>
        </w:rPr>
        <w:instrText xml:space="preserve"> ADDIN EN.CITE.DATA </w:instrText>
      </w:r>
      <w:r w:rsidR="006F41FE">
        <w:rPr>
          <w:color w:val="131313"/>
        </w:rPr>
      </w:r>
      <w:r w:rsidR="006F41FE">
        <w:rPr>
          <w:color w:val="131313"/>
        </w:rPr>
        <w:fldChar w:fldCharType="end"/>
      </w:r>
      <w:r>
        <w:rPr>
          <w:color w:val="131313"/>
        </w:rPr>
      </w:r>
      <w:r>
        <w:rPr>
          <w:color w:val="131313"/>
        </w:rPr>
        <w:fldChar w:fldCharType="separate"/>
      </w:r>
      <w:r w:rsidR="006F41FE">
        <w:rPr>
          <w:noProof/>
          <w:color w:val="131313"/>
        </w:rPr>
        <w:t>(</w:t>
      </w:r>
      <w:hyperlink w:anchor="_ENREF_91" w:tooltip="Davoli, 2010 #4854" w:history="1">
        <w:r w:rsidR="004A784D">
          <w:rPr>
            <w:noProof/>
            <w:color w:val="131313"/>
          </w:rPr>
          <w:t>Davoli et al., 2010</w:t>
        </w:r>
      </w:hyperlink>
      <w:r w:rsidR="006F41FE">
        <w:rPr>
          <w:noProof/>
          <w:color w:val="131313"/>
        </w:rPr>
        <w:t>)</w:t>
      </w:r>
      <w:r>
        <w:rPr>
          <w:color w:val="131313"/>
        </w:rPr>
        <w:fldChar w:fldCharType="end"/>
      </w:r>
      <w:r w:rsidR="009B07E4">
        <w:rPr>
          <w:color w:val="131313"/>
        </w:rPr>
        <w:t xml:space="preserve">. </w:t>
      </w:r>
      <w:r w:rsidRPr="001A6261">
        <w:rPr>
          <w:color w:val="131313"/>
        </w:rPr>
        <w:t xml:space="preserve">However, elevated </w:t>
      </w:r>
      <w:r w:rsidRPr="001A6261">
        <w:rPr>
          <w:color w:val="131313"/>
        </w:rPr>
        <w:lastRenderedPageBreak/>
        <w:t xml:space="preserve">serum levels of HER-2 </w:t>
      </w:r>
      <w:r>
        <w:rPr>
          <w:color w:val="131313"/>
        </w:rPr>
        <w:t>previously are</w:t>
      </w:r>
      <w:r w:rsidRPr="001A6261">
        <w:rPr>
          <w:color w:val="131313"/>
        </w:rPr>
        <w:t xml:space="preserve"> found in several other tumour types including prostate, lung, pancreatic, colon, and ovarian cancers. On other hand, some studies suggest that in certain breast cancer patients, persistently rising</w:t>
      </w:r>
      <w:r>
        <w:rPr>
          <w:color w:val="131313"/>
        </w:rPr>
        <w:t xml:space="preserve"> serum </w:t>
      </w:r>
      <w:r w:rsidRPr="001A6261">
        <w:rPr>
          <w:color w:val="131313"/>
        </w:rPr>
        <w:t>HER-2 values may be associated with aggressive cancer and poor response to therapy, while decreasing HER-2 levels may be indicative of effective therapy</w:t>
      </w:r>
      <w:r>
        <w:rPr>
          <w:color w:val="131313"/>
        </w:rPr>
        <w:t xml:space="preserve"> </w:t>
      </w:r>
      <w:r>
        <w:rPr>
          <w:color w:val="131313"/>
        </w:rPr>
        <w:fldChar w:fldCharType="begin"/>
      </w:r>
      <w:r w:rsidR="006F41FE">
        <w:rPr>
          <w:color w:val="131313"/>
        </w:rPr>
        <w:instrText xml:space="preserve"> ADDIN EN.CITE &lt;EndNote&gt;&lt;Cite&gt;&lt;Author&gt;Nakajima&lt;/Author&gt;&lt;Year&gt;2008&lt;/Year&gt;&lt;RecNum&gt;4855&lt;/RecNum&gt;&lt;DisplayText&gt;(Nakajima et al., 2008)&lt;/DisplayText&gt;&lt;record&gt;&lt;rec-number&gt;4855&lt;/rec-number&gt;&lt;foreign-keys&gt;&lt;key app="EN" db-id="zf0awxsaczrdd3eft5qvw9wrtxxawdfrvw2a"&gt;4855&lt;/key&gt;&lt;/foreign-keys&gt;&lt;ref-type name="Journal Article"&gt;17&lt;/ref-type&gt;&lt;contributors&gt;&lt;authors&gt;&lt;author&gt;Nakajima, H.&lt;/author&gt;&lt;author&gt;Mizuta, N.&lt;/author&gt;&lt;author&gt;Sakaguchi, K.&lt;/author&gt;&lt;author&gt;Fujiwara, I.&lt;/author&gt;&lt;author&gt;Yoshimori, A.&lt;/author&gt;&lt;author&gt;Takahashi, S.&lt;/author&gt;&lt;author&gt;Takasawa, R.&lt;/author&gt;&lt;author&gt;Tanuma, S.&lt;/author&gt;&lt;/authors&gt;&lt;/contributors&gt;&lt;auth-address&gt;Department of Endocrine and Breast Surgery, Kyoto Prefectural University of Medicine, Kawaramachi-Hirokoji, Kyoto 602-0841, Japan. hiro@koto.kpu-m.ac.jp&lt;/auth-address&gt;&lt;titles&gt;&lt;title&gt;Development of HER2-antagonistic peptides as novel anti-breast cancer drugs by in silico methods&lt;/title&gt;&lt;secondary-title&gt;Breast Cancer&lt;/secondary-title&gt;&lt;/titles&gt;&lt;periodical&gt;&lt;full-title&gt;Breast Cancer&lt;/full-title&gt;&lt;/periodical&gt;&lt;pages&gt;65-72&lt;/pages&gt;&lt;volume&gt;15&lt;/volume&gt;&lt;number&gt;1&lt;/number&gt;&lt;edition&gt;2008/01/29&lt;/edition&gt;&lt;keywords&gt;&lt;keyword&gt;Arabidopsis Proteins/*therapeutic use&lt;/keyword&gt;&lt;keyword&gt;Breast Neoplasms/*drug therapy/metabolism&lt;/keyword&gt;&lt;keyword&gt;Cell Line, Tumor&lt;/keyword&gt;&lt;keyword&gt;Female&lt;/keyword&gt;&lt;keyword&gt;GTP-Binding Proteins/*therapeutic use&lt;/keyword&gt;&lt;keyword&gt;Genes, erbB-2/physiology&lt;/keyword&gt;&lt;keyword&gt;Humans&lt;/keyword&gt;&lt;keyword&gt;Oligopeptides/*therapeutic use&lt;/keyword&gt;&lt;keyword&gt;Peptides/*therapeutic use&lt;/keyword&gt;&lt;/keywords&gt;&lt;dates&gt;&lt;year&gt;2008&lt;/year&gt;&lt;/dates&gt;&lt;isbn&gt;1880-4233 (Electronic)&amp;#xD;1340-6868 (Linking)&lt;/isbn&gt;&lt;accession-num&gt;18224397&lt;/accession-num&gt;&lt;urls&gt;&lt;related-urls&gt;&lt;url&gt;http://www.ncbi.nlm.nih.gov/pubmed/18224397&lt;/url&gt;&lt;/related-urls&gt;&lt;/urls&gt;&lt;electronic-resource-num&gt;10.1007/s12282-007-0018-8&lt;/electronic-resource-num&gt;&lt;language&gt;eng&lt;/language&gt;&lt;/record&gt;&lt;/Cite&gt;&lt;/EndNote&gt;</w:instrText>
      </w:r>
      <w:r>
        <w:rPr>
          <w:color w:val="131313"/>
        </w:rPr>
        <w:fldChar w:fldCharType="separate"/>
      </w:r>
      <w:r w:rsidR="006F41FE">
        <w:rPr>
          <w:noProof/>
          <w:color w:val="131313"/>
        </w:rPr>
        <w:t>(</w:t>
      </w:r>
      <w:hyperlink w:anchor="_ENREF_285" w:tooltip="Nakajima, 2008 #4855" w:history="1">
        <w:r w:rsidR="004A784D">
          <w:rPr>
            <w:noProof/>
            <w:color w:val="131313"/>
          </w:rPr>
          <w:t>Nakajima et al., 2008</w:t>
        </w:r>
      </w:hyperlink>
      <w:r w:rsidR="006F41FE">
        <w:rPr>
          <w:noProof/>
          <w:color w:val="131313"/>
        </w:rPr>
        <w:t>)</w:t>
      </w:r>
      <w:r>
        <w:rPr>
          <w:color w:val="131313"/>
        </w:rPr>
        <w:fldChar w:fldCharType="end"/>
      </w:r>
      <w:r w:rsidRPr="001A6261">
        <w:rPr>
          <w:color w:val="131313"/>
        </w:rPr>
        <w:t xml:space="preserve">. In addition, studies have shown that increased breast density on mammography is the leading risk factor for breast cancer, apart from age. The International Breast Intervention Study I (IBIS-I), a trial of tamoxifen for ER (oestrogen receptor) positive breast cancer prevention conducted at the Cancer Research UK Centre for Epidemiology and Statistics in London, has shown that a reduction in breast density of at least 10% may predict </w:t>
      </w:r>
      <w:r>
        <w:rPr>
          <w:color w:val="131313"/>
        </w:rPr>
        <w:t xml:space="preserve">those </w:t>
      </w:r>
      <w:r w:rsidRPr="001A6261">
        <w:rPr>
          <w:color w:val="131313"/>
        </w:rPr>
        <w:t xml:space="preserve">who benefits from the breast cancer preventive effects of tamoxifen. Those with reduced breast density after 12–18 months of treatment had a 52% reduced risk of breast cancer. By contrast, those women who did not have a decrease in breast density had only an 8% risk reduction. However, </w:t>
      </w:r>
      <w:r>
        <w:rPr>
          <w:color w:val="131313"/>
        </w:rPr>
        <w:t xml:space="preserve">in breast cancer </w:t>
      </w:r>
      <w:r w:rsidR="003A3021">
        <w:rPr>
          <w:color w:val="131313"/>
        </w:rPr>
        <w:t xml:space="preserve">a </w:t>
      </w:r>
      <w:r w:rsidRPr="001A6261">
        <w:rPr>
          <w:color w:val="131313"/>
        </w:rPr>
        <w:t>test predictive</w:t>
      </w:r>
      <w:r>
        <w:rPr>
          <w:color w:val="131313"/>
        </w:rPr>
        <w:t xml:space="preserve"> of response to a </w:t>
      </w:r>
      <w:r w:rsidRPr="001A6261">
        <w:rPr>
          <w:color w:val="131313"/>
        </w:rPr>
        <w:t>therapy has not yet been fully established investigation</w:t>
      </w:r>
      <w:r>
        <w:rPr>
          <w:color w:val="131313"/>
        </w:rPr>
        <w:t xml:space="preserve"> </w:t>
      </w:r>
      <w:r w:rsidRPr="001A6261">
        <w:rPr>
          <w:color w:val="131313"/>
        </w:rPr>
        <w:fldChar w:fldCharType="begin">
          <w:fldData xml:space="preserve">PEVuZE5vdGU+PENpdGU+PEF1dGhvcj5ZYW5nPC9BdXRob3I+PFllYXI+MjAwNzwvWWVhcj48UmVj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</w:fldData>
        </w:fldChar>
      </w:r>
      <w:r w:rsidR="006F41FE">
        <w:rPr>
          <w:color w:val="131313"/>
        </w:rPr>
        <w:instrText xml:space="preserve"> ADDIN EN.CITE </w:instrText>
      </w:r>
      <w:r w:rsidR="006F41FE">
        <w:rPr>
          <w:color w:val="131313"/>
        </w:rPr>
        <w:fldChar w:fldCharType="begin">
          <w:fldData xml:space="preserve">PEVuZE5vdGU+PENpdGU+PEF1dGhvcj5ZYW5nPC9BdXRob3I+PFllYXI+MjAwNzwvWWVhcj48UmVj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</w:fldData>
        </w:fldChar>
      </w:r>
      <w:r w:rsidR="006F41FE">
        <w:rPr>
          <w:color w:val="131313"/>
        </w:rPr>
        <w:instrText xml:space="preserve"> ADDIN EN.CITE.DATA </w:instrText>
      </w:r>
      <w:r w:rsidR="006F41FE">
        <w:rPr>
          <w:color w:val="131313"/>
        </w:rPr>
      </w:r>
      <w:r w:rsidR="006F41FE">
        <w:rPr>
          <w:color w:val="131313"/>
        </w:rPr>
        <w:fldChar w:fldCharType="end"/>
      </w:r>
      <w:r w:rsidRPr="001A6261">
        <w:rPr>
          <w:color w:val="131313"/>
        </w:rPr>
      </w:r>
      <w:r w:rsidRPr="001A6261">
        <w:rPr>
          <w:color w:val="131313"/>
        </w:rPr>
        <w:fldChar w:fldCharType="separate"/>
      </w:r>
      <w:r w:rsidR="006F41FE">
        <w:rPr>
          <w:noProof/>
          <w:color w:val="131313"/>
        </w:rPr>
        <w:t>(</w:t>
      </w:r>
      <w:hyperlink w:anchor="_ENREF_456" w:tooltip="Yang, 2007 #1751" w:history="1">
        <w:r w:rsidR="004A784D">
          <w:rPr>
            <w:noProof/>
            <w:color w:val="131313"/>
          </w:rPr>
          <w:t>Yang and Li, 2007</w:t>
        </w:r>
      </w:hyperlink>
      <w:r w:rsidR="006F41FE">
        <w:rPr>
          <w:noProof/>
          <w:color w:val="131313"/>
        </w:rPr>
        <w:t xml:space="preserve">, </w:t>
      </w:r>
      <w:hyperlink w:anchor="_ENREF_217" w:tooltip="Konishi, 2008 #1518" w:history="1">
        <w:r w:rsidR="004A784D">
          <w:rPr>
            <w:noProof/>
            <w:color w:val="131313"/>
          </w:rPr>
          <w:t>Konishi et al., 2008</w:t>
        </w:r>
      </w:hyperlink>
      <w:r w:rsidR="006F41FE">
        <w:rPr>
          <w:noProof/>
          <w:color w:val="131313"/>
        </w:rPr>
        <w:t xml:space="preserve">, </w:t>
      </w:r>
      <w:hyperlink w:anchor="_ENREF_153" w:tooltip="Guarneri, 2008 #1502" w:history="1">
        <w:r w:rsidR="004A784D">
          <w:rPr>
            <w:noProof/>
            <w:color w:val="131313"/>
          </w:rPr>
          <w:t>Guarneri et al., 2008</w:t>
        </w:r>
      </w:hyperlink>
      <w:r w:rsidR="006F41FE">
        <w:rPr>
          <w:noProof/>
          <w:color w:val="131313"/>
        </w:rPr>
        <w:t>)</w:t>
      </w:r>
      <w:r w:rsidRPr="001A6261">
        <w:rPr>
          <w:color w:val="131313"/>
        </w:rPr>
        <w:fldChar w:fldCharType="end"/>
      </w:r>
      <w:r>
        <w:rPr>
          <w:color w:val="131313"/>
        </w:rPr>
        <w:t>.</w:t>
      </w:r>
    </w:p>
    <w:p w:rsidR="00B61503" w:rsidRPr="001A6261" w:rsidRDefault="00B61503" w:rsidP="00057B42">
      <w:pPr>
        <w:autoSpaceDE w:val="0"/>
        <w:autoSpaceDN w:val="0"/>
        <w:adjustRightInd w:val="0"/>
        <w:spacing w:line="360" w:lineRule="auto"/>
        <w:jc w:val="both"/>
        <w:rPr>
          <w:color w:val="131313"/>
        </w:rPr>
      </w:pPr>
    </w:p>
    <w:p w:rsidR="00B61503" w:rsidRDefault="00B61503" w:rsidP="00645687">
      <w:pPr>
        <w:pStyle w:val="Heading2"/>
        <w:numPr>
          <w:ilvl w:val="4"/>
          <w:numId w:val="19"/>
        </w:numPr>
      </w:pPr>
      <w:r w:rsidRPr="001A6261">
        <w:rPr>
          <w:sz w:val="24"/>
          <w:szCs w:val="24"/>
        </w:rPr>
        <w:t xml:space="preserve">  </w:t>
      </w:r>
      <w:bookmarkStart w:id="1756" w:name="_Toc302582410"/>
      <w:bookmarkStart w:id="1757" w:name="_Toc305690070"/>
      <w:bookmarkStart w:id="1758" w:name="_Toc306570762"/>
      <w:bookmarkStart w:id="1759" w:name="_Toc307067822"/>
      <w:bookmarkStart w:id="1760" w:name="_Toc312169389"/>
      <w:bookmarkStart w:id="1761" w:name="_Toc312172316"/>
      <w:bookmarkStart w:id="1762" w:name="_Toc312257865"/>
      <w:r w:rsidRPr="001A6261">
        <w:t>Chronic Myeloid Leukaemia (CML)</w:t>
      </w:r>
      <w:bookmarkEnd w:id="1756"/>
      <w:bookmarkEnd w:id="1757"/>
      <w:bookmarkEnd w:id="1758"/>
      <w:bookmarkEnd w:id="1759"/>
      <w:bookmarkEnd w:id="1760"/>
      <w:bookmarkEnd w:id="1761"/>
      <w:bookmarkEnd w:id="1762"/>
    </w:p>
    <w:p w:rsidR="00B61503" w:rsidRDefault="00B61503" w:rsidP="00000025">
      <w:pPr>
        <w:autoSpaceDE w:val="0"/>
        <w:autoSpaceDN w:val="0"/>
        <w:adjustRightInd w:val="0"/>
        <w:spacing w:before="240" w:line="360" w:lineRule="auto"/>
        <w:jc w:val="both"/>
      </w:pPr>
      <w:r>
        <w:t>CML</w:t>
      </w:r>
      <w:r w:rsidRPr="00DF737E">
        <w:t xml:space="preserve"> is a clonal stem cell disorder </w:t>
      </w:r>
      <w:r>
        <w:t xml:space="preserve">involving myeloid stem cell in bone marrow. CML is </w:t>
      </w:r>
      <w:r w:rsidRPr="00DF737E">
        <w:t>characterized by the presence of the Philadelphia (Ph+) chromosome and its oncogenic product, BCR-ABL</w:t>
      </w:r>
      <w:r w:rsidRPr="007429F7">
        <w:t xml:space="preserve"> </w:t>
      </w:r>
      <w:r w:rsidRPr="00DF737E">
        <w:t>translocation, a constitutively active tyrosine kinase, that is present in &gt;90% of the patients.</w:t>
      </w:r>
      <w:r>
        <w:t xml:space="preserve"> </w:t>
      </w:r>
      <w:r>
        <w:fldChar w:fldCharType="begin"/>
      </w:r>
      <w:r w:rsidR="006F41FE">
        <w:instrText xml:space="preserve"> ADDIN EN.CITE &lt;EndNote&gt;&lt;Cite&gt;&lt;Author&gt;Nicholson&lt;/Author&gt;&lt;Year&gt;2009&lt;/Year&gt;&lt;RecNum&gt;4857&lt;/RecNum&gt;&lt;DisplayText&gt;(Nicholson and Holyoake, 2009)&lt;/DisplayText&gt;&lt;record&gt;&lt;rec-number&gt;4857&lt;/rec-number&gt;&lt;foreign-keys&gt;&lt;key app="EN" db-id="zf0awxsaczrdd3eft5qvw9wrtxxawdfrvw2a"&gt;4857&lt;/key&gt;&lt;/foreign-keys&gt;&lt;ref-type name="Journal Article"&gt;17&lt;/ref-type&gt;&lt;contributors&gt;&lt;authors&gt;&lt;author&gt;Nicholson, E.&lt;/author&gt;&lt;author&gt;Holyoake, T.&lt;/author&gt;&lt;/authors&gt;&lt;/contributors&gt;&lt;auth-address&gt;The Beatson West of Scotland Cancer Centre, Glasgow, UK. emma.nicholson@nhs.net&lt;/auth-address&gt;&lt;titles&gt;&lt;title&gt;The chronic myeloid leukemia stem cell&lt;/title&gt;&lt;secondary-title&gt;Clin Lymphoma Myeloma&lt;/secondary-title&gt;&lt;/titles&gt;&lt;periodical&gt;&lt;full-title&gt;Clin Lymphoma Myeloma&lt;/full-title&gt;&lt;/periodical&gt;&lt;pages&gt;S376-81&lt;/pages&gt;&lt;volume&gt;9 Suppl 4&lt;/volume&gt;&lt;edition&gt;2009/12/17&lt;/edition&gt;&lt;keywords&gt;&lt;keyword&gt;Animals&lt;/keyword&gt;&lt;keyword&gt;Drug Resistance, Neoplasm&lt;/keyword&gt;&lt;keyword&gt;Hematopoietic Stem Cells/*pathology&lt;/keyword&gt;&lt;keyword&gt;Humans&lt;/keyword&gt;&lt;keyword&gt;Leukemia, Myelogenous, Chronic, BCR-ABL Positive/*diagnosis/*therapy&lt;/keyword&gt;&lt;keyword&gt;Mice&lt;/keyword&gt;&lt;keyword&gt;Neoplastic Stem Cells/*pathology&lt;/keyword&gt;&lt;/keywords&gt;&lt;dates&gt;&lt;year&gt;2009&lt;/year&gt;&lt;/dates&gt;&lt;isbn&gt;1938-0712 (Electronic)&amp;#xD;1557-9190 (Linking)&lt;/isbn&gt;&lt;accession-num&gt;20007106&lt;/accession-num&gt;&lt;urls&gt;&lt;related-urls&gt;&lt;url&gt;http://www.ncbi.nlm.nih.gov/pubmed/20007106&lt;/url&gt;&lt;/related-urls&gt;&lt;/urls&gt;&lt;electronic-resource-num&gt;923Q113H31467216 [pii]&amp;#xD;10.3816/CLM.2009.s.037&lt;/electronic-resource-num&gt;&lt;language&gt;eng&lt;/language&gt;&lt;/record&gt;&lt;/Cite&gt;&lt;/EndNote&gt;</w:instrText>
      </w:r>
      <w:r>
        <w:fldChar w:fldCharType="separate"/>
      </w:r>
      <w:r w:rsidR="006F41FE">
        <w:rPr>
          <w:noProof/>
        </w:rPr>
        <w:t>(</w:t>
      </w:r>
      <w:hyperlink w:anchor="_ENREF_290" w:tooltip="Nicholson, 2009 #4857" w:history="1">
        <w:r w:rsidR="004A784D">
          <w:rPr>
            <w:noProof/>
          </w:rPr>
          <w:t>Nicholson and Holyoake, 2009</w:t>
        </w:r>
      </w:hyperlink>
      <w:r w:rsidR="006F41FE">
        <w:rPr>
          <w:noProof/>
        </w:rPr>
        <w:t>)</w:t>
      </w:r>
      <w:r>
        <w:fldChar w:fldCharType="end"/>
      </w:r>
      <w:r>
        <w:t xml:space="preserve">. </w:t>
      </w:r>
      <w:r w:rsidRPr="001A6261">
        <w:t>These BCR–ABL+ CML stem cells are phenotypically similar to normal hematopoietic stem cells which are also maintained throughout the course of the disease at varying levels in different patients</w:t>
      </w:r>
      <w:r>
        <w:t xml:space="preserve"> </w:t>
      </w:r>
      <w:r w:rsidRPr="001A6261">
        <w:fldChar w:fldCharType="begin"/>
      </w:r>
      <w:r w:rsidR="006F41FE">
        <w:instrText xml:space="preserve"> ADDIN EN.CITE &lt;EndNote&gt;&lt;Cite&gt;&lt;Author&gt;Wang&lt;/Author&gt;&lt;Year&gt;2009&lt;/Year&gt;&lt;RecNum&gt;20&lt;/RecNum&gt;&lt;DisplayText&gt;(Wang et al., 2009)&lt;/DisplayText&gt;&lt;record&gt;&lt;rec-number&gt;20&lt;/rec-number&gt;&lt;ref-type name="Journal Article"&gt;17&lt;/ref-type&gt;&lt;contributors&gt;&lt;authors&gt;&lt;author&gt;Wang, J. X.&lt;/author&gt;&lt;author&gt;Huang, X. J.&lt;/author&gt;&lt;author&gt;Wu, D. P.&lt;/author&gt;&lt;author&gt;Hu, J. D.&lt;/author&gt;&lt;author&gt;Liu, T.&lt;/author&gt;&lt;author&gt;Hu, Y.&lt;/author&gt;&lt;author&gt;Meng, F. Y.&lt;/author&gt;&lt;author&gt;Chen, X. Q.&lt;/author&gt;&lt;author&gt;Hou, M.&lt;/author&gt;&lt;author&gt;Li, Y.&lt;/author&gt;&lt;author&gt;Wang, S. J.&lt;/author&gt;&lt;author&gt;Wang, J. M.&lt;/author&gt;&lt;author&gt;Ren, H. Y.&lt;/author&gt;&lt;author&gt;Yu, L.&lt;/author&gt;&lt;author&gt;Chen, F. Y.&lt;/author&gt;&lt;author&gt;Qiu, L. G.&lt;/author&gt;&lt;author&gt;Jiang, B.&lt;/author&gt;&lt;author&gt;Sun, A. N.&lt;/author&gt;&lt;author&gt;Liu, T. B.&lt;/author&gt;&lt;author&gt;Zhu, H. L.&lt;/author&gt;&lt;author&gt;Guo, T.&lt;/author&gt;&lt;author&gt;Xu, D.&lt;/author&gt;&lt;author&gt;Ji, C. Y.&lt;/author&gt;&lt;author&gt;Lu, X. Y.&lt;/author&gt;&lt;author&gt;Jiao, L.&lt;/author&gt;&lt;author&gt;Song, X. M.&lt;/author&gt;&lt;author&gt;Huang, H. H.&lt;/author&gt;&lt;/authors&gt;&lt;/contributors&gt;&lt;auth-address&gt;Institute of Hematology and Blood Diseases Hospital, CAMS and PUMC, Tianjin 300020, China.&lt;/auth-address&gt;&lt;titles&gt;&lt;title&gt;[Overview of chronic myelogenous leukemia and its current diagnosis and treatment patterns in 15 hospitals in China.]&lt;/title&gt;&lt;secondary-title&gt;Zhonghua Xue Ye Xue Za Zhi&lt;/secondary-title&gt;&lt;/titles&gt;&lt;periodical&gt;&lt;full-title&gt;Zhonghua Xue Ye Xue Za Zhi&lt;/full-title&gt;&lt;/periodical&gt;&lt;pages&gt;721-5&lt;/pages&gt;&lt;volume&gt;30&lt;/volume&gt;&lt;number&gt;11&lt;/number&gt;&lt;dates&gt;&lt;year&gt;2009&lt;/year&gt;&lt;pub-dates&gt;&lt;date&gt;Nov&lt;/date&gt;&lt;/pub-dates&gt;&lt;/dates&gt;&lt;accession-num&gt;20137304&lt;/accession-num&gt;&lt;urls&gt;&lt;related-urls&gt;&lt;url&gt;http://www.ncbi.nlm.nih.gov/entrez/query.fcgi?cmd=Retrieve&amp;amp;db=PubMed&amp;amp;dopt=Citation&amp;amp;list_uids=20137304 &lt;/url&gt;&lt;/related-urls&gt;&lt;/urls&gt;&lt;/record&gt;&lt;/Cite&gt;&lt;/EndNote&gt;</w:instrText>
      </w:r>
      <w:r w:rsidRPr="001A6261">
        <w:fldChar w:fldCharType="separate"/>
      </w:r>
      <w:r w:rsidR="006F41FE">
        <w:rPr>
          <w:noProof/>
        </w:rPr>
        <w:t>(</w:t>
      </w:r>
      <w:hyperlink w:anchor="_ENREF_445" w:tooltip="Wang, 2009 #20" w:history="1">
        <w:r w:rsidR="004A784D">
          <w:rPr>
            <w:noProof/>
          </w:rPr>
          <w:t>Wang et al., 2009</w:t>
        </w:r>
      </w:hyperlink>
      <w:r w:rsidR="006F41FE">
        <w:rPr>
          <w:noProof/>
        </w:rPr>
        <w:t>)</w:t>
      </w:r>
      <w:r w:rsidRPr="001A6261">
        <w:fldChar w:fldCharType="end"/>
      </w:r>
      <w:r w:rsidRPr="001A6261">
        <w:t>.</w:t>
      </w:r>
      <w:r>
        <w:t xml:space="preserve"> </w:t>
      </w:r>
    </w:p>
    <w:p w:rsidR="00856253" w:rsidRDefault="00856253"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rsidRPr="00FF6355">
        <w:t xml:space="preserve">Imatinib, a selective inhibitor of BCR-ABL, represents a major success in the era of target-directed cancer chemotherapy. </w:t>
      </w:r>
      <w:r>
        <w:t xml:space="preserve">It </w:t>
      </w:r>
      <w:r w:rsidRPr="00DF737E">
        <w:t xml:space="preserve">has dramatically changed the prognosis of patients with newly diagnosed chronic myeloid leukemia (CML). Standard-dose imatinib (400 mg/day in chronic phase, 600 mg/day in advanced CML) now dominates the management of this disease, producing considerably higher hematologic, cytogenetic, and molecular response rates than seen with previous drug </w:t>
      </w:r>
      <w:r w:rsidRPr="00DF737E">
        <w:lastRenderedPageBreak/>
        <w:t>therapies. However, although many patients respond well to standard-dose imatinib initially, some patients do not achieve adequate levels of response or discontinu</w:t>
      </w:r>
      <w:r>
        <w:t>e therapy because of resistance</w:t>
      </w:r>
      <w:r w:rsidRPr="00DF737E">
        <w:t xml:space="preserve"> </w:t>
      </w:r>
      <w:r>
        <w:fldChar w:fldCharType="begin">
          <w:fldData xml:space="preserve">PEVuZE5vdGU+PENpdGU+PEF1dGhvcj5QYXZsb3Zza3k8L0F1dGhvcj48WWVhcj4yMDA5PC9ZZWFy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</w:fldData>
        </w:fldChar>
      </w:r>
      <w:r w:rsidR="006F41FE">
        <w:instrText xml:space="preserve"> ADDIN EN.CITE </w:instrText>
      </w:r>
      <w:r w:rsidR="006F41FE">
        <w:fldChar w:fldCharType="begin">
          <w:fldData xml:space="preserve">PEVuZE5vdGU+PENpdGU+PEF1dGhvcj5QYXZsb3Zza3k8L0F1dGhvcj48WWVhcj4yMDA5PC9ZZWFy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</w:fldData>
        </w:fldChar>
      </w:r>
      <w:r w:rsidR="006F41FE">
        <w:instrText xml:space="preserve"> ADDIN EN.CITE.DATA </w:instrText>
      </w:r>
      <w:r w:rsidR="006F41FE">
        <w:fldChar w:fldCharType="end"/>
      </w:r>
      <w:r>
        <w:fldChar w:fldCharType="separate"/>
      </w:r>
      <w:r w:rsidR="006F41FE">
        <w:rPr>
          <w:noProof/>
        </w:rPr>
        <w:t>(</w:t>
      </w:r>
      <w:hyperlink w:anchor="_ENREF_318" w:tooltip="Pavlovsky, 2009 #4856" w:history="1">
        <w:r w:rsidR="004A784D">
          <w:rPr>
            <w:noProof/>
          </w:rPr>
          <w:t>Pavlovsky et al., 2009</w:t>
        </w:r>
      </w:hyperlink>
      <w:r w:rsidR="006F41FE">
        <w:rPr>
          <w:noProof/>
        </w:rPr>
        <w:t>)</w:t>
      </w:r>
      <w:r>
        <w:fldChar w:fldCharType="end"/>
      </w:r>
      <w:r>
        <w:t xml:space="preserve">. </w:t>
      </w:r>
    </w:p>
    <w:p w:rsidR="00856253" w:rsidRDefault="00856253"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t>Imatinib</w:t>
      </w:r>
      <w:r w:rsidRPr="001A6261">
        <w:t xml:space="preserve"> resistance markers have been found that have been associated with several mechanisms such as amplification or mutations of the BCR-ABL fusiongene; and inactivation by binding to α-1 acid glycoprotein; as well as increased usage of signal transduction pathways that are BCR-ABL independent. </w:t>
      </w:r>
      <w:r w:rsidRPr="001A6261">
        <w:fldChar w:fldCharType="begin">
          <w:fldData xml:space="preserve">PEVuZE5vdGU+PENpdGU+PEF1dGhvcj5KaWFuZzwvQXV0aG9yPjxZZWFyPjIwMDc8L1llYXI+PFJl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</w:fldData>
        </w:fldChar>
      </w:r>
      <w:r w:rsidR="006F41FE">
        <w:instrText xml:space="preserve"> ADDIN EN.CITE </w:instrText>
      </w:r>
      <w:r w:rsidR="006F41FE">
        <w:fldChar w:fldCharType="begin">
          <w:fldData xml:space="preserve">PEVuZE5vdGU+PENpdGU+PEF1dGhvcj5KaWFuZzwvQXV0aG9yPjxZZWFyPjIwMDc8L1llYXI+PFJl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</w:fldData>
        </w:fldChar>
      </w:r>
      <w:r w:rsidR="006F41FE">
        <w:instrText xml:space="preserve"> ADDIN EN.CITE.DATA </w:instrText>
      </w:r>
      <w:r w:rsidR="006F41FE">
        <w:fldChar w:fldCharType="end"/>
      </w:r>
      <w:r w:rsidRPr="001A6261">
        <w:fldChar w:fldCharType="separate"/>
      </w:r>
      <w:r w:rsidR="006F41FE">
        <w:rPr>
          <w:noProof/>
        </w:rPr>
        <w:t>(</w:t>
      </w:r>
      <w:hyperlink w:anchor="_ENREF_191" w:tooltip="Jiang, 2007 #42" w:history="1">
        <w:r w:rsidR="004A784D">
          <w:rPr>
            <w:noProof/>
          </w:rPr>
          <w:t>Jiang et al., 2007</w:t>
        </w:r>
      </w:hyperlink>
      <w:r w:rsidR="006F41FE">
        <w:rPr>
          <w:noProof/>
        </w:rPr>
        <w:t xml:space="preserve">, </w:t>
      </w:r>
      <w:hyperlink w:anchor="_ENREF_469" w:tooltip="Zhou, 2008 #29" w:history="1">
        <w:r w:rsidR="004A784D">
          <w:rPr>
            <w:noProof/>
          </w:rPr>
          <w:t>Zhou et al., 2008</w:t>
        </w:r>
      </w:hyperlink>
      <w:r w:rsidR="006F41FE">
        <w:rPr>
          <w:noProof/>
        </w:rPr>
        <w:t xml:space="preserve">, </w:t>
      </w:r>
      <w:hyperlink w:anchor="_ENREF_294" w:tooltip="O'Dwyer, 2009 #1" w:history="1">
        <w:r w:rsidR="004A784D">
          <w:rPr>
            <w:noProof/>
          </w:rPr>
          <w:t>O'Dwyer and Atallah, 2009</w:t>
        </w:r>
      </w:hyperlink>
      <w:r w:rsidR="006F41FE">
        <w:rPr>
          <w:noProof/>
        </w:rPr>
        <w:t>)</w:t>
      </w:r>
      <w:r w:rsidRPr="001A6261">
        <w:fldChar w:fldCharType="end"/>
      </w:r>
      <w:r w:rsidRPr="001A6261">
        <w:t>.</w:t>
      </w:r>
    </w:p>
    <w:p w:rsidR="00B61503" w:rsidRPr="001A6261" w:rsidRDefault="00B61503" w:rsidP="00057B42">
      <w:pPr>
        <w:autoSpaceDE w:val="0"/>
        <w:autoSpaceDN w:val="0"/>
        <w:adjustRightInd w:val="0"/>
        <w:spacing w:line="360" w:lineRule="auto"/>
        <w:jc w:val="both"/>
      </w:pPr>
    </w:p>
    <w:p w:rsidR="00B61503" w:rsidRDefault="00B61503" w:rsidP="00645687">
      <w:pPr>
        <w:pStyle w:val="Heading2"/>
        <w:numPr>
          <w:ilvl w:val="4"/>
          <w:numId w:val="19"/>
        </w:numPr>
      </w:pPr>
      <w:r w:rsidRPr="001A6261">
        <w:t xml:space="preserve">  </w:t>
      </w:r>
      <w:bookmarkStart w:id="1763" w:name="_Toc302582411"/>
      <w:bookmarkStart w:id="1764" w:name="_Toc305690071"/>
      <w:bookmarkStart w:id="1765" w:name="_Toc306570763"/>
      <w:bookmarkStart w:id="1766" w:name="_Toc307067823"/>
      <w:bookmarkStart w:id="1767" w:name="_Toc312169390"/>
      <w:bookmarkStart w:id="1768" w:name="_Toc312172317"/>
      <w:bookmarkStart w:id="1769" w:name="_Toc312257866"/>
      <w:r w:rsidRPr="001A6261">
        <w:t>Chronic Lymphocytic Leukaemia (CLL)</w:t>
      </w:r>
      <w:bookmarkEnd w:id="1763"/>
      <w:bookmarkEnd w:id="1764"/>
      <w:bookmarkEnd w:id="1765"/>
      <w:bookmarkEnd w:id="1766"/>
      <w:bookmarkEnd w:id="1767"/>
      <w:bookmarkEnd w:id="1768"/>
      <w:bookmarkEnd w:id="1769"/>
      <w:r w:rsidRPr="001A6261">
        <w:t xml:space="preserve"> </w:t>
      </w:r>
    </w:p>
    <w:p w:rsidR="00CD1970" w:rsidRDefault="00B61503" w:rsidP="00000025">
      <w:pPr>
        <w:autoSpaceDE w:val="0"/>
        <w:autoSpaceDN w:val="0"/>
        <w:adjustRightInd w:val="0"/>
        <w:spacing w:before="240" w:line="360" w:lineRule="auto"/>
        <w:jc w:val="both"/>
      </w:pPr>
      <w:r>
        <w:t>CLL</w:t>
      </w:r>
      <w:r w:rsidRPr="00944A3B">
        <w:t xml:space="preserve"> is a monoclonal disorder </w:t>
      </w:r>
      <w:r w:rsidRPr="007429F7">
        <w:t>characterized by progressive monoclonal absolute</w:t>
      </w:r>
      <w:r>
        <w:t xml:space="preserve"> lymphocytosis of small, mature</w:t>
      </w:r>
      <w:r w:rsidRPr="007429F7">
        <w:t xml:space="preserve"> </w:t>
      </w:r>
      <w:r>
        <w:t>white blood cell</w:t>
      </w:r>
      <w:r w:rsidRPr="007429F7">
        <w:t xml:space="preserve"> which continues to accumulate in the peripheral blood, bone marrow and lymphoid or</w:t>
      </w:r>
      <w:r>
        <w:t xml:space="preserve">gans. </w:t>
      </w:r>
      <w:r w:rsidRPr="007429F7">
        <w:t>CLL accounts for about 40% of all of leuk</w:t>
      </w:r>
      <w:r>
        <w:t>a</w:t>
      </w:r>
      <w:r w:rsidRPr="007429F7">
        <w:t>emia in adults over the age of 65 years and is the commonest leukemia encountered in the western world</w:t>
      </w:r>
      <w:r>
        <w:t xml:space="preserve"> </w:t>
      </w:r>
      <w:r>
        <w:fldChar w:fldCharType="begin"/>
      </w:r>
      <w:r w:rsidR="006F41FE">
        <w:instrText xml:space="preserve"> ADDIN EN.CITE &lt;EndNote&gt;&lt;Cite&gt;&lt;Author&gt;Herishanu&lt;/Author&gt;&lt;Year&gt;2005&lt;/Year&gt;&lt;RecNum&gt;4858&lt;/RecNum&gt;&lt;DisplayText&gt;(Herishanu and Polliack, 2005)&lt;/DisplayText&gt;&lt;record&gt;&lt;rec-number&gt;4858&lt;/rec-number&gt;&lt;foreign-keys&gt;&lt;key app="EN" db-id="zf0awxsaczrdd3eft5qvw9wrtxxawdfrvw2a"&gt;4858&lt;/key&gt;&lt;/foreign-keys&gt;&lt;ref-type name="Journal Article"&gt;17&lt;/ref-type&gt;&lt;contributors&gt;&lt;authors&gt;&lt;author&gt;Herishanu, Y.&lt;/author&gt;&lt;author&gt;Polliack, A.&lt;/author&gt;&lt;/authors&gt;&lt;/contributors&gt;&lt;auth-address&gt;Department of Hematology, Tel-Aviv Sourasky Medical Center, Tel Aviv, Israel. herishanu@yahoo.com&lt;/auth-address&gt;&lt;titles&gt;&lt;title&gt;Chronic lymphocytic leukemia: a review of some new aspects of the biology, factors influencing prognosis and therapeutic options&lt;/title&gt;&lt;secondary-title&gt;Transfus Apher Sci&lt;/secondary-title&gt;&lt;/titles&gt;&lt;periodical&gt;&lt;full-title&gt;Transfus Apher Sci&lt;/full-title&gt;&lt;/periodical&gt;&lt;pages&gt;85-97&lt;/pages&gt;&lt;volume&gt;32&lt;/volume&gt;&lt;number&gt;1&lt;/number&gt;&lt;edition&gt;2005/03/02&lt;/edition&gt;&lt;keywords&gt;&lt;keyword&gt;Age Factors&lt;/keyword&gt;&lt;keyword&gt;Aged&lt;/keyword&gt;&lt;keyword&gt;Antibodies, Monoclonal/chemistry&lt;/keyword&gt;&lt;keyword&gt;Antigens, CD5/biosynthesis&lt;/keyword&gt;&lt;keyword&gt;DNA Mutational Analysis&lt;/keyword&gt;&lt;keyword&gt;Female&lt;/keyword&gt;&lt;keyword&gt;Humans&lt;/keyword&gt;&lt;keyword&gt;Immunoglobulin Heavy Chains/genetics&lt;/keyword&gt;&lt;keyword&gt;Leukemia, Lymphocytic, Chronic, B-Cell/*diagnosis/*pathology&lt;/keyword&gt;&lt;keyword&gt;Male&lt;/keyword&gt;&lt;keyword&gt;Middle Aged&lt;/keyword&gt;&lt;keyword&gt;Mutation&lt;/keyword&gt;&lt;keyword&gt;Prognosis&lt;/keyword&gt;&lt;keyword&gt;Remission Induction&lt;/keyword&gt;&lt;keyword&gt;Stem Cell Transplantation/methods&lt;/keyword&gt;&lt;keyword&gt;Time Factors&lt;/keyword&gt;&lt;keyword&gt;Treatment Outcome&lt;/keyword&gt;&lt;/keywords&gt;&lt;dates&gt;&lt;year&gt;2005&lt;/year&gt;&lt;pub-dates&gt;&lt;date&gt;Feb&lt;/date&gt;&lt;/pub-dates&gt;&lt;/dates&gt;&lt;isbn&gt;1473-0502 (Print)&amp;#xD;1473-0502 (Linking)&lt;/isbn&gt;&lt;accession-num&gt;15737877&lt;/accession-num&gt;&lt;urls&gt;&lt;related-urls&gt;&lt;url&gt;http://www.ncbi.nlm.nih.gov/pubmed/15737877&lt;/url&gt;&lt;/related-urls&gt;&lt;/urls&gt;&lt;electronic-resource-num&gt;S1473-0502(04)00185-5 [pii]&amp;#xD;10.1016/j.transci.2004.10.012&lt;/electronic-resource-num&gt;&lt;language&gt;eng&lt;/language&gt;&lt;/record&gt;&lt;/Cite&gt;&lt;/EndNote&gt;</w:instrText>
      </w:r>
      <w:r>
        <w:fldChar w:fldCharType="separate"/>
      </w:r>
      <w:r w:rsidR="006F41FE">
        <w:rPr>
          <w:noProof/>
        </w:rPr>
        <w:t>(</w:t>
      </w:r>
      <w:hyperlink w:anchor="_ENREF_172" w:tooltip="Herishanu, 2005 #4858" w:history="1">
        <w:r w:rsidR="004A784D">
          <w:rPr>
            <w:noProof/>
          </w:rPr>
          <w:t>Herishanu and Polliack, 2005</w:t>
        </w:r>
      </w:hyperlink>
      <w:r w:rsidR="006F41FE">
        <w:rPr>
          <w:noProof/>
        </w:rPr>
        <w:t>)</w:t>
      </w:r>
      <w:r>
        <w:fldChar w:fldCharType="end"/>
      </w:r>
      <w:r>
        <w:t xml:space="preserve">. </w:t>
      </w:r>
    </w:p>
    <w:p w:rsidR="00CD1970" w:rsidRDefault="00CD1970"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rsidRPr="001A6261">
        <w:t xml:space="preserve">The clinical course of patients with CLL is heterogeneous, with some patients experiencing rapid disease progression and others living for decades without requiring treatment.  Clinical features and molecular/biologic factors such as ZAP-70, immunoglobulin heavy chain (IGHV) gene mutation status, and cytogenetic abnormalities on fluorescent in situ hybridization (FISH) have been found to be robust predictors of treatment-free survival and overall survival among newly diagnosed CLL patients. Beyond their widely recognized value for providing insight into disease biology and utility for stratifying patient risk in clinical trials, these prognostic tools play an important role in the current counselling and management of patients with CLL </w:t>
      </w:r>
      <w:r w:rsidRPr="001A6261">
        <w:fldChar w:fldCharType="begin"/>
      </w:r>
      <w:r w:rsidR="006F41FE">
        <w:instrText xml:space="preserve"> ADDIN EN.CITE &lt;EndNote&gt;&lt;Cite&gt;&lt;Author&gt;Gribben&lt;/Author&gt;&lt;Year&gt;2008&lt;/Year&gt;&lt;RecNum&gt;55&lt;/RecNum&gt;&lt;DisplayText&gt;(Gribben, 2008)&lt;/DisplayText&gt;&lt;record&gt;&lt;rec-number&gt;55&lt;/rec-number&gt;&lt;ref-type name="Journal Article"&gt;17&lt;/ref-type&gt;&lt;contributors&gt;&lt;authors&gt;&lt;author&gt;Gribben, J. G.&lt;/author&gt;&lt;/authors&gt;&lt;/contributors&gt;&lt;auth-address&gt;St. Bartholomew&amp;apos;s Hospital, Barts and the London School of Medicine, University of London, London, UK. john.gribben@cancer.org.uk&lt;/auth-address&gt;&lt;titles&gt;&lt;title&gt;Molecular profiling in CLL&lt;/title&gt;&lt;secondary-title&gt;Hematology Am Soc Hematol Educ Program&lt;/secondary-title&gt;&lt;/titles&gt;&lt;periodical&gt;&lt;full-title&gt;Hematology Am Soc Hematol Educ Program&lt;/full-title&gt;&lt;/periodical&gt;&lt;pages&gt;444-9&lt;/pages&gt;&lt;keywords&gt;&lt;keyword&gt;Antineoplastic Agents/therapeutic use&lt;/keyword&gt;&lt;keyword&gt;Antineoplastic Combined Chemotherapy Protocols/therapeutic use&lt;/keyword&gt;&lt;keyword&gt;Chromosome Deletion&lt;/keyword&gt;&lt;keyword&gt;Chromosomes, Human, Pair 12&lt;/keyword&gt;&lt;keyword&gt;*Gene Expression Profiling&lt;/keyword&gt;&lt;keyword&gt;Gene Rearrangement&lt;/keyword&gt;&lt;keyword&gt;Humans&lt;/keyword&gt;&lt;keyword&gt;Immunoglobulin Heavy Chains/genetics&lt;/keyword&gt;&lt;keyword&gt;Immunoglobulin Variable Region/genetics&lt;/keyword&gt;&lt;keyword&gt;In Situ Hybridization, Fluorescence&lt;/keyword&gt;&lt;keyword&gt;Leukemia, Lymphocytic, Chronic, B-Cell/drug&lt;/keyword&gt;&lt;keyword&gt;therapy/*genetics/immunology/pathology&lt;/keyword&gt;&lt;keyword&gt;Mutation&lt;/keyword&gt;&lt;keyword&gt;Trisomy&lt;/keyword&gt;&lt;/keywords&gt;&lt;dates&gt;&lt;year&gt;2008&lt;/year&gt;&lt;/dates&gt;&lt;accession-num&gt;19074124&lt;/accession-num&gt;&lt;urls&gt;&lt;related-urls&gt;&lt;url&gt;http://www.ncbi.nlm.nih.gov/entrez/query.fcgi?cmd=Retrieve&amp;amp;db=PubMed&amp;amp;dopt=Citation&amp;amp;list_uids=19074124 &lt;/url&gt;&lt;/related-urls&gt;&lt;/urls&gt;&lt;/record&gt;&lt;/Cite&gt;&lt;/EndNote&gt;</w:instrText>
      </w:r>
      <w:r w:rsidRPr="001A6261">
        <w:fldChar w:fldCharType="separate"/>
      </w:r>
      <w:r w:rsidR="006F41FE">
        <w:rPr>
          <w:noProof/>
        </w:rPr>
        <w:t>(</w:t>
      </w:r>
      <w:hyperlink w:anchor="_ENREF_152" w:tooltip="Gribben, 2008 #55" w:history="1">
        <w:r w:rsidR="004A784D">
          <w:rPr>
            <w:noProof/>
          </w:rPr>
          <w:t>Gribben, 2008</w:t>
        </w:r>
      </w:hyperlink>
      <w:r w:rsidR="006F41FE">
        <w:rPr>
          <w:noProof/>
        </w:rPr>
        <w:t>)</w:t>
      </w:r>
      <w:r w:rsidRPr="001A6261">
        <w:fldChar w:fldCharType="end"/>
      </w:r>
      <w:r w:rsidRPr="001A6261">
        <w:t xml:space="preserve">. </w:t>
      </w:r>
    </w:p>
    <w:p w:rsidR="00B61503" w:rsidRDefault="00B61503"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rsidRPr="001A6261">
        <w:t xml:space="preserve">In several studies, ZAP-70 expression correlated with IgV (H) mutational status, and predicted disease progression and overall survival. In addition to its prognostic utility, ZAP-70 expression was also found to be constant and did not vary between peripheral blood, bone marrow or lymph node specimens in individual patients </w:t>
      </w:r>
      <w:r w:rsidRPr="001A6261">
        <w:fldChar w:fldCharType="begin">
          <w:fldData xml:space="preserve">PEVuZE5vdGU+PENpdGU+PEF1dGhvcj5DaGFhcjwvQXV0aG9yPjxZZWFyPjIwMDg8L1llYXI+PFJl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</w:fldData>
        </w:fldChar>
      </w:r>
      <w:r w:rsidR="006F41FE">
        <w:instrText xml:space="preserve"> ADDIN EN.CITE </w:instrText>
      </w:r>
      <w:r w:rsidR="006F41FE">
        <w:fldChar w:fldCharType="begin">
          <w:fldData xml:space="preserve">PEVuZE5vdGU+PENpdGU+PEF1dGhvcj5DaGFhcjwvQXV0aG9yPjxZZWFyPjIwMDg8L1llYXI+PFJl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</w:fldData>
        </w:fldChar>
      </w:r>
      <w:r w:rsidR="006F41FE">
        <w:instrText xml:space="preserve"> ADDIN EN.CITE.DATA </w:instrText>
      </w:r>
      <w:r w:rsidR="006F41FE">
        <w:fldChar w:fldCharType="end"/>
      </w:r>
      <w:r w:rsidRPr="001A6261">
        <w:fldChar w:fldCharType="separate"/>
      </w:r>
      <w:r w:rsidR="006F41FE">
        <w:rPr>
          <w:noProof/>
        </w:rPr>
        <w:t>(</w:t>
      </w:r>
      <w:hyperlink w:anchor="_ENREF_69" w:tooltip="Chaar, 2008 #408" w:history="1">
        <w:r w:rsidR="004A784D">
          <w:rPr>
            <w:noProof/>
          </w:rPr>
          <w:t>Chaar et al., 2008</w:t>
        </w:r>
      </w:hyperlink>
      <w:r w:rsidR="006F41FE">
        <w:rPr>
          <w:noProof/>
        </w:rPr>
        <w:t xml:space="preserve">, </w:t>
      </w:r>
      <w:hyperlink w:anchor="_ENREF_118" w:tooltip="Ertault-Daneshpouy, 2008 #391" w:history="1">
        <w:r w:rsidR="004A784D">
          <w:rPr>
            <w:noProof/>
          </w:rPr>
          <w:t>Ertault-Daneshpouy et al., 2008</w:t>
        </w:r>
      </w:hyperlink>
      <w:r w:rsidR="006F41FE">
        <w:rPr>
          <w:noProof/>
        </w:rPr>
        <w:t>)</w:t>
      </w:r>
      <w:r w:rsidRPr="001A6261">
        <w:fldChar w:fldCharType="end"/>
      </w:r>
      <w:r w:rsidRPr="001A6261">
        <w:t xml:space="preserve"> . </w:t>
      </w:r>
    </w:p>
    <w:p w:rsidR="00B61503" w:rsidRPr="001A6261" w:rsidRDefault="00B61503" w:rsidP="00057B42">
      <w:pPr>
        <w:autoSpaceDE w:val="0"/>
        <w:autoSpaceDN w:val="0"/>
        <w:adjustRightInd w:val="0"/>
        <w:spacing w:line="360" w:lineRule="auto"/>
        <w:jc w:val="both"/>
      </w:pPr>
    </w:p>
    <w:p w:rsidR="00B61503" w:rsidRPr="001A6261" w:rsidRDefault="00B61503" w:rsidP="00057B42">
      <w:pPr>
        <w:autoSpaceDE w:val="0"/>
        <w:autoSpaceDN w:val="0"/>
        <w:adjustRightInd w:val="0"/>
        <w:spacing w:line="360" w:lineRule="auto"/>
        <w:jc w:val="both"/>
      </w:pPr>
      <w:r w:rsidRPr="001A6261">
        <w:t xml:space="preserve">Other markers includes the detection of </w:t>
      </w:r>
      <w:r w:rsidRPr="006D60F5">
        <w:t>loss of the short arm of chromosome 17</w:t>
      </w:r>
      <w:r>
        <w:t xml:space="preserve"> (del 17p) is associated with poor risk</w:t>
      </w:r>
      <w:r w:rsidRPr="001A6261">
        <w:t xml:space="preserve">. Recent studies have focused on how to combine the results of multiple prognostic </w:t>
      </w:r>
      <w:r>
        <w:t>markers</w:t>
      </w:r>
      <w:r w:rsidRPr="001A6261">
        <w:t xml:space="preserve"> into an integrated risk stratification system and explored how these characteristics influence response to treatment </w:t>
      </w:r>
      <w:r w:rsidRPr="001A6261">
        <w:fldChar w:fldCharType="begin">
          <w:fldData xml:space="preserve">PEVuZE5vdGU+PENpdGU+PEF1dGhvcj5TaGFuYWZlbHQ8L0F1dGhvcj48WWVhcj4yMDA5PC9ZZWFy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=
</w:fldData>
        </w:fldChar>
      </w:r>
      <w:r w:rsidR="006F41FE">
        <w:instrText xml:space="preserve"> ADDIN EN.CITE </w:instrText>
      </w:r>
      <w:r w:rsidR="006F41FE">
        <w:fldChar w:fldCharType="begin">
          <w:fldData xml:space="preserve">PEVuZE5vdGU+PENpdGU+PEF1dGhvcj5TaGFuYWZlbHQ8L0F1dGhvcj48WWVhcj4yMDA5PC9ZZWFy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=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380" w:tooltip="Shanafelt, 2009 #180" w:history="1">
        <w:r w:rsidR="004A784D">
          <w:rPr>
            <w:noProof/>
          </w:rPr>
          <w:t>Shanafelt, 2009</w:t>
        </w:r>
      </w:hyperlink>
      <w:r w:rsidR="006F41FE">
        <w:rPr>
          <w:noProof/>
        </w:rPr>
        <w:t xml:space="preserve">, </w:t>
      </w:r>
      <w:hyperlink w:anchor="_ENREF_346" w:tooltip="Riches, 2009 #176" w:history="1">
        <w:r w:rsidR="004A784D">
          <w:rPr>
            <w:noProof/>
          </w:rPr>
          <w:t>Riches and Gribben, 2009</w:t>
        </w:r>
      </w:hyperlink>
      <w:r w:rsidR="006F41FE">
        <w:rPr>
          <w:noProof/>
        </w:rPr>
        <w:t>)</w:t>
      </w:r>
      <w:r w:rsidRPr="001A6261">
        <w:fldChar w:fldCharType="end"/>
      </w:r>
      <w:r w:rsidRPr="001A6261">
        <w:t xml:space="preserve">. </w:t>
      </w:r>
    </w:p>
    <w:p w:rsidR="00B61503" w:rsidRPr="001A6261" w:rsidRDefault="00B61503" w:rsidP="00057B42">
      <w:pPr>
        <w:autoSpaceDE w:val="0"/>
        <w:autoSpaceDN w:val="0"/>
        <w:adjustRightInd w:val="0"/>
        <w:spacing w:line="360" w:lineRule="auto"/>
        <w:jc w:val="both"/>
      </w:pPr>
      <w:r w:rsidRPr="001A6261">
        <w:t xml:space="preserve"> </w:t>
      </w:r>
    </w:p>
    <w:p w:rsidR="00B61503" w:rsidRDefault="001C5327" w:rsidP="00645687">
      <w:pPr>
        <w:pStyle w:val="Heading2"/>
        <w:numPr>
          <w:ilvl w:val="3"/>
          <w:numId w:val="19"/>
        </w:numPr>
      </w:pPr>
      <w:bookmarkStart w:id="1770" w:name="_Toc302582412"/>
      <w:r>
        <w:rPr>
          <w:sz w:val="24"/>
          <w:szCs w:val="24"/>
        </w:rPr>
        <w:tab/>
      </w:r>
      <w:r w:rsidR="00B61503">
        <w:rPr>
          <w:sz w:val="24"/>
          <w:szCs w:val="24"/>
        </w:rPr>
        <w:t xml:space="preserve"> </w:t>
      </w:r>
      <w:bookmarkStart w:id="1771" w:name="_Toc305690072"/>
      <w:bookmarkStart w:id="1772" w:name="_Toc306570764"/>
      <w:bookmarkStart w:id="1773" w:name="_Toc307067824"/>
      <w:bookmarkStart w:id="1774" w:name="_Toc312169391"/>
      <w:bookmarkStart w:id="1775" w:name="_Toc312172318"/>
      <w:bookmarkStart w:id="1776" w:name="_Toc312257867"/>
      <w:r w:rsidR="00B61503" w:rsidRPr="001A6261">
        <w:t>Serum Proteomic and early detection of cancer</w:t>
      </w:r>
      <w:bookmarkEnd w:id="1770"/>
      <w:bookmarkEnd w:id="1771"/>
      <w:bookmarkEnd w:id="1772"/>
      <w:bookmarkEnd w:id="1773"/>
      <w:bookmarkEnd w:id="1774"/>
      <w:bookmarkEnd w:id="1775"/>
      <w:bookmarkEnd w:id="1776"/>
    </w:p>
    <w:p w:rsidR="00B61503" w:rsidRPr="001A6261" w:rsidRDefault="00B61503" w:rsidP="00000025">
      <w:pPr>
        <w:autoSpaceDE w:val="0"/>
        <w:autoSpaceDN w:val="0"/>
        <w:adjustRightInd w:val="0"/>
        <w:spacing w:before="240" w:line="360" w:lineRule="auto"/>
        <w:jc w:val="both"/>
      </w:pPr>
      <w:r w:rsidRPr="001A6261">
        <w:t xml:space="preserve">Serum been used for the identification of biomarkers or biomarker patterns that may allow for the early diagnosis of various cancers. </w:t>
      </w:r>
      <w:r>
        <w:t>Serum p</w:t>
      </w:r>
      <w:r w:rsidRPr="006D60F5">
        <w:t>roteomic</w:t>
      </w:r>
      <w:r w:rsidR="00AF4DC1">
        <w:t>s</w:t>
      </w:r>
      <w:r w:rsidRPr="006D60F5">
        <w:t xml:space="preserve"> </w:t>
      </w:r>
      <w:r w:rsidRPr="001A6261">
        <w:t>is of special interest, since it allows for the identification of tumor-derived secretory products in serum or other body fluids. In addition, it may be used to detect reduced levels or loss of proteins in the serum of cancer patients that are present in non-cancer individuals. These changes in the serum proteome may result from cancer-specific metabolic or immunological alterations, which are, at least partly, independent of tumour size or mass, thereby facilitating early diagnosis</w:t>
      </w:r>
      <w:r>
        <w:t xml:space="preserve"> </w:t>
      </w:r>
      <w:r>
        <w:fldChar w:fldCharType="begin"/>
      </w:r>
      <w:r w:rsidR="006F41FE">
        <w:instrText xml:space="preserve"> ADDIN EN.CITE &lt;EndNote&gt;&lt;Cite&gt;&lt;Author&gt;Narimatsu&lt;/Author&gt;&lt;Year&gt;2010&lt;/Year&gt;&lt;RecNum&gt;4861&lt;/RecNum&gt;&lt;DisplayText&gt;(Narimatsu et al., 2010)&lt;/DisplayText&gt;&lt;record&gt;&lt;rec-number&gt;4861&lt;/rec-number&gt;&lt;foreign-keys&gt;&lt;key app="EN" db-id="zf0awxsaczrdd3eft5qvw9wrtxxawdfrvw2a"&gt;4861&lt;/key&gt;&lt;/foreign-keys&gt;&lt;ref-type name="Journal Article"&gt;17&lt;/ref-type&gt;&lt;contributors&gt;&lt;authors&gt;&lt;author&gt;Narimatsu, H.&lt;/author&gt;&lt;author&gt;Sawaki, H.&lt;/author&gt;&lt;author&gt;Kuno, A.&lt;/author&gt;&lt;author&gt;Kaji, H.&lt;/author&gt;&lt;author&gt;Ito, H.&lt;/author&gt;&lt;author&gt;Ikehara, Y.&lt;/author&gt;&lt;/authors&gt;&lt;/contributors&gt;&lt;auth-address&gt;Research Center for Medical Glycoscience, National Institute of Advanced Industrial Science and Technology, Tsukuba, Japan. h.narimatsu@aist.go.jp&lt;/auth-address&gt;&lt;titles&gt;&lt;title&gt;A strategy for discovery of cancer glyco-biomarkers in serum using newly developed technologies for glycoproteomics&lt;/title&gt;&lt;secondary-title&gt;FEBS J&lt;/secondary-title&gt;&lt;/titles&gt;&lt;periodical&gt;&lt;full-title&gt;FEBS J&lt;/full-title&gt;&lt;/periodical&gt;&lt;pages&gt;95-105&lt;/pages&gt;&lt;volume&gt;277&lt;/volume&gt;&lt;number&gt;1&lt;/number&gt;&lt;edition&gt;2009/11/19&lt;/edition&gt;&lt;keywords&gt;&lt;keyword&gt;Databases, Factual&lt;/keyword&gt;&lt;keyword&gt;Glycomics/*methods&lt;/keyword&gt;&lt;keyword&gt;Glycoproteins/*blood/genetics&lt;/keyword&gt;&lt;keyword&gt;Humans&lt;/keyword&gt;&lt;keyword&gt;Lectins&lt;/keyword&gt;&lt;keyword&gt;Neoplasm Proteins/*blood/genetics&lt;/keyword&gt;&lt;keyword&gt;Neoplasms/blood/diagnosis/genetics&lt;/keyword&gt;&lt;keyword&gt;Polymerase Chain Reaction&lt;/keyword&gt;&lt;keyword&gt;Protein Array Analysis&lt;/keyword&gt;&lt;keyword&gt;Proteomics/*methods&lt;/keyword&gt;&lt;keyword&gt;Tandem Mass Spectrometry&lt;/keyword&gt;&lt;keyword&gt;Tumor Markers, Biological/*blood/genetics&lt;/keyword&gt;&lt;/keywords&gt;&lt;dates&gt;&lt;year&gt;2010&lt;/year&gt;&lt;pub-dates&gt;&lt;date&gt;Jan&lt;/date&gt;&lt;/pub-dates&gt;&lt;/dates&gt;&lt;isbn&gt;1742-4658 (Electronic)&amp;#xD;1742-464X (Linking)&lt;/isbn&gt;&lt;accession-num&gt;19919546&lt;/accession-num&gt;&lt;urls&gt;&lt;related-urls&gt;&lt;url&gt;http://www.ncbi.nlm.nih.gov/pubmed/19919546&lt;/url&gt;&lt;/related-urls&gt;&lt;/urls&gt;&lt;electronic-resource-num&gt;EJB7430 [pii]&amp;#xD;10.1111/j.1742-4658.2009.07430.x&lt;/electronic-resource-num&gt;&lt;language&gt;eng&lt;/language&gt;&lt;/record&gt;&lt;/Cite&gt;&lt;/EndNote&gt;</w:instrText>
      </w:r>
      <w:r>
        <w:fldChar w:fldCharType="separate"/>
      </w:r>
      <w:r w:rsidR="006F41FE">
        <w:rPr>
          <w:noProof/>
        </w:rPr>
        <w:t>(</w:t>
      </w:r>
      <w:hyperlink w:anchor="_ENREF_288" w:tooltip="Narimatsu, 2010 #4861" w:history="1">
        <w:r w:rsidR="004A784D">
          <w:rPr>
            <w:noProof/>
          </w:rPr>
          <w:t>Narimatsu et al., 2010</w:t>
        </w:r>
      </w:hyperlink>
      <w:r w:rsidR="006F41FE">
        <w:rPr>
          <w:noProof/>
        </w:rPr>
        <w:t>)</w:t>
      </w:r>
      <w:r>
        <w:fldChar w:fldCharType="end"/>
      </w:r>
      <w:r w:rsidRPr="001A6261">
        <w:t xml:space="preserve">. </w:t>
      </w:r>
    </w:p>
    <w:p w:rsidR="00856253" w:rsidRDefault="00856253" w:rsidP="00057B42">
      <w:pPr>
        <w:autoSpaceDE w:val="0"/>
        <w:autoSpaceDN w:val="0"/>
        <w:adjustRightInd w:val="0"/>
        <w:spacing w:line="360" w:lineRule="auto"/>
        <w:jc w:val="both"/>
      </w:pPr>
    </w:p>
    <w:p w:rsidR="00B61503" w:rsidRDefault="00B61503" w:rsidP="00057B42">
      <w:pPr>
        <w:autoSpaceDE w:val="0"/>
        <w:autoSpaceDN w:val="0"/>
        <w:adjustRightInd w:val="0"/>
        <w:spacing w:line="360" w:lineRule="auto"/>
        <w:jc w:val="both"/>
      </w:pPr>
      <w:r>
        <w:t>W</w:t>
      </w:r>
      <w:r w:rsidRPr="001A6261">
        <w:t xml:space="preserve">hen </w:t>
      </w:r>
      <w:r>
        <w:t xml:space="preserve">the </w:t>
      </w:r>
      <w:r w:rsidRPr="001A6261">
        <w:t>treatment is started very early</w:t>
      </w:r>
      <w:r>
        <w:t>,</w:t>
      </w:r>
      <w:r w:rsidRPr="001A6261">
        <w:t xml:space="preserve"> </w:t>
      </w:r>
      <w:r>
        <w:t>c</w:t>
      </w:r>
      <w:r w:rsidRPr="001A6261">
        <w:t xml:space="preserve">ancer </w:t>
      </w:r>
      <w:r>
        <w:t>patients are</w:t>
      </w:r>
      <w:r w:rsidRPr="001A6261">
        <w:t xml:space="preserve"> </w:t>
      </w:r>
      <w:r>
        <w:t xml:space="preserve">usually </w:t>
      </w:r>
      <w:r w:rsidRPr="001A6261">
        <w:t>easier to treat and</w:t>
      </w:r>
      <w:r>
        <w:t xml:space="preserve"> they are</w:t>
      </w:r>
      <w:r w:rsidRPr="001A6261">
        <w:t xml:space="preserve"> less likely to develop drug resistance. Cancer cells in very early stages are less likely to have mutations that make them resistant to treatment, this </w:t>
      </w:r>
      <w:r>
        <w:t xml:space="preserve">eventually </w:t>
      </w:r>
      <w:r w:rsidRPr="001A6261">
        <w:t>improve remission rate and long-term survival</w:t>
      </w:r>
      <w:r>
        <w:t>.</w:t>
      </w:r>
      <w:r w:rsidRPr="001A6261">
        <w:t xml:space="preserve"> </w:t>
      </w:r>
      <w:r w:rsidR="004D56C5" w:rsidRPr="001A6261">
        <w:t>However, in many patients, cancer is not detected and treated until cancer cells have already metastasised</w:t>
      </w:r>
      <w:r w:rsidR="004D56C5">
        <w:t xml:space="preserve"> to</w:t>
      </w:r>
      <w:r w:rsidR="004D56C5" w:rsidRPr="001A6261">
        <w:t xml:space="preserve"> the other tissues.</w:t>
      </w:r>
      <w:r w:rsidR="004D56C5">
        <w:t xml:space="preserve"> </w:t>
      </w:r>
      <w:r w:rsidRPr="00AA4408">
        <w:t>To date, no effective treatment is available for advanced cancers, which remain a major cause of morbidity and mortality</w:t>
      </w:r>
      <w:r>
        <w:t xml:space="preserve"> </w:t>
      </w:r>
      <w:r>
        <w:fldChar w:fldCharType="begin"/>
      </w:r>
      <w:r w:rsidR="006F41FE">
        <w:instrText xml:space="preserve"> ADDIN EN.CITE &lt;EndNote&gt;&lt;Cite&gt;&lt;Author&gt;Alaoui-Jamali&lt;/Author&gt;&lt;Year&gt;2006&lt;/Year&gt;&lt;RecNum&gt;4910&lt;/RecNum&gt;&lt;DisplayText&gt;(Alaoui-Jamali and Xu, 2006)&lt;/DisplayText&gt;&lt;record&gt;&lt;rec-number&gt;4910&lt;/rec-number&gt;&lt;foreign-keys&gt;&lt;key app="EN" db-id="zf0awxsaczrdd3eft5qvw9wrtxxawdfrvw2a"&gt;4910&lt;/key&gt;&lt;/foreign-keys&gt;&lt;ref-type name="Journal Article"&gt;17&lt;/ref-type&gt;&lt;contributors&gt;&lt;authors&gt;&lt;author&gt;Alaoui-Jamali, M. A.&lt;/author&gt;&lt;author&gt;Xu, Y. J.&lt;/author&gt;&lt;/authors&gt;&lt;/contributors&gt;&lt;auth-address&gt;Lady Davis Institute for Medical Research and Segal Comprehensive Cancer Center, Sir Mortimer B. Davis Jewish General Hospital, McGill University, Montreal, Que. H3T 1E2, Canada. moulay.alaoui-jamali@mcgill.ca&lt;/auth-address&gt;&lt;titles&gt;&lt;title&gt;Proteomic technology for biomarker profiling in cancer: an update&lt;/title&gt;&lt;secondary-title&gt;J Zhejiang Univ Sci B&lt;/secondary-title&gt;&lt;/titles&gt;&lt;periodical&gt;&lt;full-title&gt;J Zhejiang Univ Sci B&lt;/full-title&gt;&lt;/periodical&gt;&lt;pages&gt;411-20&lt;/pages&gt;&lt;volume&gt;7&lt;/volume&gt;&lt;number&gt;6&lt;/number&gt;&lt;edition&gt;2006/04/21&lt;/edition&gt;&lt;keywords&gt;&lt;keyword&gt;Humans&lt;/keyword&gt;&lt;keyword&gt;Neoplasm Proteins/analysis&lt;/keyword&gt;&lt;keyword&gt;Neoplasms/*chemistry&lt;/keyword&gt;&lt;keyword&gt;Proteomics/*methods&lt;/keyword&gt;&lt;keyword&gt;Tumor Markers, Biological/*analysis&lt;/keyword&gt;&lt;/keywords&gt;&lt;dates&gt;&lt;year&gt;2006&lt;/year&gt;&lt;pub-dates&gt;&lt;date&gt;Jun&lt;/date&gt;&lt;/pub-dates&gt;&lt;/dates&gt;&lt;isbn&gt;1673-1581 (Print)&amp;#xD;1673-1581 (Linking)&lt;/isbn&gt;&lt;accession-num&gt;16625706&lt;/accession-num&gt;&lt;urls&gt;&lt;related-urls&gt;&lt;url&gt;http://www.ncbi.nlm.nih.gov/pubmed/16625706&lt;/url&gt;&lt;/related-urls&gt;&lt;/urls&gt;&lt;custom2&gt;1473998&lt;/custom2&gt;&lt;electronic-resource-num&gt;10.1631/jzus.2006.B0411&lt;/electronic-resource-num&gt;&lt;language&gt;eng&lt;/language&gt;&lt;/record&gt;&lt;/Cite&gt;&lt;/EndNote&gt;</w:instrText>
      </w:r>
      <w:r>
        <w:fldChar w:fldCharType="separate"/>
      </w:r>
      <w:r w:rsidR="006F41FE">
        <w:rPr>
          <w:noProof/>
        </w:rPr>
        <w:t>(</w:t>
      </w:r>
      <w:hyperlink w:anchor="_ENREF_9" w:tooltip="Alaoui-Jamali, 2006 #4910" w:history="1">
        <w:r w:rsidR="004A784D">
          <w:rPr>
            <w:noProof/>
          </w:rPr>
          <w:t>Alaoui-Jamali and Xu, 2006</w:t>
        </w:r>
      </w:hyperlink>
      <w:r w:rsidR="006F41FE">
        <w:rPr>
          <w:noProof/>
        </w:rPr>
        <w:t>)</w:t>
      </w:r>
      <w:r>
        <w:fldChar w:fldCharType="end"/>
      </w:r>
      <w:r>
        <w:t>.</w:t>
      </w:r>
    </w:p>
    <w:p w:rsidR="00856253" w:rsidRDefault="00B61503" w:rsidP="00057B42">
      <w:pPr>
        <w:autoSpaceDE w:val="0"/>
        <w:autoSpaceDN w:val="0"/>
        <w:adjustRightInd w:val="0"/>
        <w:spacing w:line="360" w:lineRule="auto"/>
        <w:jc w:val="both"/>
      </w:pPr>
      <w:r w:rsidRPr="001A6261">
        <w:t xml:space="preserve"> </w:t>
      </w:r>
    </w:p>
    <w:p w:rsidR="00856253" w:rsidRDefault="00B61503" w:rsidP="00057B42">
      <w:pPr>
        <w:autoSpaceDE w:val="0"/>
        <w:autoSpaceDN w:val="0"/>
        <w:adjustRightInd w:val="0"/>
        <w:spacing w:line="360" w:lineRule="auto"/>
        <w:jc w:val="both"/>
      </w:pPr>
      <w:r w:rsidRPr="001A6261">
        <w:t xml:space="preserve">Despite the urgent need to discover </w:t>
      </w:r>
      <w:r w:rsidRPr="001A6261">
        <w:rPr>
          <w:rStyle w:val="nbapihighlight"/>
        </w:rPr>
        <w:t>serum</w:t>
      </w:r>
      <w:r w:rsidRPr="001A6261">
        <w:t xml:space="preserve"> biomarkers for the early detection of disease, the number of new biomarkers reaching routine clinical use remain</w:t>
      </w:r>
      <w:r w:rsidR="00AF4EEC">
        <w:t xml:space="preserve">s very low. In </w:t>
      </w:r>
      <w:r w:rsidR="00AF4DC1">
        <w:t xml:space="preserve">the </w:t>
      </w:r>
      <w:r w:rsidR="00AF4EEC">
        <w:t>clinical setting for a</w:t>
      </w:r>
      <w:r w:rsidRPr="001A6261">
        <w:t xml:space="preserve"> bio marker to be effective </w:t>
      </w:r>
      <w:r w:rsidR="00AF4DC1">
        <w:t xml:space="preserve">it </w:t>
      </w:r>
      <w:r w:rsidRPr="001A6261">
        <w:t xml:space="preserve">should be quantifiable in an accessible </w:t>
      </w:r>
      <w:r w:rsidRPr="001A6261">
        <w:rPr>
          <w:rStyle w:val="nbapihighlight"/>
        </w:rPr>
        <w:t>body fluid</w:t>
      </w:r>
      <w:r w:rsidRPr="001A6261">
        <w:t xml:space="preserve"> such as </w:t>
      </w:r>
      <w:r w:rsidRPr="001A6261">
        <w:rPr>
          <w:rStyle w:val="nbapihighlight"/>
        </w:rPr>
        <w:t>serum</w:t>
      </w:r>
      <w:r w:rsidRPr="001A6261">
        <w:t xml:space="preserve"> or blood. As these fluids are a protein-rich information source that possibly contains traces of whatever the </w:t>
      </w:r>
      <w:r w:rsidRPr="001A6261">
        <w:rPr>
          <w:rStyle w:val="nbapihighlight"/>
        </w:rPr>
        <w:t>blood</w:t>
      </w:r>
      <w:r w:rsidRPr="001A6261">
        <w:t xml:space="preserve"> has encountered on its constant perfusion and percolation throughout the body, proteomics might offer the best chance of discovering early-stage changes. </w:t>
      </w:r>
      <w:r w:rsidRPr="001A6261">
        <w:lastRenderedPageBreak/>
        <w:t xml:space="preserve">Improvement in biomarker discovery is </w:t>
      </w:r>
      <w:r>
        <w:t xml:space="preserve">further </w:t>
      </w:r>
      <w:r w:rsidRPr="001A6261">
        <w:t>expected with development of additional</w:t>
      </w:r>
      <w:r>
        <w:t xml:space="preserve"> proteomic methods and </w:t>
      </w:r>
      <w:r w:rsidRPr="001A6261">
        <w:t xml:space="preserve">advances in MS and quantitative proteomics. </w:t>
      </w:r>
    </w:p>
    <w:p w:rsidR="00856253" w:rsidRDefault="00856253" w:rsidP="00057B42">
      <w:pPr>
        <w:autoSpaceDE w:val="0"/>
        <w:autoSpaceDN w:val="0"/>
        <w:adjustRightInd w:val="0"/>
        <w:spacing w:line="360" w:lineRule="auto"/>
        <w:jc w:val="both"/>
      </w:pPr>
    </w:p>
    <w:p w:rsidR="00B61503" w:rsidRPr="001A6261" w:rsidRDefault="00B61503" w:rsidP="00057B42">
      <w:pPr>
        <w:autoSpaceDE w:val="0"/>
        <w:autoSpaceDN w:val="0"/>
        <w:adjustRightInd w:val="0"/>
        <w:spacing w:line="360" w:lineRule="auto"/>
        <w:jc w:val="both"/>
      </w:pPr>
      <w:r w:rsidRPr="001A6261">
        <w:t>The new proteomic technologies such as multiplex arrays have considerable benefit. This technique enables simultaneous quantification of multiple analyte</w:t>
      </w:r>
      <w:r w:rsidR="00AF4DC1">
        <w:t>s</w:t>
      </w:r>
      <w:r w:rsidRPr="001A6261">
        <w:t xml:space="preserve">. Single protein measurement can be laborious, time consuming, and costly, whereas concurrent measurement of multiple biomarkers permits reduced sample consumption, technician time, and reagent volumes and increases sample throughput. </w:t>
      </w:r>
    </w:p>
    <w:p w:rsidR="00B61503" w:rsidRPr="001A6261" w:rsidRDefault="00B61503" w:rsidP="00057B42">
      <w:pPr>
        <w:autoSpaceDE w:val="0"/>
        <w:autoSpaceDN w:val="0"/>
        <w:adjustRightInd w:val="0"/>
        <w:spacing w:line="360" w:lineRule="auto"/>
        <w:jc w:val="both"/>
      </w:pPr>
    </w:p>
    <w:p w:rsidR="00B61503" w:rsidRPr="001A6261" w:rsidRDefault="001C5327" w:rsidP="00645687">
      <w:pPr>
        <w:pStyle w:val="Heading2"/>
        <w:numPr>
          <w:ilvl w:val="3"/>
          <w:numId w:val="19"/>
        </w:numPr>
      </w:pPr>
      <w:bookmarkStart w:id="1777" w:name="_Toc302582413"/>
      <w:bookmarkStart w:id="1778" w:name="_Toc305690073"/>
      <w:bookmarkStart w:id="1779" w:name="_Toc306570765"/>
      <w:bookmarkStart w:id="1780" w:name="_Toc307067825"/>
      <w:r>
        <w:rPr>
          <w:sz w:val="24"/>
          <w:szCs w:val="24"/>
        </w:rPr>
        <w:t xml:space="preserve"> </w:t>
      </w:r>
      <w:r>
        <w:rPr>
          <w:sz w:val="24"/>
          <w:szCs w:val="24"/>
        </w:rPr>
        <w:tab/>
      </w:r>
      <w:bookmarkStart w:id="1781" w:name="_Toc312169392"/>
      <w:bookmarkStart w:id="1782" w:name="_Toc312172319"/>
      <w:bookmarkStart w:id="1783" w:name="_Toc312257868"/>
      <w:r w:rsidR="00B61503" w:rsidRPr="001A6261">
        <w:t>Serum proteomics and MM predictive b</w:t>
      </w:r>
      <w:r w:rsidR="00B61503">
        <w:t>iomarker d</w:t>
      </w:r>
      <w:r w:rsidR="00B61503" w:rsidRPr="001A6261">
        <w:t>iscovery</w:t>
      </w:r>
      <w:bookmarkEnd w:id="1777"/>
      <w:bookmarkEnd w:id="1778"/>
      <w:bookmarkEnd w:id="1779"/>
      <w:bookmarkEnd w:id="1780"/>
      <w:bookmarkEnd w:id="1781"/>
      <w:bookmarkEnd w:id="1782"/>
      <w:bookmarkEnd w:id="1783"/>
    </w:p>
    <w:p w:rsidR="00B61503" w:rsidRDefault="00B61503" w:rsidP="00057B42">
      <w:pPr>
        <w:spacing w:before="200" w:line="360" w:lineRule="auto"/>
        <w:jc w:val="both"/>
        <w:rPr>
          <w:color w:val="000000"/>
        </w:rPr>
      </w:pPr>
      <w:r w:rsidRPr="001A6261">
        <w:rPr>
          <w:color w:val="000000"/>
        </w:rPr>
        <w:t xml:space="preserve">The high incidence of resistance to anti-myeloma drugs and severe side effects of chemotherapy have led to a search for biomarkers able to predict </w:t>
      </w:r>
      <w:r>
        <w:rPr>
          <w:color w:val="000000"/>
        </w:rPr>
        <w:t xml:space="preserve">certain outcome. </w:t>
      </w:r>
      <w:r w:rsidRPr="001A6261">
        <w:rPr>
          <w:color w:val="000000"/>
        </w:rPr>
        <w:t xml:space="preserve">Predictive biomarkers can be used to predict the efficacy of a specific </w:t>
      </w:r>
      <w:r w:rsidR="001C5327" w:rsidRPr="001A6261">
        <w:rPr>
          <w:color w:val="000000"/>
        </w:rPr>
        <w:t>anti-MM</w:t>
      </w:r>
      <w:r w:rsidRPr="001A6261">
        <w:rPr>
          <w:color w:val="000000"/>
        </w:rPr>
        <w:t xml:space="preserve"> therapy. Finding reliable biomarkers that are indicators of a certain </w:t>
      </w:r>
      <w:r>
        <w:rPr>
          <w:color w:val="000000"/>
        </w:rPr>
        <w:t>outcome</w:t>
      </w:r>
      <w:r w:rsidRPr="001A6261">
        <w:rPr>
          <w:color w:val="000000"/>
        </w:rPr>
        <w:t xml:space="preserve"> is difficult. </w:t>
      </w:r>
      <w:r>
        <w:rPr>
          <w:color w:val="000000"/>
        </w:rPr>
        <w:t>But</w:t>
      </w:r>
      <w:r w:rsidRPr="001A6261">
        <w:rPr>
          <w:color w:val="000000"/>
        </w:rPr>
        <w:t xml:space="preserve"> when looking for biomarkers that can predict a certain clinical response to a specific medication, the task becomes even more challenging</w:t>
      </w:r>
      <w:r>
        <w:rPr>
          <w:color w:val="000000"/>
        </w:rPr>
        <w:t xml:space="preserve"> </w:t>
      </w:r>
      <w:r>
        <w:rPr>
          <w:color w:val="000000"/>
        </w:rPr>
        <w:fldChar w:fldCharType="begin"/>
      </w:r>
      <w:r w:rsidR="006F41FE">
        <w:rPr>
          <w:color w:val="000000"/>
        </w:rPr>
        <w:instrText xml:space="preserve"> ADDIN EN.CITE &lt;EndNote&gt;&lt;Cite&gt;&lt;Author&gt;Tyson&lt;/Author&gt;&lt;Year&gt;2008&lt;/Year&gt;&lt;RecNum&gt;4900&lt;/RecNum&gt;&lt;DisplayText&gt;(Tyson and Ornstein, 2008)&lt;/DisplayText&gt;&lt;record&gt;&lt;rec-number&gt;4900&lt;/rec-number&gt;&lt;foreign-keys&gt;&lt;key app="EN" db-id="zf0awxsaczrdd3eft5qvw9wrtxxawdfrvw2a"&gt;4900&lt;/key&gt;&lt;/foreign-keys&gt;&lt;ref-type name="Journal Article"&gt;17&lt;/ref-type&gt;&lt;contributors&gt;&lt;authors&gt;&lt;author&gt;Tyson, D. R.&lt;/author&gt;&lt;author&gt;Ornstein, D. K.&lt;/author&gt;&lt;/authors&gt;&lt;/contributors&gt;&lt;auth-address&gt;Department of Urology and Physiology University of California Irvine Medical Center, Orange, CA 92868, USA. darren@uci.edu&lt;/auth-address&gt;&lt;titles&gt;&lt;title&gt;Proteomics of cancer of hormone-dependent tissues&lt;/title&gt;&lt;secondary-title&gt;Adv Exp Med Biol&lt;/secondary-title&gt;&lt;/titles&gt;&lt;periodical&gt;&lt;full-title&gt;Adv Exp Med Biol&lt;/full-title&gt;&lt;/periodical&gt;&lt;pages&gt;133-47&lt;/pages&gt;&lt;volume&gt;630&lt;/volume&gt;&lt;edition&gt;2008/07/22&lt;/edition&gt;&lt;keywords&gt;&lt;keyword&gt;Body Fluids/chemistry&lt;/keyword&gt;&lt;keyword&gt;Humans&lt;/keyword&gt;&lt;keyword&gt;Neoplasm Proteins/*analysis/metabolism&lt;/keyword&gt;&lt;keyword&gt;Neoplasms/diagnosis/*metabolism/pathology&lt;/keyword&gt;&lt;keyword&gt;Neoplasms, Hormone-Dependent/*metabolism&lt;/keyword&gt;&lt;keyword&gt;*Proteomics/methods/trends&lt;/keyword&gt;&lt;keyword&gt;Tumor Cells, Cultured&lt;/keyword&gt;&lt;keyword&gt;Tumor Markers, Biological/analysis&lt;/keyword&gt;&lt;/keywords&gt;&lt;dates&gt;&lt;year&gt;2008&lt;/year&gt;&lt;/dates&gt;&lt;isbn&gt;0065-2598 (Print)&amp;#xD;0065-2598 (Linking)&lt;/isbn&gt;&lt;accession-num&gt;18637489&lt;/accession-num&gt;&lt;urls&gt;&lt;related-urls&gt;&lt;url&gt;http://www.ncbi.nlm.nih.gov/pubmed/18637489&lt;/url&gt;&lt;/related-urls&gt;&lt;/urls&gt;&lt;language&gt;eng&lt;/language&gt;&lt;/record&gt;&lt;/Cite&gt;&lt;/EndNote&gt;</w:instrText>
      </w:r>
      <w:r>
        <w:rPr>
          <w:color w:val="000000"/>
        </w:rPr>
        <w:fldChar w:fldCharType="separate"/>
      </w:r>
      <w:r w:rsidR="006F41FE">
        <w:rPr>
          <w:noProof/>
          <w:color w:val="000000"/>
        </w:rPr>
        <w:t>(</w:t>
      </w:r>
      <w:hyperlink w:anchor="_ENREF_423" w:tooltip="Tyson, 2008 #4900" w:history="1">
        <w:r w:rsidR="004A784D">
          <w:rPr>
            <w:noProof/>
            <w:color w:val="000000"/>
          </w:rPr>
          <w:t>Tyson and Ornstein, 2008</w:t>
        </w:r>
      </w:hyperlink>
      <w:r w:rsidR="006F41FE">
        <w:rPr>
          <w:noProof/>
          <w:color w:val="000000"/>
        </w:rPr>
        <w:t>)</w:t>
      </w:r>
      <w:r>
        <w:rPr>
          <w:color w:val="000000"/>
        </w:rPr>
        <w:fldChar w:fldCharType="end"/>
      </w:r>
      <w:r w:rsidRPr="001A6261">
        <w:rPr>
          <w:color w:val="000000"/>
        </w:rPr>
        <w:t xml:space="preserve">. </w:t>
      </w:r>
    </w:p>
    <w:p w:rsidR="00856253" w:rsidRDefault="00B61503" w:rsidP="00057B42">
      <w:pPr>
        <w:spacing w:before="200" w:line="360" w:lineRule="auto"/>
        <w:jc w:val="both"/>
        <w:rPr>
          <w:color w:val="000000"/>
        </w:rPr>
      </w:pPr>
      <w:r w:rsidRPr="001A6261">
        <w:rPr>
          <w:color w:val="000000"/>
        </w:rPr>
        <w:t xml:space="preserve">In this study, we have attempted to develop a proteomic profile using an easy accessible platform that will support clinicians in individualizing treatment by identifying patients that will have a high likelihood of response to thalidomide-based therapy. However, </w:t>
      </w:r>
      <w:r w:rsidR="00AF4DC1">
        <w:rPr>
          <w:color w:val="000000"/>
        </w:rPr>
        <w:t xml:space="preserve">the </w:t>
      </w:r>
      <w:r w:rsidRPr="001A6261">
        <w:rPr>
          <w:color w:val="000000"/>
        </w:rPr>
        <w:t xml:space="preserve">detection of panel of potential proteomic biomarkers from body fluids, such as serum of MM patients could be a great challenge. </w:t>
      </w:r>
      <w:r>
        <w:rPr>
          <w:color w:val="000000"/>
        </w:rPr>
        <w:t xml:space="preserve">Serum </w:t>
      </w:r>
      <w:r w:rsidRPr="001A6261">
        <w:rPr>
          <w:color w:val="000000"/>
        </w:rPr>
        <w:t>has been termed as the most complex human proteome with considerable differences in the concentrations of individual protein. The protein content of human serum is composed of a variety of proteins from almost every type of cell and tissue within the body</w:t>
      </w:r>
      <w:r>
        <w:rPr>
          <w:color w:val="000000"/>
        </w:rPr>
        <w:t xml:space="preserve"> </w:t>
      </w:r>
      <w:r>
        <w:rPr>
          <w:color w:val="000000"/>
        </w:rPr>
        <w:fldChar w:fldCharType="begin"/>
      </w:r>
      <w:r w:rsidR="006F41FE">
        <w:rPr>
          <w:color w:val="000000"/>
        </w:rPr>
        <w:instrText xml:space="preserve"> ADDIN EN.CITE &lt;EndNote&gt;&lt;Cite&gt;&lt;Author&gt;Reading&lt;/Author&gt;&lt;Year&gt;1990&lt;/Year&gt;&lt;RecNum&gt;4790&lt;/RecNum&gt;&lt;DisplayText&gt;(Reading et al., 1990)&lt;/DisplayText&gt;&lt;record&gt;&lt;rec-number&gt;4790&lt;/rec-number&gt;&lt;foreign-keys&gt;&lt;key app="EN" db-id="zf0awxsaczrdd3eft5qvw9wrtxxawdfrvw2a"&gt;4790&lt;/key&gt;&lt;/foreign-keys&gt;&lt;ref-type name="Journal Article"&gt;17&lt;/ref-type&gt;&lt;contributors&gt;&lt;authors&gt;&lt;author&gt;Reading, R. F.&lt;/author&gt;&lt;author&gt;Ellis, R.&lt;/author&gt;&lt;author&gt;Fleetwood, A.&lt;/author&gt;&lt;/authors&gt;&lt;/contributors&gt;&lt;auth-address&gt;Princess Mary Maternity Hospital, Newcastle upon Tyne, U.K.&lt;/auth-address&gt;&lt;titles&gt;&lt;title&gt;Plasma albumin and total protein in preterm babies from birth to eight weeks&lt;/title&gt;&lt;secondary-title&gt;Early Hum Dev&lt;/secondary-title&gt;&lt;/titles&gt;&lt;periodical&gt;&lt;full-title&gt;Early Hum Dev&lt;/full-title&gt;&lt;/periodical&gt;&lt;pages&gt;81-7&lt;/pages&gt;&lt;volume&gt;22&lt;/volume&gt;&lt;number&gt;2&lt;/number&gt;&lt;edition&gt;1990/05/01&lt;/edition&gt;&lt;keywords&gt;&lt;keyword&gt;Blood Proteins/*analysis&lt;/keyword&gt;&lt;keyword&gt;Gestational Age&lt;/keyword&gt;&lt;keyword&gt;Humans&lt;/keyword&gt;&lt;keyword&gt;Infant&lt;/keyword&gt;&lt;keyword&gt;Infant, Newborn&lt;/keyword&gt;&lt;keyword&gt;Infant, Premature/*blood&lt;/keyword&gt;&lt;keyword&gt;Longitudinal Studies&lt;/keyword&gt;&lt;keyword&gt;Serum Albumin/*analysis&lt;/keyword&gt;&lt;/keywords&gt;&lt;dates&gt;&lt;year&gt;1990&lt;/year&gt;&lt;pub-dates&gt;&lt;date&gt;May&lt;/date&gt;&lt;/pub-dates&gt;&lt;/dates&gt;&lt;isbn&gt;0378-3782 (Print)&amp;#xD;0378-3782 (Linking)&lt;/isbn&gt;&lt;accession-num&gt;2364907&lt;/accession-num&gt;&lt;urls&gt;&lt;related-urls&gt;&lt;url&gt;http://www.ncbi.nlm.nih.gov/pubmed/2364907&lt;/url&gt;&lt;/related-urls&gt;&lt;/urls&gt;&lt;language&gt;eng&lt;/language&gt;&lt;/record&gt;&lt;/Cite&gt;&lt;/EndNote&gt;</w:instrText>
      </w:r>
      <w:r>
        <w:rPr>
          <w:color w:val="000000"/>
        </w:rPr>
        <w:fldChar w:fldCharType="separate"/>
      </w:r>
      <w:r w:rsidR="006F41FE">
        <w:rPr>
          <w:noProof/>
          <w:color w:val="000000"/>
        </w:rPr>
        <w:t>(</w:t>
      </w:r>
      <w:hyperlink w:anchor="_ENREF_340" w:tooltip="Reading, 1990 #4790" w:history="1">
        <w:r w:rsidR="004A784D">
          <w:rPr>
            <w:noProof/>
            <w:color w:val="000000"/>
          </w:rPr>
          <w:t>Reading et al., 1990</w:t>
        </w:r>
      </w:hyperlink>
      <w:r w:rsidR="006F41FE">
        <w:rPr>
          <w:noProof/>
          <w:color w:val="000000"/>
        </w:rPr>
        <w:t>)</w:t>
      </w:r>
      <w:r>
        <w:rPr>
          <w:color w:val="000000"/>
        </w:rPr>
        <w:fldChar w:fldCharType="end"/>
      </w:r>
      <w:r w:rsidRPr="001A6261">
        <w:rPr>
          <w:color w:val="000000"/>
        </w:rPr>
        <w:t xml:space="preserve">. </w:t>
      </w:r>
      <w:r>
        <w:rPr>
          <w:color w:val="000000"/>
        </w:rPr>
        <w:t>Se</w:t>
      </w:r>
      <w:r w:rsidRPr="001A6261">
        <w:rPr>
          <w:color w:val="000000"/>
        </w:rPr>
        <w:t>rum has been shown to contain proteins that directly reflects pathophysiological states and represents an invaluable source of diagnostic information for a variety of different diseases</w:t>
      </w:r>
      <w:r>
        <w:rPr>
          <w:color w:val="000000"/>
        </w:rPr>
        <w:t xml:space="preserve"> </w:t>
      </w:r>
      <w:r>
        <w:rPr>
          <w:color w:val="000000"/>
        </w:rPr>
        <w:fldChar w:fldCharType="begin"/>
      </w:r>
      <w:r w:rsidR="006F41FE">
        <w:rPr>
          <w:color w:val="000000"/>
        </w:rPr>
        <w:instrText xml:space="preserve"> ADDIN EN.CITE &lt;EndNote&gt;&lt;Cite&gt;&lt;Author&gt;Gomolin&lt;/Author&gt;&lt;Year&gt;1992&lt;/Year&gt;&lt;RecNum&gt;4774&lt;/RecNum&gt;&lt;DisplayText&gt;(Gomolin and Chapron, 1992)&lt;/DisplayText&gt;&lt;record&gt;&lt;rec-number&gt;4774&lt;/rec-number&gt;&lt;foreign-keys&gt;&lt;key app="EN" db-id="zf0awxsaczrdd3eft5qvw9wrtxxawdfrvw2a"&gt;4774&lt;/key&gt;&lt;/foreign-keys&gt;&lt;ref-type name="Journal Article"&gt;17&lt;/ref-type&gt;&lt;contributors&gt;&lt;authors&gt;&lt;author&gt;Gomolin, I. H.&lt;/author&gt;&lt;author&gt;Chapron, D. J.&lt;/author&gt;&lt;/authors&gt;&lt;/contributors&gt;&lt;auth-address&gt;Hebrew Home and Hospital, West Hartford, Connecticut.&lt;/auth-address&gt;&lt;titles&gt;&lt;title&gt;Elucidating the relationship between acetazolamide plasma protein binding and renal clearance using an albumin infusion&lt;/title&gt;&lt;secondary-title&gt;J Clin Pharmacol&lt;/secondary-title&gt;&lt;/titles&gt;&lt;periodical&gt;&lt;full-title&gt;J Clin Pharmacol&lt;/full-title&gt;&lt;/periodical&gt;&lt;pages&gt;1028-32&lt;/pages&gt;&lt;volume&gt;32&lt;/volume&gt;&lt;number&gt;11&lt;/number&gt;&lt;edition&gt;1992/11/01&lt;/edition&gt;&lt;keywords&gt;&lt;keyword&gt;Acetazolamide/*blood&lt;/keyword&gt;&lt;keyword&gt;Aged&lt;/keyword&gt;&lt;keyword&gt;Aged, 80 and over&lt;/keyword&gt;&lt;keyword&gt;Blood Proteins/*metabolism&lt;/keyword&gt;&lt;keyword&gt;Humans&lt;/keyword&gt;&lt;keyword&gt;Infusions, Intravenous&lt;/keyword&gt;&lt;keyword&gt;Kidney/*metabolism&lt;/keyword&gt;&lt;keyword&gt;Male&lt;/keyword&gt;&lt;keyword&gt;Metabolic Clearance Rate&lt;/keyword&gt;&lt;keyword&gt;Protein Binding&lt;/keyword&gt;&lt;keyword&gt;Serum Albumin/administration &amp;amp; dosage&lt;/keyword&gt;&lt;/keywords&gt;&lt;dates&gt;&lt;year&gt;1992&lt;/year&gt;&lt;pub-dates&gt;&lt;date&gt;Nov&lt;/date&gt;&lt;/pub-dates&gt;&lt;/dates&gt;&lt;isbn&gt;0091-2700 (Print)&amp;#xD;0091-2700 (Linking)&lt;/isbn&gt;&lt;accession-num&gt;1474164&lt;/accession-num&gt;&lt;urls&gt;&lt;related-urls&gt;&lt;url&gt;http://www.ncbi.nlm.nih.gov/pubmed/1474164&lt;/url&gt;&lt;/related-urls&gt;&lt;/urls&gt;&lt;language&gt;eng&lt;/language&gt;&lt;/record&gt;&lt;/Cite&gt;&lt;/EndNote&gt;</w:instrText>
      </w:r>
      <w:r>
        <w:rPr>
          <w:color w:val="000000"/>
        </w:rPr>
        <w:fldChar w:fldCharType="separate"/>
      </w:r>
      <w:r w:rsidR="006F41FE">
        <w:rPr>
          <w:noProof/>
          <w:color w:val="000000"/>
        </w:rPr>
        <w:t>(</w:t>
      </w:r>
      <w:hyperlink w:anchor="_ENREF_150" w:tooltip="Gomolin, 1992 #4774" w:history="1">
        <w:r w:rsidR="004A784D">
          <w:rPr>
            <w:noProof/>
            <w:color w:val="000000"/>
          </w:rPr>
          <w:t>Gomolin and Chapron, 1992</w:t>
        </w:r>
      </w:hyperlink>
      <w:r w:rsidR="006F41FE">
        <w:rPr>
          <w:noProof/>
          <w:color w:val="000000"/>
        </w:rPr>
        <w:t>)</w:t>
      </w:r>
      <w:r>
        <w:rPr>
          <w:color w:val="000000"/>
        </w:rPr>
        <w:fldChar w:fldCharType="end"/>
      </w:r>
      <w:r w:rsidRPr="001A6261">
        <w:rPr>
          <w:color w:val="000000"/>
        </w:rPr>
        <w:t xml:space="preserve">. </w:t>
      </w:r>
    </w:p>
    <w:p w:rsidR="00B61503" w:rsidRDefault="00B61503" w:rsidP="00057B42">
      <w:pPr>
        <w:spacing w:before="200" w:line="360" w:lineRule="auto"/>
        <w:jc w:val="both"/>
        <w:rPr>
          <w:color w:val="000000"/>
        </w:rPr>
      </w:pPr>
      <w:r w:rsidRPr="001A6261">
        <w:rPr>
          <w:color w:val="000000"/>
        </w:rPr>
        <w:t>Therefore</w:t>
      </w:r>
      <w:r>
        <w:rPr>
          <w:color w:val="000000"/>
        </w:rPr>
        <w:t>,</w:t>
      </w:r>
      <w:r w:rsidRPr="001A6261">
        <w:rPr>
          <w:color w:val="000000"/>
        </w:rPr>
        <w:t xml:space="preserve"> even though, being a complex body fluid, containing a large number of proteins,</w:t>
      </w:r>
      <w:r>
        <w:rPr>
          <w:color w:val="000000"/>
        </w:rPr>
        <w:t xml:space="preserve"> </w:t>
      </w:r>
      <w:r w:rsidRPr="00B11D1D">
        <w:rPr>
          <w:color w:val="000000"/>
        </w:rPr>
        <w:t>it is estimated that plasma may contain as many as 40,000 different proteins from about 500 gene products</w:t>
      </w:r>
      <w:r>
        <w:rPr>
          <w:color w:val="000000"/>
        </w:rPr>
        <w:t xml:space="preserve"> (Figure 4-3). Therefore,</w:t>
      </w:r>
      <w:r w:rsidRPr="001A6261">
        <w:rPr>
          <w:color w:val="000000"/>
        </w:rPr>
        <w:t xml:space="preserve"> it is expected that </w:t>
      </w:r>
      <w:r w:rsidRPr="001A6261">
        <w:rPr>
          <w:color w:val="000000"/>
        </w:rPr>
        <w:lastRenderedPageBreak/>
        <w:t xml:space="preserve">serum can be an excellent source of protein biomarkers. </w:t>
      </w:r>
      <w:r>
        <w:rPr>
          <w:color w:val="000000"/>
        </w:rPr>
        <w:t xml:space="preserve">Secondary, by </w:t>
      </w:r>
      <w:r w:rsidRPr="001A6261">
        <w:rPr>
          <w:color w:val="000000"/>
        </w:rPr>
        <w:t xml:space="preserve">using </w:t>
      </w:r>
      <w:r>
        <w:rPr>
          <w:color w:val="000000"/>
        </w:rPr>
        <w:t xml:space="preserve">patients </w:t>
      </w:r>
      <w:r w:rsidRPr="001A6261">
        <w:rPr>
          <w:color w:val="000000"/>
        </w:rPr>
        <w:t>serum samples</w:t>
      </w:r>
      <w:r>
        <w:rPr>
          <w:color w:val="000000"/>
        </w:rPr>
        <w:t>,</w:t>
      </w:r>
      <w:r w:rsidRPr="001A6261">
        <w:rPr>
          <w:color w:val="000000"/>
        </w:rPr>
        <w:t xml:space="preserve"> more invasive cancer </w:t>
      </w:r>
      <w:r>
        <w:rPr>
          <w:color w:val="000000"/>
        </w:rPr>
        <w:t xml:space="preserve">investigation such as tissue </w:t>
      </w:r>
      <w:r w:rsidRPr="001A6261">
        <w:rPr>
          <w:color w:val="000000"/>
        </w:rPr>
        <w:t xml:space="preserve">biopsies </w:t>
      </w:r>
      <w:r>
        <w:rPr>
          <w:color w:val="000000"/>
        </w:rPr>
        <w:t>and</w:t>
      </w:r>
      <w:r w:rsidRPr="001A6261">
        <w:rPr>
          <w:color w:val="000000"/>
        </w:rPr>
        <w:t xml:space="preserve"> bone marrow specimens are not needed</w:t>
      </w:r>
      <w:r w:rsidR="00FC0203">
        <w:rPr>
          <w:color w:val="000000"/>
        </w:rPr>
        <w:t>.</w:t>
      </w:r>
    </w:p>
    <w:p w:rsidR="00B61503" w:rsidRDefault="00ED7D82" w:rsidP="00057B42">
      <w:pPr>
        <w:keepNext/>
        <w:spacing w:before="200" w:line="360" w:lineRule="auto"/>
        <w:jc w:val="both"/>
      </w:pPr>
      <w:r>
        <w:rPr>
          <w:noProof/>
          <w:lang w:eastAsia="en-IE"/>
        </w:rPr>
        <w:drawing>
          <wp:inline distT="0" distB="0" distL="0" distR="0" wp14:anchorId="2C28664F" wp14:editId="24E99C99">
            <wp:extent cx="5426075" cy="3726815"/>
            <wp:effectExtent l="0" t="0" r="3175" b="6985"/>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26075" cy="3726815"/>
                    </a:xfrm>
                    <a:prstGeom prst="rect">
                      <a:avLst/>
                    </a:prstGeom>
                    <a:noFill/>
                    <a:ln>
                      <a:noFill/>
                    </a:ln>
                  </pic:spPr>
                </pic:pic>
              </a:graphicData>
            </a:graphic>
          </wp:inline>
        </w:drawing>
      </w:r>
    </w:p>
    <w:p w:rsidR="00B61503" w:rsidRPr="00D74982" w:rsidRDefault="00B61503" w:rsidP="00057B42">
      <w:pPr>
        <w:pBdr>
          <w:bottom w:val="single" w:sz="12" w:space="1" w:color="auto"/>
        </w:pBdr>
        <w:autoSpaceDE w:val="0"/>
        <w:autoSpaceDN w:val="0"/>
        <w:adjustRightInd w:val="0"/>
        <w:spacing w:line="360" w:lineRule="auto"/>
        <w:jc w:val="both"/>
        <w:rPr>
          <w:b/>
        </w:rPr>
      </w:pPr>
      <w:r w:rsidRPr="00D74982">
        <w:rPr>
          <w:b/>
        </w:rPr>
        <w:t xml:space="preserve">Figure </w:t>
      </w:r>
      <w:r w:rsidR="008A68DC">
        <w:rPr>
          <w:b/>
        </w:rPr>
        <w:fldChar w:fldCharType="begin"/>
      </w:r>
      <w:r w:rsidR="008A68DC">
        <w:rPr>
          <w:b/>
        </w:rPr>
        <w:instrText xml:space="preserve"> STYLEREF 1 \s </w:instrText>
      </w:r>
      <w:r w:rsidR="008A68DC">
        <w:rPr>
          <w:b/>
        </w:rPr>
        <w:fldChar w:fldCharType="separate"/>
      </w:r>
      <w:r w:rsidR="0081644B">
        <w:rPr>
          <w:b/>
          <w:noProof/>
        </w:rPr>
        <w:t>4</w:t>
      </w:r>
      <w:r w:rsidR="008A68DC">
        <w:rPr>
          <w:b/>
        </w:rPr>
        <w:fldChar w:fldCharType="end"/>
      </w:r>
      <w:r w:rsidR="008A68DC">
        <w:rPr>
          <w:b/>
        </w:rPr>
        <w:noBreakHyphen/>
      </w:r>
      <w:r w:rsidR="008A68DC">
        <w:rPr>
          <w:b/>
        </w:rPr>
        <w:fldChar w:fldCharType="begin"/>
      </w:r>
      <w:r w:rsidR="008A68DC">
        <w:rPr>
          <w:b/>
        </w:rPr>
        <w:instrText xml:space="preserve"> SEQ Figure \* ARABIC \s 1 </w:instrText>
      </w:r>
      <w:r w:rsidR="008A68DC">
        <w:rPr>
          <w:b/>
        </w:rPr>
        <w:fldChar w:fldCharType="separate"/>
      </w:r>
      <w:r w:rsidR="0081644B">
        <w:rPr>
          <w:b/>
          <w:noProof/>
        </w:rPr>
        <w:t>1</w:t>
      </w:r>
      <w:r w:rsidR="008A68DC">
        <w:rPr>
          <w:b/>
        </w:rPr>
        <w:fldChar w:fldCharType="end"/>
      </w:r>
      <w:r w:rsidRPr="00D74982">
        <w:rPr>
          <w:b/>
        </w:rPr>
        <w:t xml:space="preserve">    Discovery of these biomarkers is particularly challenging, because human plasma contains not only "classic proteins" (such as serum albumin) that are present in high concentrations, but also additional proteins, originating from virtually all cell types and tissues) present in much lower concentrations. (Reproduce from Proteomics National Centre for Research Resource, USA).</w:t>
      </w:r>
    </w:p>
    <w:p w:rsidR="00CD1970" w:rsidRPr="00D74982" w:rsidRDefault="00CD1970" w:rsidP="00057B42">
      <w:pPr>
        <w:pBdr>
          <w:bottom w:val="single" w:sz="12" w:space="1" w:color="auto"/>
        </w:pBdr>
        <w:autoSpaceDE w:val="0"/>
        <w:autoSpaceDN w:val="0"/>
        <w:adjustRightInd w:val="0"/>
        <w:spacing w:line="360" w:lineRule="auto"/>
        <w:jc w:val="both"/>
        <w:rPr>
          <w:b/>
        </w:rPr>
      </w:pPr>
    </w:p>
    <w:p w:rsidR="00B61503" w:rsidRDefault="00B61503" w:rsidP="00057B42">
      <w:pPr>
        <w:pBdr>
          <w:bottom w:val="single" w:sz="12" w:space="1" w:color="auto"/>
        </w:pBdr>
        <w:autoSpaceDE w:val="0"/>
        <w:autoSpaceDN w:val="0"/>
        <w:adjustRightInd w:val="0"/>
        <w:spacing w:line="360" w:lineRule="auto"/>
        <w:jc w:val="both"/>
      </w:pPr>
    </w:p>
    <w:p w:rsidR="00D74982" w:rsidRDefault="00D74982" w:rsidP="00057B42">
      <w:pPr>
        <w:spacing w:before="200" w:line="360" w:lineRule="auto"/>
        <w:jc w:val="both"/>
        <w:rPr>
          <w:color w:val="000000"/>
        </w:rPr>
      </w:pPr>
    </w:p>
    <w:p w:rsidR="00B61503" w:rsidRDefault="00B61503" w:rsidP="00057B42">
      <w:pPr>
        <w:spacing w:before="200" w:line="360" w:lineRule="auto"/>
        <w:jc w:val="both"/>
        <w:rPr>
          <w:color w:val="000000"/>
        </w:rPr>
      </w:pPr>
      <w:r>
        <w:rPr>
          <w:color w:val="000000"/>
        </w:rPr>
        <w:t>Therefore s</w:t>
      </w:r>
      <w:r w:rsidRPr="001A6261">
        <w:rPr>
          <w:color w:val="000000"/>
        </w:rPr>
        <w:t xml:space="preserve">erum proteomics has raised great expectations for the discovery of new biomarkers. </w:t>
      </w:r>
      <w:r>
        <w:rPr>
          <w:color w:val="000000"/>
        </w:rPr>
        <w:t>As discussed, c</w:t>
      </w:r>
      <w:r w:rsidRPr="001A6261">
        <w:rPr>
          <w:color w:val="000000"/>
        </w:rPr>
        <w:t xml:space="preserve">urrently in </w:t>
      </w:r>
      <w:r>
        <w:rPr>
          <w:color w:val="000000"/>
        </w:rPr>
        <w:t xml:space="preserve">the management of </w:t>
      </w:r>
      <w:r w:rsidRPr="001A6261">
        <w:rPr>
          <w:color w:val="000000"/>
        </w:rPr>
        <w:t>MM</w:t>
      </w:r>
      <w:r>
        <w:rPr>
          <w:color w:val="000000"/>
        </w:rPr>
        <w:t>,</w:t>
      </w:r>
      <w:r w:rsidRPr="001A6261">
        <w:rPr>
          <w:color w:val="000000"/>
        </w:rPr>
        <w:t xml:space="preserve"> no therapy predictive biomarker exist</w:t>
      </w:r>
      <w:r>
        <w:rPr>
          <w:color w:val="000000"/>
        </w:rPr>
        <w:t xml:space="preserve">s </w:t>
      </w:r>
      <w:r>
        <w:rPr>
          <w:color w:val="000000"/>
        </w:rPr>
        <w:fldChar w:fldCharType="begin">
          <w:fldData xml:space="preserve">PEVuZE5vdGU+PENpdGU+PEF1dGhvcj5BbGV4YW5kcmFraXM8L0F1dGhvcj48WWVhcj4yMDA3PC9Z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</w:fldData>
        </w:fldChar>
      </w:r>
      <w:r w:rsidR="00857D49">
        <w:rPr>
          <w:color w:val="000000"/>
        </w:rPr>
        <w:instrText xml:space="preserve"> ADDIN EN.CITE </w:instrText>
      </w:r>
      <w:r w:rsidR="00857D49">
        <w:rPr>
          <w:color w:val="000000"/>
        </w:rPr>
        <w:fldChar w:fldCharType="begin">
          <w:fldData xml:space="preserve">PEVuZE5vdGU+PENpdGU+PEF1dGhvcj5BbGV4YW5kcmFraXM8L0F1dGhvcj48WWVhcj4yMDA3PC9Z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</w:fldData>
        </w:fldChar>
      </w:r>
      <w:r w:rsidR="00857D49">
        <w:rPr>
          <w:color w:val="000000"/>
        </w:rPr>
        <w:instrText xml:space="preserve"> ADDIN EN.CITE.DATA </w:instrText>
      </w:r>
      <w:r w:rsidR="00857D49">
        <w:rPr>
          <w:color w:val="000000"/>
        </w:rPr>
      </w:r>
      <w:r w:rsidR="00857D49">
        <w:rPr>
          <w:color w:val="000000"/>
        </w:rPr>
        <w:fldChar w:fldCharType="end"/>
      </w:r>
      <w:r>
        <w:rPr>
          <w:color w:val="000000"/>
        </w:rPr>
      </w:r>
      <w:r>
        <w:rPr>
          <w:color w:val="000000"/>
        </w:rPr>
        <w:fldChar w:fldCharType="separate"/>
      </w:r>
      <w:r w:rsidR="006F41FE">
        <w:rPr>
          <w:noProof/>
          <w:color w:val="000000"/>
        </w:rPr>
        <w:t>(</w:t>
      </w:r>
      <w:hyperlink w:anchor="_ENREF_12" w:tooltip="Alexandrakis, 2007 #6885" w:history="1">
        <w:r w:rsidR="004A784D">
          <w:rPr>
            <w:noProof/>
            <w:color w:val="000000"/>
          </w:rPr>
          <w:t>Alexandrakis et al., 2007</w:t>
        </w:r>
      </w:hyperlink>
      <w:r w:rsidR="006F41FE">
        <w:rPr>
          <w:noProof/>
          <w:color w:val="000000"/>
        </w:rPr>
        <w:t>)</w:t>
      </w:r>
      <w:r>
        <w:rPr>
          <w:color w:val="000000"/>
        </w:rPr>
        <w:fldChar w:fldCharType="end"/>
      </w:r>
      <w:r>
        <w:rPr>
          <w:color w:val="000000"/>
        </w:rPr>
        <w:t xml:space="preserve">. </w:t>
      </w:r>
    </w:p>
    <w:p w:rsidR="00B61503" w:rsidRPr="001A6261" w:rsidRDefault="00B61503" w:rsidP="00057B42">
      <w:pPr>
        <w:spacing w:before="200" w:line="360" w:lineRule="auto"/>
        <w:jc w:val="both"/>
        <w:rPr>
          <w:color w:val="000000"/>
        </w:rPr>
      </w:pPr>
      <w:r w:rsidRPr="001A6261">
        <w:rPr>
          <w:color w:val="000000"/>
        </w:rPr>
        <w:t xml:space="preserve">Our study approach was largely discovery driven and we typically </w:t>
      </w:r>
      <w:r>
        <w:rPr>
          <w:color w:val="000000"/>
        </w:rPr>
        <w:t>relied</w:t>
      </w:r>
      <w:r w:rsidRPr="001A6261">
        <w:rPr>
          <w:color w:val="000000"/>
        </w:rPr>
        <w:t xml:space="preserve"> on finding</w:t>
      </w:r>
      <w:r>
        <w:rPr>
          <w:color w:val="000000"/>
        </w:rPr>
        <w:t xml:space="preserve"> proteins that are</w:t>
      </w:r>
      <w:r w:rsidRPr="001A6261">
        <w:rPr>
          <w:color w:val="000000"/>
        </w:rPr>
        <w:t xml:space="preserve"> more abundant in serum from particular group of patients such as responders and non-responders to thalidomide. We </w:t>
      </w:r>
      <w:r>
        <w:rPr>
          <w:color w:val="000000"/>
        </w:rPr>
        <w:t>work</w:t>
      </w:r>
      <w:r w:rsidR="00AF4DC1">
        <w:rPr>
          <w:color w:val="000000"/>
        </w:rPr>
        <w:t>ed</w:t>
      </w:r>
      <w:r>
        <w:rPr>
          <w:color w:val="000000"/>
        </w:rPr>
        <w:t xml:space="preserve"> on </w:t>
      </w:r>
      <w:r w:rsidR="00AF4DC1">
        <w:rPr>
          <w:color w:val="000000"/>
        </w:rPr>
        <w:t xml:space="preserve">the </w:t>
      </w:r>
      <w:r>
        <w:rPr>
          <w:color w:val="000000"/>
        </w:rPr>
        <w:t>hypothesis</w:t>
      </w:r>
      <w:r w:rsidRPr="001A6261">
        <w:rPr>
          <w:color w:val="000000"/>
        </w:rPr>
        <w:t xml:space="preserve"> that </w:t>
      </w:r>
      <w:r w:rsidRPr="001A6261">
        <w:rPr>
          <w:color w:val="000000"/>
        </w:rPr>
        <w:lastRenderedPageBreak/>
        <w:t>there is variability in the concentration and state of modification of some human plasma proteins between different individuals patient groups</w:t>
      </w:r>
      <w:r>
        <w:rPr>
          <w:color w:val="000000"/>
        </w:rPr>
        <w:t xml:space="preserve"> associated with treatment sensitivity</w:t>
      </w:r>
      <w:r w:rsidR="00AB7194">
        <w:rPr>
          <w:color w:val="000000"/>
        </w:rPr>
        <w:t xml:space="preserve"> </w:t>
      </w:r>
      <w:r w:rsidR="00AB7194">
        <w:rPr>
          <w:color w:val="000000"/>
        </w:rPr>
        <w:fldChar w:fldCharType="begin"/>
      </w:r>
      <w:r w:rsidR="00AB7194">
        <w:rPr>
          <w:color w:val="000000"/>
        </w:rPr>
        <w:instrText xml:space="preserve"> ADDIN EN.CITE &lt;EndNote&gt;&lt;Cite&gt;&lt;Author&gt;Deng&lt;/Author&gt;&lt;Year&gt;2003&lt;/Year&gt;&lt;RecNum&gt;5705&lt;/RecNum&gt;&lt;DisplayText&gt;(Deng et al., 2003a)&lt;/DisplayText&gt;&lt;record&gt;&lt;rec-number&gt;5705&lt;/rec-number&gt;&lt;foreign-keys&gt;&lt;key app="EN" db-id="zf0awxsaczrdd3eft5qvw9wrtxxawdfrvw2a"&gt;5705&lt;/key&gt;&lt;/foreign-keys&gt;&lt;ref-type name="Journal Article"&gt;17&lt;/ref-type&gt;&lt;contributors&gt;&lt;authors&gt;&lt;author&gt;Deng, M.&lt;/author&gt;&lt;author&gt;Sun, F.&lt;/author&gt;&lt;author&gt;Chen, T.&lt;/author&gt;&lt;/authors&gt;&lt;/contributors&gt;&lt;auth-address&gt;Molecular and Computational Biology Program, Department of Biological Sciences, University of Southern California, 1042 West 36th Place, Los Angeles, CA 90089-1113, USA.&lt;/auth-address&gt;&lt;titles&gt;&lt;title&gt;Assessment of the reliability of protein-protein interactions and protein function prediction&lt;/title&gt;&lt;secondary-title&gt;Pac Symp Biocomput&lt;/secondary-title&gt;&lt;/titles&gt;&lt;periodical&gt;&lt;full-title&gt;Pac Symp Biocomput&lt;/full-title&gt;&lt;/periodical&gt;&lt;pages&gt;140-51&lt;/pages&gt;&lt;edition&gt;2003/02/27&lt;/edition&gt;&lt;keywords&gt;&lt;keyword&gt;*Computational Biology&lt;/keyword&gt;&lt;keyword&gt;*Databases, Protein&lt;/keyword&gt;&lt;keyword&gt;Gene Expression Profiling/statistics &amp;amp; numerical data&lt;/keyword&gt;&lt;keyword&gt;Proteins/genetics/metabolism/*physiology&lt;/keyword&gt;&lt;keyword&gt;Reproducibility of Results&lt;/keyword&gt;&lt;keyword&gt;Sensitivity and Specificity&lt;/keyword&gt;&lt;/keywords&gt;&lt;dates&gt;&lt;year&gt;2003&lt;/year&gt;&lt;/dates&gt;&lt;isbn&gt;1793-5091 (Print)&lt;/isbn&gt;&lt;accession-num&gt;12603024&lt;/accession-num&gt;&lt;urls&gt;&lt;related-urls&gt;&lt;url&gt;http://www.ncbi.nlm.nih.gov/pubmed/12603024&lt;/url&gt;&lt;/related-urls&gt;&lt;/urls&gt;&lt;language&gt;eng&lt;/language&gt;&lt;/record&gt;&lt;/Cite&gt;&lt;/EndNote&gt;</w:instrText>
      </w:r>
      <w:r w:rsidR="00AB7194">
        <w:rPr>
          <w:color w:val="000000"/>
        </w:rPr>
        <w:fldChar w:fldCharType="separate"/>
      </w:r>
      <w:r w:rsidR="00AB7194">
        <w:rPr>
          <w:noProof/>
          <w:color w:val="000000"/>
        </w:rPr>
        <w:t>(</w:t>
      </w:r>
      <w:hyperlink w:anchor="_ENREF_96" w:tooltip="Deng, 2003 #5705" w:history="1">
        <w:r w:rsidR="004A784D">
          <w:rPr>
            <w:noProof/>
            <w:color w:val="000000"/>
          </w:rPr>
          <w:t>Deng et al., 2003a</w:t>
        </w:r>
      </w:hyperlink>
      <w:r w:rsidR="00AB7194">
        <w:rPr>
          <w:noProof/>
          <w:color w:val="000000"/>
        </w:rPr>
        <w:t>)</w:t>
      </w:r>
      <w:r w:rsidR="00AB7194">
        <w:rPr>
          <w:color w:val="000000"/>
        </w:rPr>
        <w:fldChar w:fldCharType="end"/>
      </w:r>
      <w:r w:rsidRPr="001A6261">
        <w:rPr>
          <w:color w:val="000000"/>
        </w:rPr>
        <w:t xml:space="preserve">. </w:t>
      </w:r>
    </w:p>
    <w:p w:rsidR="00D74982" w:rsidRPr="00A416E1" w:rsidRDefault="00B61503" w:rsidP="00057B42">
      <w:pPr>
        <w:spacing w:before="200" w:line="360" w:lineRule="auto"/>
        <w:jc w:val="both"/>
      </w:pPr>
      <w:r w:rsidRPr="001A6261">
        <w:rPr>
          <w:color w:val="000000"/>
        </w:rPr>
        <w:t xml:space="preserve">In this study, </w:t>
      </w:r>
      <w:r w:rsidRPr="001A6261">
        <w:t>the presence of very hi</w:t>
      </w:r>
      <w:r>
        <w:t>ghly abundance</w:t>
      </w:r>
      <w:r w:rsidRPr="001A6261">
        <w:t xml:space="preserve"> proteins and the complexity of</w:t>
      </w:r>
      <w:r>
        <w:t xml:space="preserve"> patient</w:t>
      </w:r>
      <w:r w:rsidRPr="001A6261">
        <w:t xml:space="preserve"> serum proteins present </w:t>
      </w:r>
      <w:r>
        <w:t xml:space="preserve">us </w:t>
      </w:r>
      <w:r w:rsidRPr="001A6261">
        <w:t xml:space="preserve">with a </w:t>
      </w:r>
      <w:r>
        <w:t xml:space="preserve">significant </w:t>
      </w:r>
      <w:r w:rsidRPr="001A6261">
        <w:t>challenge. Unfortunately, the dynamic range of protein abundance, range fro</w:t>
      </w:r>
      <w:r w:rsidR="00AF4DC1">
        <w:t>m grams to picograms per litter</w:t>
      </w:r>
      <w:r w:rsidRPr="001A6261">
        <w:t xml:space="preserve"> making it technically difficult to </w:t>
      </w:r>
      <w:r>
        <w:t xml:space="preserve">assess the spectrum of </w:t>
      </w:r>
      <w:r w:rsidR="00A416E1">
        <w:t>various</w:t>
      </w:r>
      <w:r>
        <w:t xml:space="preserve"> protein </w:t>
      </w:r>
      <w:r w:rsidR="00A416E1">
        <w:t>concentrations</w:t>
      </w:r>
      <w:r>
        <w:t xml:space="preserve"> </w:t>
      </w:r>
      <w:r w:rsidR="00AF4DC1">
        <w:t>(</w:t>
      </w:r>
      <w:r>
        <w:t>Table 4-</w:t>
      </w:r>
      <w:r w:rsidR="00AF4DC1">
        <w:t>2)</w:t>
      </w:r>
      <w:r w:rsidRPr="001A6261">
        <w:t xml:space="preserve">. Therefore it  involves searching for extremely low abundance proteins which comprise less than 1% of the total </w:t>
      </w:r>
      <w:r w:rsidRPr="001A6261">
        <w:rPr>
          <w:rStyle w:val="nbapihighlight"/>
        </w:rPr>
        <w:t>plasma</w:t>
      </w:r>
      <w:r w:rsidRPr="001A6261">
        <w:t xml:space="preserve"> proteome, whereas fourteen of the mo</w:t>
      </w:r>
      <w:r>
        <w:t>st abundant proteins comprise</w:t>
      </w:r>
      <w:r w:rsidRPr="001A6261">
        <w:t xml:space="preserve"> more than 96% of the total </w:t>
      </w:r>
      <w:r>
        <w:t xml:space="preserve">serum </w:t>
      </w:r>
      <w:r w:rsidRPr="001A6261">
        <w:t xml:space="preserve">protein mass, with albumin </w:t>
      </w:r>
      <w:r>
        <w:t xml:space="preserve">typically </w:t>
      </w:r>
      <w:r w:rsidRPr="001A6261">
        <w:t xml:space="preserve">comprising approximately 50% of </w:t>
      </w:r>
      <w:r>
        <w:t xml:space="preserve">serum </w:t>
      </w:r>
      <w:r w:rsidRPr="001A6261">
        <w:t>protein</w:t>
      </w:r>
      <w:r w:rsidR="00FC0203">
        <w:t xml:space="preserve"> (Figure 4-</w:t>
      </w:r>
      <w:r w:rsidR="00AF4DC1">
        <w:t>1</w:t>
      </w:r>
      <w:r>
        <w:t>)</w:t>
      </w:r>
      <w:r w:rsidRPr="001A6261">
        <w:t>. On other hand,</w:t>
      </w:r>
      <w:r w:rsidRPr="001A6261">
        <w:rPr>
          <w:color w:val="000000"/>
        </w:rPr>
        <w:t xml:space="preserve"> disease biomarkers are usually present at relatively low concentrations in blood, which are often masked by high-abundance proteins</w:t>
      </w:r>
      <w:r>
        <w:rPr>
          <w:color w:val="000000"/>
        </w:rPr>
        <w:t xml:space="preserve"> </w:t>
      </w:r>
      <w:r w:rsidRPr="001A6261">
        <w:fldChar w:fldCharType="begin"/>
      </w:r>
      <w:r w:rsidR="006F41FE">
        <w:instrText xml:space="preserve"> ADDIN EN.CITE &lt;EndNote&gt;&lt;Cite&gt;&lt;Author&gt;Zhou&lt;/Author&gt;&lt;Year&gt;2004&lt;/Year&gt;&lt;RecNum&gt;124&lt;/RecNum&gt;&lt;DisplayText&gt;(Zhou et al., 2004)&lt;/DisplayText&gt;&lt;record&gt;&lt;rec-number&gt;124&lt;/rec-number&gt;&lt;foreign-keys&gt;&lt;key app="EN" db-id="zf0awxsaczrdd3eft5qvw9wrtxxawdfrvw2a"&gt;124&lt;/key&gt;&lt;/foreign-keys&gt;&lt;ref-type name="Journal Article"&gt;17&lt;/ref-type&gt;&lt;contributors&gt;&lt;authors&gt;&lt;author&gt;Zhou, M.&lt;/author&gt;&lt;author&gt;Lucas, D. A.&lt;/author&gt;&lt;author&gt;Chan, K. C.&lt;/author&gt;&lt;author&gt;Issaq, H. J.&lt;/author&gt;&lt;author&gt;Petricoin, E. F., 3rd&lt;/author&gt;&lt;author&gt;Liotta, L. A.&lt;/author&gt;&lt;author&gt;Veenstra, T. D.&lt;/author&gt;&lt;author&gt;Conrads, T. P.&lt;/author&gt;&lt;/authors&gt;&lt;/contributors&gt;&lt;auth-address&gt;Laboratory of Proteomics and Analytical Technologies, SAIC-Frederick, Inc., National Cancer Institute, Frederick, MD, USA.&lt;/auth-address&gt;&lt;titles&gt;&lt;title&gt;An investigation into the human serum &amp;quot;interactome&amp;quot;&lt;/title&gt;&lt;secondary-title&gt;Electrophoresis&lt;/secondary-title&gt;&lt;/titles&gt;&lt;periodical&gt;&lt;full-title&gt;Electrophoresis&lt;/full-title&gt;&lt;/periodical&gt;&lt;pages&gt;1289-98&lt;/pages&gt;&lt;volume&gt;25&lt;/volume&gt;&lt;number&gt;9&lt;/number&gt;&lt;edition&gt;2004/06/03&lt;/edition&gt;&lt;keywords&gt;&lt;keyword&gt;Albumins/chemistry&lt;/keyword&gt;&lt;keyword&gt;Chromatography, Liquid/methods&lt;/keyword&gt;&lt;keyword&gt;Electrophoresis, Gel, Two-Dimensional/methods&lt;/keyword&gt;&lt;keyword&gt;Humans&lt;/keyword&gt;&lt;keyword&gt;Immunoprecipitation/*methods&lt;/keyword&gt;&lt;keyword&gt;*Proteome&lt;/keyword&gt;&lt;keyword&gt;Serum/*chemistry&lt;/keyword&gt;&lt;keyword&gt;Spectrometry, Mass, Matrix-Assisted Laser Desorption-Ionization/*methods&lt;/keyword&gt;&lt;/keywords&gt;&lt;dates&gt;&lt;year&gt;2004&lt;/year&gt;&lt;pub-dates&gt;&lt;date&gt;May&lt;/date&gt;&lt;/pub-dates&gt;&lt;/dates&gt;&lt;isbn&gt;0173-0835 (Print)&amp;#xD;0173-0835 (Linking)&lt;/isbn&gt;&lt;accession-num&gt;15174051&lt;/accession-num&gt;&lt;urls&gt;&lt;related-urls&gt;&lt;url&gt;http://www.ncbi.nlm.nih.gov/pubmed/15174051&lt;/url&gt;&lt;/related-urls&gt;&lt;/urls&gt;&lt;electronic-resource-num&gt;10.1002/elps.200405866&lt;/electronic-resource-num&gt;&lt;language&gt;eng&lt;/language&gt;&lt;/record&gt;&lt;/Cite&gt;&lt;/EndNote&gt;</w:instrText>
      </w:r>
      <w:r w:rsidRPr="001A6261">
        <w:fldChar w:fldCharType="separate"/>
      </w:r>
      <w:r w:rsidR="006F41FE">
        <w:rPr>
          <w:noProof/>
        </w:rPr>
        <w:t>(</w:t>
      </w:r>
      <w:hyperlink w:anchor="_ENREF_471" w:tooltip="Zhou, 2004 #124" w:history="1">
        <w:r w:rsidR="004A784D">
          <w:rPr>
            <w:noProof/>
          </w:rPr>
          <w:t>Zhou et al., 2004</w:t>
        </w:r>
      </w:hyperlink>
      <w:r w:rsidR="006F41FE">
        <w:rPr>
          <w:noProof/>
        </w:rPr>
        <w:t>)</w:t>
      </w:r>
      <w:r w:rsidRPr="001A6261">
        <w:fldChar w:fldCharType="end"/>
      </w:r>
      <w:r w:rsidRPr="001A6261">
        <w:rPr>
          <w:color w:val="000000"/>
        </w:rPr>
        <w:t xml:space="preserve">. </w:t>
      </w:r>
      <w:r w:rsidRPr="00756748">
        <w:rPr>
          <w:color w:val="000000"/>
        </w:rPr>
        <w:t>Therefore, to overcome this we used prefractionation (Immunodepletion) techniques to enhance the identification of low abundance protein bi</w:t>
      </w:r>
      <w:r w:rsidR="00FC0203">
        <w:rPr>
          <w:color w:val="000000"/>
        </w:rPr>
        <w:t>omarkers</w:t>
      </w:r>
      <w:r w:rsidRPr="001A6261">
        <w:rPr>
          <w:color w:val="000000"/>
        </w:rPr>
        <w:t xml:space="preserve"> </w:t>
      </w:r>
      <w:r w:rsidRPr="001A6261">
        <w:rPr>
          <w:color w:val="000000"/>
        </w:rPr>
        <w:fldChar w:fldCharType="begin"/>
      </w:r>
      <w:r w:rsidR="006F41FE">
        <w:rPr>
          <w:color w:val="000000"/>
        </w:rPr>
        <w:instrText xml:space="preserve"> ADDIN EN.CITE &lt;EndNote&gt;&lt;Cite&gt;&lt;Author&gt;Colantonio&lt;/Author&gt;&lt;Year&gt;2005&lt;/Year&gt;&lt;RecNum&gt;115&lt;/RecNum&gt;&lt;DisplayText&gt;(Colantonio et al., 2005)&lt;/DisplayText&gt;&lt;record&gt;&lt;rec-number&gt;115&lt;/rec-number&gt;&lt;foreign-keys&gt;&lt;key app="EN" db-id="zf0awxsaczrdd3eft5qvw9wrtxxawdfrvw2a"&gt;115&lt;/key&gt;&lt;/foreign-keys&gt;&lt;ref-type name="Journal Article"&gt;17&lt;/ref-type&gt;&lt;contributors&gt;&lt;authors&gt;&lt;author&gt;Colantonio, D. A.&lt;/author&gt;&lt;author&gt;Dunkinson, C.&lt;/author&gt;&lt;author&gt;Bovenkamp, D. E.&lt;/author&gt;&lt;author&gt;Van Eyk, J. E.&lt;/author&gt;&lt;/authors&gt;&lt;/contributors&gt;&lt;auth-address&gt;Department of Physiology, Queen&amp;apos;s University, Kingston, Ontario, Canada.&lt;/auth-address&gt;&lt;titles&gt;&lt;title&gt;Effective removal of albumin from serum&lt;/title&gt;&lt;secondary-title&gt;Proteomics&lt;/secondary-title&gt;&lt;/titles&gt;&lt;periodical&gt;&lt;full-title&gt;Proteomics&lt;/full-title&gt;&lt;/periodical&gt;&lt;pages&gt;3831-5&lt;/pages&gt;&lt;volume&gt;5&lt;/volume&gt;&lt;number&gt;15&lt;/number&gt;&lt;edition&gt;2005/09/08&lt;/edition&gt;&lt;keywords&gt;&lt;keyword&gt;Albumins/*isolation &amp;amp; purification&lt;/keyword&gt;&lt;keyword&gt;Ammonium Sulfate&lt;/keyword&gt;&lt;keyword&gt;Biological Markers/blood&lt;/keyword&gt;&lt;keyword&gt;Blood Protein Electrophoresis/*methods&lt;/keyword&gt;&lt;keyword&gt;Chemical Fractionation&lt;/keyword&gt;&lt;keyword&gt;Chemical Precipitation&lt;/keyword&gt;&lt;keyword&gt;Chromatography, Affinity&lt;/keyword&gt;&lt;keyword&gt;Electrophoresis, Gel, Two-Dimensional&lt;/keyword&gt;&lt;keyword&gt;Electrophoresis, Polyacrylamide Gel&lt;/keyword&gt;&lt;keyword&gt;Female&lt;/keyword&gt;&lt;keyword&gt;Humans&lt;/keyword&gt;&lt;keyword&gt;Male&lt;/keyword&gt;&lt;keyword&gt;Serum/*chemistry&lt;/keyword&gt;&lt;keyword&gt;Triazines&lt;/keyword&gt;&lt;/keywords&gt;&lt;dates&gt;&lt;year&gt;2005&lt;/year&gt;&lt;pub-dates&gt;&lt;date&gt;Oct&lt;/date&gt;&lt;/pub-dates&gt;&lt;/dates&gt;&lt;isbn&gt;1615-9853 (Print)&amp;#xD;1615-9853 (Linking)&lt;/isbn&gt;&lt;accession-num&gt;16145708&lt;/accession-num&gt;&lt;urls&gt;&lt;related-urls&gt;&lt;url&gt;http://www.ncbi.nlm.nih.gov/pubmed/16145708&lt;/url&gt;&lt;/related-urls&gt;&lt;/urls&gt;&lt;electronic-resource-num&gt;10.1002/pmic.200401235&lt;/electronic-resource-num&gt;&lt;language&gt;eng&lt;/language&gt;&lt;/record&gt;&lt;/Cite&gt;&lt;/EndNote&gt;</w:instrText>
      </w:r>
      <w:r w:rsidRPr="001A6261">
        <w:rPr>
          <w:color w:val="000000"/>
        </w:rPr>
        <w:fldChar w:fldCharType="separate"/>
      </w:r>
      <w:r w:rsidR="006F41FE">
        <w:rPr>
          <w:noProof/>
          <w:color w:val="000000"/>
        </w:rPr>
        <w:t>(</w:t>
      </w:r>
      <w:hyperlink w:anchor="_ENREF_81" w:tooltip="Colantonio, 2005 #115" w:history="1">
        <w:r w:rsidR="004A784D">
          <w:rPr>
            <w:noProof/>
            <w:color w:val="000000"/>
          </w:rPr>
          <w:t>Colantonio et al., 2005</w:t>
        </w:r>
      </w:hyperlink>
      <w:r w:rsidR="006F41FE">
        <w:rPr>
          <w:noProof/>
          <w:color w:val="000000"/>
        </w:rPr>
        <w:t>)</w:t>
      </w:r>
      <w:r w:rsidRPr="001A6261">
        <w:rPr>
          <w:color w:val="000000"/>
        </w:rPr>
        <w:fldChar w:fldCharType="end"/>
      </w:r>
      <w:r w:rsidRPr="001A6261">
        <w:rPr>
          <w:color w:val="000000"/>
        </w:rPr>
        <w:t xml:space="preserve">. </w:t>
      </w:r>
    </w:p>
    <w:p w:rsidR="00B61503" w:rsidRDefault="00D74982" w:rsidP="00057B42">
      <w:pPr>
        <w:spacing w:before="200" w:line="360" w:lineRule="auto"/>
        <w:jc w:val="both"/>
        <w:rPr>
          <w:color w:val="000000"/>
        </w:rPr>
      </w:pPr>
      <w:r>
        <w:rPr>
          <w:color w:val="000000"/>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3"/>
        <w:gridCol w:w="1665"/>
        <w:gridCol w:w="2451"/>
        <w:gridCol w:w="1672"/>
      </w:tblGrid>
      <w:tr w:rsidR="00B61503" w:rsidRPr="00B11D1D" w:rsidTr="00E676DF">
        <w:trPr>
          <w:trHeight w:val="170"/>
        </w:trPr>
        <w:tc>
          <w:tcPr>
            <w:tcW w:w="2538" w:type="dxa"/>
            <w:shd w:val="clear" w:color="auto" w:fill="auto"/>
            <w:hideMark/>
          </w:tcPr>
          <w:p w:rsidR="00B61503" w:rsidRPr="00B11D1D" w:rsidRDefault="00B61503" w:rsidP="00057B42">
            <w:pPr>
              <w:autoSpaceDE w:val="0"/>
              <w:autoSpaceDN w:val="0"/>
              <w:adjustRightInd w:val="0"/>
              <w:spacing w:line="360" w:lineRule="auto"/>
              <w:jc w:val="center"/>
              <w:rPr>
                <w:color w:val="131313"/>
                <w:lang w:eastAsia="en-US"/>
              </w:rPr>
            </w:pPr>
          </w:p>
          <w:p w:rsidR="00B61503" w:rsidRPr="00B11D1D" w:rsidRDefault="00B61503" w:rsidP="00057B42">
            <w:pPr>
              <w:autoSpaceDE w:val="0"/>
              <w:autoSpaceDN w:val="0"/>
              <w:adjustRightInd w:val="0"/>
              <w:spacing w:line="360" w:lineRule="auto"/>
              <w:jc w:val="center"/>
              <w:rPr>
                <w:bCs/>
                <w:color w:val="131313"/>
                <w:lang w:eastAsia="en-US"/>
              </w:rPr>
            </w:pPr>
            <w:r w:rsidRPr="00B11D1D">
              <w:rPr>
                <w:color w:val="131313"/>
                <w:lang w:eastAsia="en-US"/>
              </w:rPr>
              <w:t>Protein</w:t>
            </w:r>
          </w:p>
        </w:tc>
        <w:tc>
          <w:tcPr>
            <w:tcW w:w="1779" w:type="dxa"/>
            <w:shd w:val="clear" w:color="auto" w:fill="auto"/>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color w:val="131313"/>
                <w:lang w:eastAsia="en-US"/>
              </w:rPr>
              <w:t>Amount in Normal Plasma (mg/100 mL)</w:t>
            </w:r>
          </w:p>
        </w:tc>
        <w:tc>
          <w:tcPr>
            <w:tcW w:w="2563" w:type="dxa"/>
            <w:shd w:val="clear" w:color="auto" w:fill="auto"/>
          </w:tcPr>
          <w:p w:rsidR="00B61503" w:rsidRPr="00B11D1D" w:rsidRDefault="00B61503" w:rsidP="00057B42">
            <w:pPr>
              <w:autoSpaceDE w:val="0"/>
              <w:autoSpaceDN w:val="0"/>
              <w:adjustRightInd w:val="0"/>
              <w:spacing w:line="360" w:lineRule="auto"/>
              <w:jc w:val="center"/>
              <w:rPr>
                <w:color w:val="131313"/>
                <w:lang w:eastAsia="en-US"/>
              </w:rPr>
            </w:pPr>
          </w:p>
          <w:p w:rsidR="00B61503" w:rsidRPr="00B11D1D" w:rsidRDefault="00B61503" w:rsidP="00057B42">
            <w:pPr>
              <w:autoSpaceDE w:val="0"/>
              <w:autoSpaceDN w:val="0"/>
              <w:adjustRightInd w:val="0"/>
              <w:spacing w:line="360" w:lineRule="auto"/>
              <w:jc w:val="center"/>
              <w:rPr>
                <w:color w:val="131313"/>
                <w:lang w:eastAsia="en-US"/>
              </w:rPr>
            </w:pPr>
            <w:r w:rsidRPr="00B11D1D">
              <w:rPr>
                <w:color w:val="131313"/>
                <w:lang w:eastAsia="en-US"/>
              </w:rPr>
              <w:t>Protein</w:t>
            </w:r>
          </w:p>
        </w:tc>
        <w:tc>
          <w:tcPr>
            <w:tcW w:w="1788" w:type="dxa"/>
            <w:shd w:val="clear" w:color="auto" w:fill="auto"/>
          </w:tcPr>
          <w:p w:rsidR="00B61503" w:rsidRPr="00B11D1D" w:rsidRDefault="00B61503" w:rsidP="00057B42">
            <w:pPr>
              <w:autoSpaceDE w:val="0"/>
              <w:autoSpaceDN w:val="0"/>
              <w:adjustRightInd w:val="0"/>
              <w:spacing w:line="360" w:lineRule="auto"/>
              <w:jc w:val="center"/>
              <w:rPr>
                <w:color w:val="131313"/>
                <w:lang w:eastAsia="en-US"/>
              </w:rPr>
            </w:pPr>
            <w:r w:rsidRPr="00B11D1D">
              <w:rPr>
                <w:color w:val="131313"/>
                <w:lang w:eastAsia="en-US"/>
              </w:rPr>
              <w:t>Amount in Normal Plasma (mg/100 mL)</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α1-Acid glycoprotein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55–140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 S γ2-Globulin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0.1</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Albumin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3500–5000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3.1 S Leucine-rich α2-glycoprotein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2–3</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α1-Antichymotrypsin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30–60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3.8 S Histidine-rich α2-glycoprotein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Antihemophilic factor (Factor VIII)</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(1–2)</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4 S α2, β1-Glycoprotein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Trace</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Antithrombin III</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(20–40)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8 S α3-Glycoprotein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α1-Antitrypsin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200–400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Zn-α2-Glycoprotein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Basic protein B1</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α1B-Glycoprotein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15–30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Basic protein B2</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&lt;1</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α1T-Glycoprotein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5–12</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γ Bence Jones 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Trace</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α2HS-Glycoprotein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40–85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κ Bence Jones 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Trace</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9.5 S α1-Glycoprotein (serum amyloid P 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3–8</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Ceruloplasmin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15–60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β2-Glycoprotein I</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15–30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Cholinesterase</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0.5–1.5</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β2-Glycoprotein II</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12–30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C1 Esterase inhibitor</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15–35</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β2-Glycoprotein III</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C1r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Haptoglobin Type 2–1</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160–300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C4 Binding 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Haptoglobin Type 1–1</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100–220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C8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8</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Haptoglobin Type 2–2</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120–260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C9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23</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Hemopexin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50–115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Factor B</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Immunoglobulin A</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90–450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Factor D</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Immunoglobulin D</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&lt;15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lastRenderedPageBreak/>
              <w:t>Complement Factor H</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Immunoglobulin E</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&lt;0.06</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C1q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10–25</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Immunoglobulin G</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800–1800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C1s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1–2</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Immunoglobulin M</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60–250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C3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55–120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Inter-α-trypsin inhibitor</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20–70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C4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20–50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Lysozyme</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0.5–1.5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C6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7</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α2-Macroglobulin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150–420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C2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2–3</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α1-Microglobulin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4–9</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C5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4–15</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β2-Microglobulin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Trace</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Complement C7 Component</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6</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Plasminogen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(6–25)</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C-Reactive 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&lt;1</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Post γ-globulin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α1-Fetoprotein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~1μg</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Prealbumin, thyroxine-binding</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10–40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Fibrinogen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200–450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Pregnancy-associated 2-glycoprotein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Trace</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Fibrin-stabilizing factor (Factor XIII)</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(1–4)</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Properdin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2–3</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Fibronectin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25–40</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Prothrombin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(5–10)</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Galactoglycoprotein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Retinol-binding protein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3–6</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GC Globulin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20–55</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Thyroxine-binding globulin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1–2</w:t>
            </w:r>
          </w:p>
        </w:tc>
      </w:tr>
      <w:tr w:rsidR="00B61503" w:rsidRPr="00B11D1D" w:rsidTr="00E676DF">
        <w:trPr>
          <w:trHeight w:val="170"/>
        </w:trPr>
        <w:tc>
          <w:tcPr>
            <w:tcW w:w="2538"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0.6 S γ2-Globulin</w:t>
            </w:r>
          </w:p>
        </w:tc>
        <w:tc>
          <w:tcPr>
            <w:tcW w:w="1779" w:type="dxa"/>
            <w:shd w:val="clear" w:color="auto" w:fill="auto"/>
            <w:vAlign w:val="center"/>
            <w:hideMark/>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&lt;1</w:t>
            </w: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Transcortin</w:t>
            </w:r>
          </w:p>
        </w:tc>
        <w:tc>
          <w:tcPr>
            <w:tcW w:w="178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~7</w:t>
            </w:r>
          </w:p>
        </w:tc>
      </w:tr>
      <w:tr w:rsidR="00B61503" w:rsidRPr="00B11D1D" w:rsidTr="00E676DF">
        <w:trPr>
          <w:trHeight w:val="170"/>
        </w:trPr>
        <w:tc>
          <w:tcPr>
            <w:tcW w:w="2538"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p>
        </w:tc>
        <w:tc>
          <w:tcPr>
            <w:tcW w:w="1779"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p>
        </w:tc>
        <w:tc>
          <w:tcPr>
            <w:tcW w:w="2563" w:type="dxa"/>
            <w:shd w:val="clear" w:color="auto" w:fill="auto"/>
            <w:vAlign w:val="center"/>
          </w:tcPr>
          <w:p w:rsidR="00B61503" w:rsidRPr="00B11D1D" w:rsidRDefault="00B61503" w:rsidP="00057B42">
            <w:pPr>
              <w:autoSpaceDE w:val="0"/>
              <w:autoSpaceDN w:val="0"/>
              <w:adjustRightInd w:val="0"/>
              <w:spacing w:line="360" w:lineRule="auto"/>
              <w:jc w:val="center"/>
              <w:rPr>
                <w:bCs/>
                <w:color w:val="131313"/>
                <w:lang w:eastAsia="en-US"/>
              </w:rPr>
            </w:pPr>
            <w:r w:rsidRPr="00B11D1D">
              <w:rPr>
                <w:bCs/>
                <w:color w:val="131313"/>
                <w:lang w:eastAsia="en-US"/>
              </w:rPr>
              <w:t>Transferrin</w:t>
            </w:r>
          </w:p>
        </w:tc>
        <w:tc>
          <w:tcPr>
            <w:tcW w:w="1788" w:type="dxa"/>
            <w:shd w:val="clear" w:color="auto" w:fill="auto"/>
            <w:vAlign w:val="center"/>
          </w:tcPr>
          <w:p w:rsidR="00B61503" w:rsidRPr="00B11D1D" w:rsidRDefault="00B61503" w:rsidP="00057B42">
            <w:pPr>
              <w:keepNext/>
              <w:autoSpaceDE w:val="0"/>
              <w:autoSpaceDN w:val="0"/>
              <w:adjustRightInd w:val="0"/>
              <w:spacing w:line="360" w:lineRule="auto"/>
              <w:jc w:val="center"/>
              <w:rPr>
                <w:bCs/>
                <w:color w:val="131313"/>
                <w:lang w:eastAsia="en-US"/>
              </w:rPr>
            </w:pPr>
            <w:r w:rsidRPr="00B11D1D">
              <w:rPr>
                <w:bCs/>
                <w:color w:val="131313"/>
                <w:lang w:eastAsia="en-US"/>
              </w:rPr>
              <w:t>200–320</w:t>
            </w:r>
          </w:p>
        </w:tc>
      </w:tr>
    </w:tbl>
    <w:p w:rsidR="00B61503" w:rsidRDefault="00B61503" w:rsidP="00057B42">
      <w:pPr>
        <w:pStyle w:val="Caption"/>
        <w:pBdr>
          <w:bottom w:val="single" w:sz="12" w:space="1" w:color="auto"/>
        </w:pBdr>
      </w:pPr>
    </w:p>
    <w:p w:rsidR="00B61503" w:rsidRPr="00D74982" w:rsidRDefault="00AF4DC1" w:rsidP="00057B42">
      <w:pPr>
        <w:pStyle w:val="Caption"/>
        <w:pBdr>
          <w:bottom w:val="single" w:sz="12" w:space="1" w:color="auto"/>
        </w:pBdr>
        <w:jc w:val="both"/>
      </w:pPr>
      <w:r>
        <w:lastRenderedPageBreak/>
        <w:t>Table 4.2</w:t>
      </w:r>
      <w:r w:rsidR="004D56C5">
        <w:tab/>
        <w:t>shows</w:t>
      </w:r>
      <w:r w:rsidR="00B61503" w:rsidRPr="00D74982">
        <w:t xml:space="preserve"> concentration of various plasma proteins the difference can be millions of folds. Approximately half of the total protein mass in plasma is accounted for by only one protein (albumin, present at approximately 55,000,000,000 pg mL−1), while roughly 16 proteins, which also include transferrin, fibrinogen, and other, make up 96% of the total. At the other end of the concentration histogram are the cytokines, such as interleukin-6 (IL-6), which is normally present at 1–5 pg mL−1. The remaining 1% contains secreted proteins, some of which are promising biomarkers. Reproduce from “The Plasma Proteins”, Volume IV, 2nd Edition, 1984, Frank W. Putnam. </w:t>
      </w:r>
    </w:p>
    <w:p w:rsidR="00B61503" w:rsidRPr="00D74982" w:rsidRDefault="00D74982" w:rsidP="00057B42">
      <w:pPr>
        <w:pStyle w:val="Caption"/>
        <w:pBdr>
          <w:bottom w:val="single" w:sz="12" w:space="1" w:color="auto"/>
        </w:pBdr>
        <w:tabs>
          <w:tab w:val="left" w:pos="5524"/>
        </w:tabs>
      </w:pPr>
      <w:r w:rsidRPr="00D74982">
        <w:tab/>
      </w:r>
    </w:p>
    <w:p w:rsidR="00B61503" w:rsidRPr="00A30B28" w:rsidRDefault="00B61503" w:rsidP="00057B42">
      <w:pPr>
        <w:spacing w:line="360" w:lineRule="auto"/>
      </w:pPr>
    </w:p>
    <w:p w:rsidR="00B61503" w:rsidRPr="001A6261" w:rsidRDefault="00B61503" w:rsidP="00057B42">
      <w:pPr>
        <w:spacing w:before="200" w:line="360" w:lineRule="auto"/>
        <w:jc w:val="both"/>
        <w:rPr>
          <w:color w:val="000000"/>
        </w:rPr>
      </w:pPr>
    </w:p>
    <w:p w:rsidR="00B61503" w:rsidRDefault="00B61503" w:rsidP="00645687">
      <w:pPr>
        <w:pStyle w:val="Heading2"/>
        <w:numPr>
          <w:ilvl w:val="2"/>
          <w:numId w:val="19"/>
        </w:numPr>
      </w:pPr>
      <w:bookmarkStart w:id="1784" w:name="_Toc302582414"/>
      <w:r>
        <w:br w:type="page"/>
      </w:r>
      <w:bookmarkStart w:id="1785" w:name="_Toc305690074"/>
      <w:r w:rsidR="00300A1B">
        <w:lastRenderedPageBreak/>
        <w:tab/>
      </w:r>
      <w:bookmarkStart w:id="1786" w:name="_Toc306570766"/>
      <w:bookmarkStart w:id="1787" w:name="_Toc307067826"/>
      <w:bookmarkStart w:id="1788" w:name="_Toc312169393"/>
      <w:bookmarkStart w:id="1789" w:name="_Toc312172320"/>
      <w:bookmarkStart w:id="1790" w:name="_Toc312257869"/>
      <w:r>
        <w:t>Sample p</w:t>
      </w:r>
      <w:r w:rsidRPr="001A6261">
        <w:t xml:space="preserve">reparation and </w:t>
      </w:r>
      <w:r>
        <w:t>i</w:t>
      </w:r>
      <w:r w:rsidRPr="001A6261">
        <w:t>mmunodepletion</w:t>
      </w:r>
      <w:bookmarkEnd w:id="1784"/>
      <w:bookmarkEnd w:id="1785"/>
      <w:bookmarkEnd w:id="1786"/>
      <w:bookmarkEnd w:id="1787"/>
      <w:bookmarkEnd w:id="1788"/>
      <w:bookmarkEnd w:id="1789"/>
      <w:bookmarkEnd w:id="1790"/>
    </w:p>
    <w:p w:rsidR="00B61503" w:rsidRDefault="00B61503" w:rsidP="00000025">
      <w:pPr>
        <w:spacing w:before="240" w:line="360" w:lineRule="auto"/>
        <w:jc w:val="both"/>
        <w:rPr>
          <w:color w:val="000000"/>
        </w:rPr>
      </w:pPr>
      <w:r w:rsidRPr="001A6261">
        <w:rPr>
          <w:color w:val="000000"/>
        </w:rPr>
        <w:t xml:space="preserve">We </w:t>
      </w:r>
      <w:r>
        <w:rPr>
          <w:color w:val="000000"/>
        </w:rPr>
        <w:t>employed the</w:t>
      </w:r>
      <w:r w:rsidRPr="001A6261">
        <w:rPr>
          <w:color w:val="000000"/>
        </w:rPr>
        <w:t xml:space="preserve"> multiple affinity removal system (MARS) from Agilent that immunodepleted </w:t>
      </w:r>
      <w:r w:rsidRPr="001A6261">
        <w:t xml:space="preserve">14 of the most abundant proteins (albumin, IgG, antitrypsin, IgA, transferrin, haptoglobin, fibrinogen, alpha2-macroglobulin, alpha1-acid glycoprotein, IgM, apolipoprotein AI, apolipoprotein, complement C3 and </w:t>
      </w:r>
      <w:r w:rsidRPr="001A6261">
        <w:rPr>
          <w:bCs/>
        </w:rPr>
        <w:t>transthyretin)</w:t>
      </w:r>
      <w:r>
        <w:rPr>
          <w:bCs/>
        </w:rPr>
        <w:t xml:space="preserve"> fr</w:t>
      </w:r>
      <w:r w:rsidR="00AF4DC1">
        <w:rPr>
          <w:bCs/>
        </w:rPr>
        <w:t>om our serum samples (Figure 4-2</w:t>
      </w:r>
      <w:r>
        <w:rPr>
          <w:bCs/>
        </w:rPr>
        <w:t>)</w:t>
      </w:r>
      <w:r w:rsidRPr="001A6261">
        <w:rPr>
          <w:bCs/>
        </w:rPr>
        <w:t>.</w:t>
      </w:r>
      <w:r w:rsidRPr="001A6261">
        <w:rPr>
          <w:color w:val="000000"/>
        </w:rPr>
        <w:t xml:space="preserve"> </w:t>
      </w:r>
      <w:r>
        <w:t>This enables</w:t>
      </w:r>
      <w:r w:rsidRPr="001A6261">
        <w:t xml:space="preserve"> us to identify lower abundance proteins, because the corresponding number of peptides per protein increased dramatically</w:t>
      </w:r>
      <w:r w:rsidRPr="001A6261">
        <w:rPr>
          <w:bCs/>
        </w:rPr>
        <w:t xml:space="preserve">. </w:t>
      </w:r>
      <w:r w:rsidRPr="001A6261">
        <w:rPr>
          <w:color w:val="000000"/>
        </w:rPr>
        <w:t>Previous stu</w:t>
      </w:r>
      <w:r>
        <w:rPr>
          <w:color w:val="000000"/>
        </w:rPr>
        <w:t>dies have had confirmed</w:t>
      </w:r>
      <w:r w:rsidRPr="001A6261">
        <w:rPr>
          <w:color w:val="000000"/>
        </w:rPr>
        <w:t xml:space="preserve"> the robustness and reproducibility of MARS Agilent columns</w:t>
      </w:r>
      <w:r>
        <w:rPr>
          <w:color w:val="000000"/>
        </w:rPr>
        <w:t xml:space="preserve"> </w:t>
      </w:r>
      <w:r w:rsidRPr="001A6261">
        <w:rPr>
          <w:color w:val="000000"/>
        </w:rPr>
        <w:fldChar w:fldCharType="begin">
          <w:fldData xml:space="preserve">PEVuZE5vdGU+PENpdGU+PEF1dGhvcj5GcmF0YW50b25pPC9BdXRob3I+PFJlY051bT4xPC9SZWNO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</w:fldData>
        </w:fldChar>
      </w:r>
      <w:r w:rsidR="00930156">
        <w:rPr>
          <w:color w:val="000000"/>
        </w:rPr>
        <w:instrText xml:space="preserve"> ADDIN EN.CITE </w:instrText>
      </w:r>
      <w:r w:rsidR="00930156">
        <w:rPr>
          <w:color w:val="000000"/>
        </w:rPr>
        <w:fldChar w:fldCharType="begin">
          <w:fldData xml:space="preserve">PEVuZE5vdGU+PENpdGU+PEF1dGhvcj5GcmF0YW50b25pPC9BdXRob3I+PFJlY051bT4xPC9SZWNO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</w:fldData>
        </w:fldChar>
      </w:r>
      <w:r w:rsidR="00930156">
        <w:rPr>
          <w:color w:val="000000"/>
        </w:rPr>
        <w:instrText xml:space="preserve"> ADDIN EN.CITE.DATA </w:instrText>
      </w:r>
      <w:r w:rsidR="00930156">
        <w:rPr>
          <w:color w:val="000000"/>
        </w:rPr>
      </w:r>
      <w:r w:rsidR="00930156">
        <w:rPr>
          <w:color w:val="000000"/>
        </w:rPr>
        <w:fldChar w:fldCharType="end"/>
      </w:r>
      <w:r w:rsidRPr="001A6261">
        <w:rPr>
          <w:color w:val="000000"/>
        </w:rPr>
      </w:r>
      <w:r w:rsidRPr="001A6261">
        <w:rPr>
          <w:color w:val="000000"/>
        </w:rPr>
        <w:fldChar w:fldCharType="separate"/>
      </w:r>
      <w:r w:rsidR="006F41FE">
        <w:rPr>
          <w:noProof/>
          <w:color w:val="000000"/>
        </w:rPr>
        <w:t>(</w:t>
      </w:r>
      <w:hyperlink w:anchor="_ENREF_127" w:tooltip="Fratantoni,  #1" w:history="1">
        <w:r w:rsidR="004A784D">
          <w:rPr>
            <w:noProof/>
            <w:color w:val="000000"/>
          </w:rPr>
          <w:t>Fratantoni et al.</w:t>
        </w:r>
      </w:hyperlink>
      <w:r w:rsidR="006F41FE">
        <w:rPr>
          <w:noProof/>
          <w:color w:val="000000"/>
        </w:rPr>
        <w:t xml:space="preserve">, </w:t>
      </w:r>
      <w:hyperlink w:anchor="_ENREF_433" w:tooltip="Vasudev, 2008 #13" w:history="1">
        <w:r w:rsidR="004A784D">
          <w:rPr>
            <w:noProof/>
            <w:color w:val="000000"/>
          </w:rPr>
          <w:t>Vasudev et al., 2008</w:t>
        </w:r>
      </w:hyperlink>
      <w:r w:rsidR="006F41FE">
        <w:rPr>
          <w:noProof/>
          <w:color w:val="000000"/>
        </w:rPr>
        <w:t xml:space="preserve">, </w:t>
      </w:r>
      <w:hyperlink w:anchor="_ENREF_90" w:tooltip="Darde, 2007 #5285" w:history="1">
        <w:r w:rsidR="004A784D">
          <w:rPr>
            <w:noProof/>
            <w:color w:val="000000"/>
          </w:rPr>
          <w:t>Darde et al., 2007</w:t>
        </w:r>
      </w:hyperlink>
      <w:r w:rsidR="006F41FE">
        <w:rPr>
          <w:noProof/>
          <w:color w:val="000000"/>
        </w:rPr>
        <w:t>)</w:t>
      </w:r>
      <w:r w:rsidRPr="001A6261">
        <w:rPr>
          <w:color w:val="000000"/>
        </w:rPr>
        <w:fldChar w:fldCharType="end"/>
      </w:r>
      <w:r w:rsidR="00AF4DC1">
        <w:rPr>
          <w:color w:val="000000"/>
        </w:rPr>
        <w:t xml:space="preserve"> (Figure 4-3</w:t>
      </w:r>
      <w:r>
        <w:rPr>
          <w:color w:val="000000"/>
        </w:rPr>
        <w:t>).</w:t>
      </w:r>
      <w:r w:rsidRPr="001A6261">
        <w:rPr>
          <w:color w:val="000000"/>
        </w:rPr>
        <w:t xml:space="preserve"> </w:t>
      </w:r>
    </w:p>
    <w:p w:rsidR="00B55EFC" w:rsidRDefault="00B55EFC" w:rsidP="00057B42">
      <w:pPr>
        <w:spacing w:line="360" w:lineRule="auto"/>
        <w:jc w:val="both"/>
        <w:rPr>
          <w:bCs/>
        </w:rPr>
      </w:pPr>
    </w:p>
    <w:p w:rsidR="00B61503" w:rsidRPr="00DD2954" w:rsidRDefault="00B61503" w:rsidP="00057B42">
      <w:pPr>
        <w:spacing w:line="360" w:lineRule="auto"/>
        <w:jc w:val="both"/>
      </w:pPr>
      <w:r w:rsidRPr="001A6261">
        <w:rPr>
          <w:bCs/>
        </w:rPr>
        <w:t>However</w:t>
      </w:r>
      <w:r w:rsidRPr="001A6261">
        <w:rPr>
          <w:color w:val="000000"/>
        </w:rPr>
        <w:t xml:space="preserve">, we were aware of </w:t>
      </w:r>
      <w:r w:rsidRPr="001A6261">
        <w:t xml:space="preserve">important limitation of immunodepletion and </w:t>
      </w:r>
      <w:r>
        <w:rPr>
          <w:color w:val="000000"/>
        </w:rPr>
        <w:t>removal of high abundance</w:t>
      </w:r>
      <w:r w:rsidRPr="001A6261">
        <w:rPr>
          <w:color w:val="000000"/>
        </w:rPr>
        <w:t xml:space="preserve"> proteins serum; </w:t>
      </w:r>
      <w:r>
        <w:rPr>
          <w:color w:val="000000"/>
        </w:rPr>
        <w:t>firstly,</w:t>
      </w:r>
      <w:r w:rsidRPr="001A6261">
        <w:rPr>
          <w:color w:val="000000"/>
        </w:rPr>
        <w:t xml:space="preserve"> it may also result in the specific removal of biomarkers of interest, as these low abundance proteins can bind </w:t>
      </w:r>
      <w:r w:rsidRPr="001A6261">
        <w:t>to the highly abundant proteins.</w:t>
      </w:r>
      <w:r>
        <w:t xml:space="preserve"> Secondly as in this study very high abundant proteins such as TYR may not fully removed after immunodepletion. This is </w:t>
      </w:r>
      <w:r w:rsidR="00D40710">
        <w:t xml:space="preserve">because once these proteins </w:t>
      </w:r>
      <w:r>
        <w:t>completely satura</w:t>
      </w:r>
      <w:r w:rsidR="00D40710">
        <w:t>te</w:t>
      </w:r>
      <w:r w:rsidR="009B2E7D">
        <w:t xml:space="preserve"> the immunodepletion column a small </w:t>
      </w:r>
      <w:r>
        <w:t>fraction</w:t>
      </w:r>
      <w:r w:rsidR="009B2E7D">
        <w:t>s</w:t>
      </w:r>
      <w:r>
        <w:t xml:space="preserve"> of this protein can pass through. This is lead to the TYR protein being part of our final 2D-DIGE analysis. </w:t>
      </w:r>
      <w:r w:rsidRPr="001A6261">
        <w:rPr>
          <w:color w:val="000000"/>
        </w:rPr>
        <w:t xml:space="preserve">As a result </w:t>
      </w:r>
      <w:r w:rsidRPr="001A6261">
        <w:t xml:space="preserve">we used ELISA based </w:t>
      </w:r>
      <w:r w:rsidRPr="001A6261">
        <w:rPr>
          <w:color w:val="000000"/>
        </w:rPr>
        <w:t xml:space="preserve">validation </w:t>
      </w:r>
      <w:r w:rsidRPr="001A6261">
        <w:t xml:space="preserve">using raw unfractionated serum samples from the original cohort of multiple myeloma patients. We considered this as an essential validation confirmatory step. This step is discussed in length later in this chapter. </w:t>
      </w:r>
    </w:p>
    <w:p w:rsidR="00B61503" w:rsidRDefault="00ED7D82" w:rsidP="00057B42">
      <w:pPr>
        <w:keepNext/>
        <w:spacing w:line="360" w:lineRule="auto"/>
        <w:jc w:val="center"/>
      </w:pPr>
      <w:r>
        <w:rPr>
          <w:noProof/>
          <w:lang w:eastAsia="en-IE"/>
        </w:rPr>
        <w:lastRenderedPageBreak/>
        <w:drawing>
          <wp:inline distT="0" distB="0" distL="0" distR="0" wp14:anchorId="31296064" wp14:editId="1B63A8C2">
            <wp:extent cx="4477385" cy="3450590"/>
            <wp:effectExtent l="0" t="0" r="0" b="0"/>
            <wp:docPr id="96" name="Picture 9" descr="Description: low abundp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low abundprt"/>
                    <pic:cNvPicPr>
                      <a:picLocks noChangeAspect="1" noChangeArrowheads="1"/>
                    </pic:cNvPicPr>
                  </pic:nvPicPr>
                  <pic:blipFill>
                    <a:blip r:embed="rId125">
                      <a:extLst>
                        <a:ext uri="{28A0092B-C50C-407E-A947-70E740481C1C}">
                          <a14:useLocalDpi xmlns:a14="http://schemas.microsoft.com/office/drawing/2010/main" val="0"/>
                        </a:ext>
                      </a:extLst>
                    </a:blip>
                    <a:srcRect l="7643" t="5899" b="4292"/>
                    <a:stretch>
                      <a:fillRect/>
                    </a:stretch>
                  </pic:blipFill>
                  <pic:spPr bwMode="auto">
                    <a:xfrm>
                      <a:off x="0" y="0"/>
                      <a:ext cx="4477385" cy="3450590"/>
                    </a:xfrm>
                    <a:prstGeom prst="rect">
                      <a:avLst/>
                    </a:prstGeom>
                    <a:noFill/>
                    <a:ln>
                      <a:noFill/>
                    </a:ln>
                  </pic:spPr>
                </pic:pic>
              </a:graphicData>
            </a:graphic>
          </wp:inline>
        </w:drawing>
      </w:r>
    </w:p>
    <w:p w:rsidR="00B61503" w:rsidRDefault="00B61503" w:rsidP="00057B42">
      <w:pPr>
        <w:keepNext/>
        <w:spacing w:line="360" w:lineRule="auto"/>
        <w:jc w:val="center"/>
      </w:pPr>
    </w:p>
    <w:p w:rsidR="00B61503" w:rsidRPr="00D74982" w:rsidRDefault="00FC0203" w:rsidP="00057B42">
      <w:pPr>
        <w:pBdr>
          <w:bottom w:val="single" w:sz="12" w:space="1" w:color="auto"/>
        </w:pBdr>
        <w:spacing w:line="360" w:lineRule="auto"/>
        <w:jc w:val="both"/>
        <w:rPr>
          <w:b/>
        </w:rPr>
      </w:pPr>
      <w:r>
        <w:rPr>
          <w:b/>
          <w:color w:val="0D0D0D"/>
        </w:rPr>
        <w:t xml:space="preserve">Figure </w:t>
      </w:r>
      <w:r w:rsidR="008A68DC">
        <w:rPr>
          <w:b/>
          <w:color w:val="0D0D0D"/>
        </w:rPr>
        <w:fldChar w:fldCharType="begin"/>
      </w:r>
      <w:r w:rsidR="008A68DC">
        <w:rPr>
          <w:b/>
          <w:color w:val="0D0D0D"/>
        </w:rPr>
        <w:instrText xml:space="preserve"> STYLEREF 1 \s </w:instrText>
      </w:r>
      <w:r w:rsidR="008A68DC">
        <w:rPr>
          <w:b/>
          <w:color w:val="0D0D0D"/>
        </w:rPr>
        <w:fldChar w:fldCharType="separate"/>
      </w:r>
      <w:r w:rsidR="0081644B">
        <w:rPr>
          <w:b/>
          <w:noProof/>
          <w:color w:val="0D0D0D"/>
        </w:rPr>
        <w:t>4</w:t>
      </w:r>
      <w:r w:rsidR="008A68DC">
        <w:rPr>
          <w:b/>
          <w:color w:val="0D0D0D"/>
        </w:rPr>
        <w:fldChar w:fldCharType="end"/>
      </w:r>
      <w:r w:rsidR="008A68DC">
        <w:rPr>
          <w:b/>
          <w:color w:val="0D0D0D"/>
        </w:rPr>
        <w:noBreakHyphen/>
      </w:r>
      <w:r w:rsidR="008A68DC">
        <w:rPr>
          <w:b/>
          <w:color w:val="0D0D0D"/>
        </w:rPr>
        <w:fldChar w:fldCharType="begin"/>
      </w:r>
      <w:r w:rsidR="008A68DC">
        <w:rPr>
          <w:b/>
          <w:color w:val="0D0D0D"/>
        </w:rPr>
        <w:instrText xml:space="preserve"> SEQ Figure \* ARABIC \s 1 </w:instrText>
      </w:r>
      <w:r w:rsidR="008A68DC">
        <w:rPr>
          <w:b/>
          <w:color w:val="0D0D0D"/>
        </w:rPr>
        <w:fldChar w:fldCharType="separate"/>
      </w:r>
      <w:r w:rsidR="0081644B">
        <w:rPr>
          <w:b/>
          <w:noProof/>
          <w:color w:val="0D0D0D"/>
        </w:rPr>
        <w:t>2</w:t>
      </w:r>
      <w:r w:rsidR="008A68DC">
        <w:rPr>
          <w:b/>
          <w:color w:val="0D0D0D"/>
        </w:rPr>
        <w:fldChar w:fldCharType="end"/>
      </w:r>
      <w:r w:rsidR="00B61503" w:rsidRPr="00D74982">
        <w:rPr>
          <w:b/>
          <w:color w:val="0D0D0D"/>
        </w:rPr>
        <w:t xml:space="preserve">  shows</w:t>
      </w:r>
      <w:r w:rsidR="00B61503" w:rsidRPr="00D74982">
        <w:rPr>
          <w:b/>
        </w:rPr>
        <w:t xml:space="preserve"> the dynamic range of protein concentrations in human serum sample. Albumin is approximately a billion times more concentrated than interleukin-6. Tumour specific biomarkers likely to be many times lower in concentration levels than interleukin-6. (Reproduce from Agilent Technologies website </w:t>
      </w:r>
      <w:hyperlink r:id="rId126" w:history="1">
        <w:r w:rsidR="00CD1970" w:rsidRPr="00D74982">
          <w:rPr>
            <w:rStyle w:val="Hyperlink"/>
            <w:b/>
          </w:rPr>
          <w:t>http://www.chem.agilent.com</w:t>
        </w:r>
      </w:hyperlink>
      <w:r w:rsidR="00B61503" w:rsidRPr="00D74982">
        <w:rPr>
          <w:b/>
        </w:rPr>
        <w:t>).</w:t>
      </w:r>
    </w:p>
    <w:p w:rsidR="00CD1970" w:rsidRPr="00C06902" w:rsidRDefault="00CD1970" w:rsidP="00057B42">
      <w:pPr>
        <w:pBdr>
          <w:bottom w:val="single" w:sz="12" w:space="1" w:color="auto"/>
        </w:pBdr>
        <w:spacing w:line="360" w:lineRule="auto"/>
        <w:jc w:val="both"/>
        <w:rPr>
          <w:b/>
        </w:rPr>
      </w:pPr>
    </w:p>
    <w:p w:rsidR="00B61503" w:rsidRDefault="00B61503" w:rsidP="00057B42">
      <w:pPr>
        <w:pBdr>
          <w:bottom w:val="single" w:sz="12" w:space="1" w:color="auto"/>
        </w:pBdr>
        <w:spacing w:line="360" w:lineRule="auto"/>
        <w:jc w:val="both"/>
      </w:pPr>
    </w:p>
    <w:p w:rsidR="00B61503" w:rsidRDefault="00B61503" w:rsidP="00057B42">
      <w:pPr>
        <w:spacing w:line="360" w:lineRule="auto"/>
        <w:jc w:val="both"/>
      </w:pPr>
    </w:p>
    <w:p w:rsidR="00B61503" w:rsidRDefault="00B61503" w:rsidP="00057B42">
      <w:pPr>
        <w:keepNext/>
        <w:spacing w:line="360" w:lineRule="auto"/>
        <w:rPr>
          <w:b/>
          <w:noProof/>
          <w:szCs w:val="18"/>
        </w:rPr>
      </w:pPr>
    </w:p>
    <w:p w:rsidR="00B61503" w:rsidRDefault="00ED7D82" w:rsidP="00057B42">
      <w:pPr>
        <w:keepNext/>
        <w:spacing w:line="360" w:lineRule="auto"/>
      </w:pPr>
      <w:r>
        <w:rPr>
          <w:b/>
          <w:noProof/>
          <w:szCs w:val="18"/>
          <w:lang w:eastAsia="en-IE"/>
        </w:rPr>
        <w:drawing>
          <wp:inline distT="0" distB="0" distL="0" distR="0" wp14:anchorId="594DD871" wp14:editId="1A754936">
            <wp:extent cx="5382895" cy="3657600"/>
            <wp:effectExtent l="0" t="0" r="8255"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82895" cy="3657600"/>
                    </a:xfrm>
                    <a:prstGeom prst="rect">
                      <a:avLst/>
                    </a:prstGeom>
                    <a:noFill/>
                    <a:ln>
                      <a:noFill/>
                    </a:ln>
                  </pic:spPr>
                </pic:pic>
              </a:graphicData>
            </a:graphic>
          </wp:inline>
        </w:drawing>
      </w:r>
    </w:p>
    <w:p w:rsidR="00B61503" w:rsidRDefault="00B61503" w:rsidP="00057B42">
      <w:pPr>
        <w:pStyle w:val="Caption"/>
        <w:pBdr>
          <w:bottom w:val="single" w:sz="12" w:space="1" w:color="auto"/>
        </w:pBdr>
        <w:jc w:val="both"/>
        <w:rPr>
          <w:b w:val="0"/>
        </w:rPr>
      </w:pPr>
    </w:p>
    <w:p w:rsidR="00B61503" w:rsidRPr="00D74982" w:rsidRDefault="00B61503" w:rsidP="00057B42">
      <w:pPr>
        <w:pStyle w:val="Caption"/>
        <w:pBdr>
          <w:bottom w:val="single" w:sz="12" w:space="1" w:color="auto"/>
        </w:pBdr>
        <w:jc w:val="both"/>
      </w:pPr>
      <w:r w:rsidRPr="00D74982">
        <w:t xml:space="preserve">Figure </w:t>
      </w:r>
      <w:fldSimple w:instr=" STYLEREF 1 \s ">
        <w:r w:rsidR="0081644B">
          <w:rPr>
            <w:noProof/>
          </w:rPr>
          <w:t>4</w:t>
        </w:r>
      </w:fldSimple>
      <w:r w:rsidR="008A68DC">
        <w:noBreakHyphen/>
      </w:r>
      <w:fldSimple w:instr=" SEQ Figure \* ARABIC \s 1 ">
        <w:r w:rsidR="0081644B">
          <w:rPr>
            <w:noProof/>
          </w:rPr>
          <w:t>3</w:t>
        </w:r>
      </w:fldSimple>
      <w:r w:rsidRPr="00D74982">
        <w:t xml:space="preserve"> shows the Multiple Affinity Removal System provides ~94% total protein mass removal from plasma/serum and longest column lifetime when compared to other products. This translates to the lowest cost per ml of d</w:t>
      </w:r>
      <w:r w:rsidR="004D56C5">
        <w:t xml:space="preserve">epleted sample. </w:t>
      </w:r>
      <w:r w:rsidRPr="00D74982">
        <w:t xml:space="preserve">The Multiple Affinity Removal System also provides the greatest ease of use, highest selectivity and reproducibility (Reproduce from Agilent Technologies website </w:t>
      </w:r>
      <w:hyperlink r:id="rId128" w:history="1">
        <w:r w:rsidRPr="00D74982">
          <w:rPr>
            <w:rStyle w:val="Hyperlink"/>
          </w:rPr>
          <w:t>http://www.chem.agilent.com</w:t>
        </w:r>
      </w:hyperlink>
      <w:r w:rsidRPr="00D74982">
        <w:t>).</w:t>
      </w:r>
    </w:p>
    <w:p w:rsidR="00B61503" w:rsidRDefault="00B61503" w:rsidP="00057B42">
      <w:pPr>
        <w:pStyle w:val="Caption"/>
        <w:pBdr>
          <w:bottom w:val="single" w:sz="12" w:space="1" w:color="auto"/>
        </w:pBdr>
        <w:jc w:val="both"/>
        <w:rPr>
          <w:b w:val="0"/>
        </w:rPr>
      </w:pPr>
    </w:p>
    <w:p w:rsidR="00CD1970" w:rsidRPr="00B933E7" w:rsidRDefault="00CD1970" w:rsidP="00057B42">
      <w:pPr>
        <w:spacing w:line="360" w:lineRule="auto"/>
      </w:pPr>
      <w:bookmarkStart w:id="1791" w:name="_Toc305690075"/>
      <w:bookmarkStart w:id="1792" w:name="_Toc302582416"/>
    </w:p>
    <w:p w:rsidR="00B61503" w:rsidRDefault="00D932D8" w:rsidP="00645687">
      <w:pPr>
        <w:pStyle w:val="Heading2"/>
        <w:numPr>
          <w:ilvl w:val="2"/>
          <w:numId w:val="19"/>
        </w:numPr>
      </w:pPr>
      <w:bookmarkStart w:id="1793" w:name="_Toc306570767"/>
      <w:bookmarkStart w:id="1794" w:name="_Toc307067827"/>
      <w:r>
        <w:tab/>
      </w:r>
      <w:bookmarkStart w:id="1795" w:name="_Toc312169394"/>
      <w:bookmarkStart w:id="1796" w:name="_Toc312172321"/>
      <w:bookmarkStart w:id="1797" w:name="_Toc312257870"/>
      <w:r w:rsidR="00B61503">
        <w:t xml:space="preserve">Selection of </w:t>
      </w:r>
      <w:r w:rsidR="00B61503" w:rsidRPr="001A6261">
        <w:t>2</w:t>
      </w:r>
      <w:r w:rsidR="00BF6B2E">
        <w:t>D</w:t>
      </w:r>
      <w:r w:rsidR="00B61503" w:rsidRPr="001A6261">
        <w:t>-DIGE</w:t>
      </w:r>
      <w:bookmarkEnd w:id="1791"/>
      <w:bookmarkEnd w:id="1793"/>
      <w:bookmarkEnd w:id="1794"/>
      <w:bookmarkEnd w:id="1795"/>
      <w:bookmarkEnd w:id="1796"/>
      <w:bookmarkEnd w:id="1797"/>
      <w:r w:rsidR="00B61503" w:rsidRPr="001A6261">
        <w:t xml:space="preserve"> </w:t>
      </w:r>
      <w:bookmarkEnd w:id="1792"/>
    </w:p>
    <w:p w:rsidR="00B61503" w:rsidRPr="001A6261" w:rsidRDefault="00B61503" w:rsidP="00D40710">
      <w:pPr>
        <w:spacing w:before="240" w:line="360" w:lineRule="auto"/>
        <w:jc w:val="both"/>
      </w:pPr>
      <w:r w:rsidRPr="001A6261">
        <w:t>Even if a sample is immunodepleted it is still much too complex to be directly infused in to the mass spectrometer with</w:t>
      </w:r>
      <w:r>
        <w:t>out</w:t>
      </w:r>
      <w:r w:rsidRPr="001A6261">
        <w:t xml:space="preserve"> the anticipation of obtaining thousands of </w:t>
      </w:r>
      <w:r>
        <w:t>irrelevant peptide identifications. A</w:t>
      </w:r>
      <w:r w:rsidRPr="001A6261">
        <w:t xml:space="preserve"> basic strategy is to effectively separate peptides, so that the mass spectrometer has the opportunity to identify as many of the proteins as possible.  In this study, to identify proteins in biomarker discovery we used </w:t>
      </w:r>
      <w:r>
        <w:t xml:space="preserve">the </w:t>
      </w:r>
      <w:r w:rsidRPr="001A6261">
        <w:t>2</w:t>
      </w:r>
      <w:r w:rsidR="00BF6B2E">
        <w:t>D</w:t>
      </w:r>
      <w:r w:rsidRPr="001A6261">
        <w:t xml:space="preserve">-DIGE technique to study the changes in protein abundance level in multiple serum samples. The </w:t>
      </w:r>
      <w:r w:rsidR="00BF6B2E">
        <w:t>2D-</w:t>
      </w:r>
      <w:r w:rsidRPr="001A6261">
        <w:t xml:space="preserve">DIGE technique was first described by Jon </w:t>
      </w:r>
      <w:r w:rsidRPr="001A6261">
        <w:lastRenderedPageBreak/>
        <w:t xml:space="preserve">Minden’s laboratory (Ünlü, Morgan et al. 1997) and is now available as a </w:t>
      </w:r>
      <w:r>
        <w:t xml:space="preserve">standard </w:t>
      </w:r>
      <w:r w:rsidR="00261DA5">
        <w:t>technique from GE He</w:t>
      </w:r>
      <w:r w:rsidR="00261DA5" w:rsidRPr="00261DA5">
        <w:t>althcare</w:t>
      </w:r>
      <w:r w:rsidR="00261DA5">
        <w:t xml:space="preserve"> / </w:t>
      </w:r>
      <w:r w:rsidRPr="001A6261">
        <w:t xml:space="preserve">Amersham Biosciences. This method has become increasingly popular, as illustrated by the over 250 manuscripts listed on PubMed for the year 2007 </w:t>
      </w:r>
      <w:r>
        <w:t xml:space="preserve">alone </w:t>
      </w:r>
      <w:r w:rsidRPr="001A6261">
        <w:t xml:space="preserve">(the start date of this study) that used this technique. </w:t>
      </w:r>
    </w:p>
    <w:p w:rsidR="00780B2C" w:rsidRDefault="00780B2C" w:rsidP="00057B42">
      <w:pPr>
        <w:spacing w:line="360" w:lineRule="auto"/>
        <w:jc w:val="both"/>
      </w:pPr>
    </w:p>
    <w:p w:rsidR="00B61503" w:rsidRDefault="00B61503" w:rsidP="00057B42">
      <w:pPr>
        <w:spacing w:line="360" w:lineRule="auto"/>
        <w:jc w:val="both"/>
        <w:rPr>
          <w:color w:val="000000"/>
        </w:rPr>
      </w:pPr>
      <w:r w:rsidRPr="001A6261">
        <w:t xml:space="preserve">In this study three different proteome samples were compared on a single 2D-DIGE Gel. The three groups were comprised of: responders and non-responders to thalidomide and the internal control. </w:t>
      </w:r>
      <w:r w:rsidRPr="001A6261">
        <w:rPr>
          <w:color w:val="000000"/>
        </w:rPr>
        <w:t xml:space="preserve">We used minimal dyes techniques to label these samples with either Cy3 or Cy5 dyes, whereas Cy2 dye </w:t>
      </w:r>
      <w:r>
        <w:rPr>
          <w:color w:val="000000"/>
        </w:rPr>
        <w:t xml:space="preserve">was used </w:t>
      </w:r>
      <w:r w:rsidRPr="001A6261">
        <w:rPr>
          <w:color w:val="000000"/>
        </w:rPr>
        <w:t xml:space="preserve">to label a pooled sample comprising equal amounts of each of the MM patients serum samples and acts as an internal standard.  This </w:t>
      </w:r>
      <w:r>
        <w:rPr>
          <w:color w:val="000000"/>
        </w:rPr>
        <w:t>ensures</w:t>
      </w:r>
      <w:r w:rsidRPr="001A6261">
        <w:rPr>
          <w:color w:val="000000"/>
        </w:rPr>
        <w:t xml:space="preserve"> </w:t>
      </w:r>
      <w:r>
        <w:rPr>
          <w:color w:val="000000"/>
        </w:rPr>
        <w:t xml:space="preserve">firstly, </w:t>
      </w:r>
      <w:r w:rsidRPr="001A6261">
        <w:rPr>
          <w:color w:val="000000"/>
        </w:rPr>
        <w:t xml:space="preserve">that all proteins present in the studied serum samples were represented. </w:t>
      </w:r>
      <w:r>
        <w:rPr>
          <w:color w:val="000000"/>
        </w:rPr>
        <w:t>Secondly, t</w:t>
      </w:r>
      <w:r w:rsidRPr="001A6261">
        <w:rPr>
          <w:color w:val="000000"/>
        </w:rPr>
        <w:t>his also make certain that variation in the protein spot volumes due to gel-specific experimental factors, such as protein loss during sample entry into the strip, were the same for each sample within a single gel. Therefore, the relative amount of a protein in a gel in one sample compared with another w</w:t>
      </w:r>
      <w:r>
        <w:rPr>
          <w:color w:val="000000"/>
        </w:rPr>
        <w:t xml:space="preserve">as not </w:t>
      </w:r>
      <w:r w:rsidR="00D40710">
        <w:rPr>
          <w:color w:val="000000"/>
        </w:rPr>
        <w:t>affected</w:t>
      </w:r>
      <w:r w:rsidRPr="001A6261">
        <w:rPr>
          <w:color w:val="000000"/>
        </w:rPr>
        <w:t xml:space="preserve"> (Alban, David et al. 2003). In this study the spot volumes from the labelled samples were compared to the internal standard giving standardised abundances. </w:t>
      </w:r>
    </w:p>
    <w:p w:rsidR="006538B7" w:rsidRDefault="006538B7" w:rsidP="00057B42">
      <w:pPr>
        <w:spacing w:line="360" w:lineRule="auto"/>
        <w:jc w:val="both"/>
        <w:rPr>
          <w:color w:val="000000"/>
        </w:rPr>
      </w:pPr>
    </w:p>
    <w:p w:rsidR="00B61503" w:rsidRDefault="00B61503" w:rsidP="00645687">
      <w:pPr>
        <w:pStyle w:val="Heading2"/>
        <w:numPr>
          <w:ilvl w:val="3"/>
          <w:numId w:val="19"/>
        </w:numPr>
      </w:pPr>
      <w:r>
        <w:tab/>
      </w:r>
      <w:bookmarkStart w:id="1798" w:name="_Toc305690076"/>
      <w:bookmarkStart w:id="1799" w:name="_Toc306570768"/>
      <w:bookmarkStart w:id="1800" w:name="_Toc307067828"/>
      <w:bookmarkStart w:id="1801" w:name="_Toc312169395"/>
      <w:bookmarkStart w:id="1802" w:name="_Toc312172322"/>
      <w:bookmarkStart w:id="1803" w:name="_Toc312257871"/>
      <w:r>
        <w:t>2</w:t>
      </w:r>
      <w:r w:rsidR="00D40710">
        <w:t>D</w:t>
      </w:r>
      <w:r>
        <w:t>-DIGE data</w:t>
      </w:r>
      <w:bookmarkEnd w:id="1798"/>
      <w:bookmarkEnd w:id="1799"/>
      <w:bookmarkEnd w:id="1800"/>
      <w:bookmarkEnd w:id="1801"/>
      <w:bookmarkEnd w:id="1802"/>
      <w:bookmarkEnd w:id="1803"/>
    </w:p>
    <w:p w:rsidR="00B61503" w:rsidRDefault="00B61503" w:rsidP="00000025">
      <w:pPr>
        <w:spacing w:before="240" w:line="360" w:lineRule="auto"/>
        <w:jc w:val="both"/>
      </w:pPr>
      <w:r w:rsidRPr="00FE5B3D">
        <w:t>Six serum proteins exhibited a statistically significant difference in abundance level between the thalidomide responders and non-responders. Vitamin D binding Precursor (VDB), Transthyretin (TYR), Zinc alpha 2-glycoprotein (ZAG), Serum Amyloid A protein (SAA), Beta-2-microglobulin (B2M), had higher abundance level with a fold changes of 1.31 (</w:t>
      </w:r>
      <w:r w:rsidR="0010315E" w:rsidRPr="0010315E">
        <w:rPr>
          <w:i/>
        </w:rPr>
        <w:t>p=</w:t>
      </w:r>
      <w:r w:rsidRPr="00FE5B3D">
        <w:t>0.00044), 1.32 (</w:t>
      </w:r>
      <w:r w:rsidR="0010315E" w:rsidRPr="0010315E">
        <w:rPr>
          <w:i/>
        </w:rPr>
        <w:t>p=</w:t>
      </w:r>
      <w:r w:rsidRPr="00FE5B3D">
        <w:t>0.0077), 1.48 (</w:t>
      </w:r>
      <w:r w:rsidR="0010315E" w:rsidRPr="0010315E">
        <w:rPr>
          <w:i/>
        </w:rPr>
        <w:t>p=</w:t>
      </w:r>
      <w:r w:rsidRPr="00FE5B3D">
        <w:t xml:space="preserve"> 0.0000022),  3.01 (</w:t>
      </w:r>
      <w:r w:rsidR="0010315E" w:rsidRPr="0010315E">
        <w:rPr>
          <w:i/>
        </w:rPr>
        <w:t>p=</w:t>
      </w:r>
      <w:r w:rsidRPr="00FE5B3D">
        <w:t>0.006) and 1.96 (</w:t>
      </w:r>
      <w:r w:rsidR="0010315E" w:rsidRPr="0010315E">
        <w:rPr>
          <w:i/>
        </w:rPr>
        <w:t>p=</w:t>
      </w:r>
      <w:r w:rsidRPr="00FE5B3D">
        <w:t>0.0015) fold increase in non-responders compared to responders, respectively. In contrast Haptoglobin (Hp) had a lower abundance level in non-responders compared to responder with a fold change of 3.01 (</w:t>
      </w:r>
      <w:r w:rsidR="0010315E" w:rsidRPr="0010315E">
        <w:rPr>
          <w:i/>
        </w:rPr>
        <w:t>p=</w:t>
      </w:r>
      <w:r w:rsidRPr="00FE5B3D">
        <w:t>0.0015)</w:t>
      </w:r>
      <w:r>
        <w:t>.</w:t>
      </w:r>
    </w:p>
    <w:p w:rsidR="00D40710" w:rsidRDefault="00D40710" w:rsidP="00057B42">
      <w:pPr>
        <w:spacing w:line="360" w:lineRule="auto"/>
        <w:jc w:val="both"/>
      </w:pPr>
    </w:p>
    <w:p w:rsidR="00B61503" w:rsidRPr="00FE5B3D" w:rsidRDefault="00B61503" w:rsidP="00057B42">
      <w:pPr>
        <w:spacing w:line="360" w:lineRule="auto"/>
        <w:jc w:val="both"/>
      </w:pPr>
    </w:p>
    <w:p w:rsidR="00B61503" w:rsidRDefault="00B61503" w:rsidP="00645687">
      <w:pPr>
        <w:pStyle w:val="Heading2"/>
        <w:numPr>
          <w:ilvl w:val="3"/>
          <w:numId w:val="19"/>
        </w:numPr>
      </w:pPr>
      <w:bookmarkStart w:id="1804" w:name="_Toc302582427"/>
      <w:r>
        <w:lastRenderedPageBreak/>
        <w:tab/>
      </w:r>
      <w:bookmarkStart w:id="1805" w:name="_Toc305690077"/>
      <w:bookmarkStart w:id="1806" w:name="_Toc306570769"/>
      <w:bookmarkStart w:id="1807" w:name="_Toc307067829"/>
      <w:bookmarkStart w:id="1808" w:name="_Toc312169396"/>
      <w:bookmarkStart w:id="1809" w:name="_Toc312172323"/>
      <w:bookmarkStart w:id="1810" w:name="_Toc312257872"/>
      <w:r w:rsidRPr="001A6261">
        <w:t>Shortcomings of the system</w:t>
      </w:r>
      <w:bookmarkEnd w:id="1804"/>
      <w:bookmarkEnd w:id="1805"/>
      <w:bookmarkEnd w:id="1806"/>
      <w:bookmarkEnd w:id="1807"/>
      <w:bookmarkEnd w:id="1808"/>
      <w:bookmarkEnd w:id="1809"/>
      <w:bookmarkEnd w:id="1810"/>
    </w:p>
    <w:p w:rsidR="00B61503" w:rsidRDefault="00B61503" w:rsidP="00000025">
      <w:pPr>
        <w:spacing w:before="240" w:line="360" w:lineRule="auto"/>
        <w:jc w:val="both"/>
      </w:pPr>
      <w:r w:rsidRPr="001A6261">
        <w:rPr>
          <w:color w:val="000000"/>
        </w:rPr>
        <w:t xml:space="preserve">Regardless of the benefits of 2D-DIGE, </w:t>
      </w:r>
      <w:r>
        <w:rPr>
          <w:color w:val="000000"/>
        </w:rPr>
        <w:t xml:space="preserve">the </w:t>
      </w:r>
      <w:r w:rsidRPr="001A6261">
        <w:rPr>
          <w:color w:val="000000"/>
        </w:rPr>
        <w:t>procedure itself has certain boundaries.  For global expression analysis, every protein should be resolved as a discrete detectable spot. In case of very low abundant protein spot,</w:t>
      </w:r>
      <w:r w:rsidRPr="001A6261">
        <w:t xml:space="preserve"> software used to analyse the gels is only as accurate as the spot resolution in the gel and, the user refining the true spots versus the background. This limitation makes it crucial to have an experienced supervisor helping in defining and outlining the spots for the software to analyses. In this study, the supervisors have extensive experience and publication in this field </w:t>
      </w:r>
      <w:r w:rsidRPr="001A6261">
        <w:fldChar w:fldCharType="begin">
          <w:fldData xml:space="preserve">PEVuZE5vdGU+PENpdGU+PEF1dGhvcj5Eb3dsaW5nPC9BdXRob3I+PFllYXI+MjAwNzwvWWVhcj48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</w:fldData>
        </w:fldChar>
      </w:r>
      <w:r w:rsidR="00930156">
        <w:instrText xml:space="preserve"> ADDIN EN.CITE </w:instrText>
      </w:r>
      <w:r w:rsidR="00930156">
        <w:fldChar w:fldCharType="begin">
          <w:fldData xml:space="preserve">PEVuZE5vdGU+PENpdGU+PEF1dGhvcj5Eb3dsaW5nPC9BdXRob3I+PFllYXI+MjAwNzwvWWVhcj48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</w:fldData>
        </w:fldChar>
      </w:r>
      <w:r w:rsidR="00930156">
        <w:instrText xml:space="preserve"> ADDIN EN.CITE.DATA </w:instrText>
      </w:r>
      <w:r w:rsidR="00930156">
        <w:fldChar w:fldCharType="end"/>
      </w:r>
      <w:r w:rsidRPr="001A6261">
        <w:fldChar w:fldCharType="separate"/>
      </w:r>
      <w:r w:rsidR="006F41FE">
        <w:rPr>
          <w:noProof/>
        </w:rPr>
        <w:t>(</w:t>
      </w:r>
      <w:hyperlink w:anchor="_ENREF_106" w:tooltip="Dowling, 2007 #730" w:history="1">
        <w:r w:rsidR="004A784D">
          <w:rPr>
            <w:noProof/>
          </w:rPr>
          <w:t>Dowling et al., 2007a</w:t>
        </w:r>
      </w:hyperlink>
      <w:r w:rsidR="006F41FE">
        <w:rPr>
          <w:noProof/>
        </w:rPr>
        <w:t xml:space="preserve">, </w:t>
      </w:r>
      <w:hyperlink w:anchor="_ENREF_107" w:tooltip="Dowling, 2007 #5267" w:history="1">
        <w:r w:rsidR="004A784D">
          <w:rPr>
            <w:noProof/>
          </w:rPr>
          <w:t>Dowling et al., 2007b</w:t>
        </w:r>
      </w:hyperlink>
      <w:r w:rsidR="006F41FE">
        <w:rPr>
          <w:noProof/>
        </w:rPr>
        <w:t>)</w:t>
      </w:r>
      <w:r w:rsidRPr="001A6261">
        <w:fldChar w:fldCharType="end"/>
      </w:r>
      <w:r w:rsidRPr="001A6261">
        <w:t>. The first dimension in a standard two-dimensional gel is the separation of proteins according to their isoelectric point and sample preparation is the key to successful isoelectric focusing (IEF).</w:t>
      </w:r>
    </w:p>
    <w:p w:rsidR="00CD1970" w:rsidRPr="001A6261" w:rsidRDefault="00CD1970" w:rsidP="00057B42">
      <w:pPr>
        <w:spacing w:line="360" w:lineRule="auto"/>
        <w:jc w:val="both"/>
      </w:pPr>
    </w:p>
    <w:p w:rsidR="00B61503" w:rsidRPr="001A6261" w:rsidRDefault="00B61503" w:rsidP="00057B42">
      <w:pPr>
        <w:spacing w:line="360" w:lineRule="auto"/>
        <w:jc w:val="both"/>
      </w:pPr>
      <w:r w:rsidRPr="001A6261">
        <w:rPr>
          <w:color w:val="000000"/>
        </w:rPr>
        <w:t>Co-migration was also an issue, with proteins of similar denatured molecular weight becoming focused at the same position of the gel. This makes it difficult to accurately determine the relative abundance of an individual protein within a mixed spot. We overcome this difficulty by enhancing resolution of protein by using  narrow range immobilised pH gradient (IPG) strips and pre-fractionation of serum sample</w:t>
      </w:r>
      <w:r w:rsidR="00D40710">
        <w:rPr>
          <w:color w:val="000000"/>
        </w:rPr>
        <w:t xml:space="preserve"> (Tonella, Hoogland et al. 2001, </w:t>
      </w:r>
      <w:r w:rsidRPr="001A6261">
        <w:fldChar w:fldCharType="begin">
          <w:fldData xml:space="preserve">PEVuZE5vdGU+PENpdGU+PEF1dGhvcj5BbmRlcnNlbjwvQXV0aG9yPjxSZWNOdW0+Mzg8L1JlY051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</w:fldData>
        </w:fldChar>
      </w:r>
      <w:r w:rsidR="008E71E8">
        <w:instrText xml:space="preserve"> ADDIN EN.CITE </w:instrText>
      </w:r>
      <w:r w:rsidR="008E71E8">
        <w:fldChar w:fldCharType="begin">
          <w:fldData xml:space="preserve">PEVuZE5vdGU+PENpdGU+PEF1dGhvcj5BbmRlcnNlbjwvQXV0aG9yPjxSZWNOdW0+Mzg8L1JlY051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</w:fldData>
        </w:fldChar>
      </w:r>
      <w:r w:rsidR="008E71E8">
        <w:instrText xml:space="preserve"> ADDIN EN.CITE.DATA </w:instrText>
      </w:r>
      <w:r w:rsidR="008E71E8">
        <w:fldChar w:fldCharType="end"/>
      </w:r>
      <w:r w:rsidRPr="001A6261">
        <w:fldChar w:fldCharType="separate"/>
      </w:r>
      <w:r w:rsidR="008E71E8">
        <w:rPr>
          <w:noProof/>
        </w:rPr>
        <w:t>(</w:t>
      </w:r>
      <w:hyperlink w:anchor="_ENREF_19" w:tooltip="Andersen,  #38" w:history="1">
        <w:r w:rsidR="004A784D">
          <w:rPr>
            <w:noProof/>
          </w:rPr>
          <w:t>Andersen et al.</w:t>
        </w:r>
      </w:hyperlink>
      <w:r w:rsidR="008E71E8">
        <w:rPr>
          <w:noProof/>
        </w:rPr>
        <w:t>)</w:t>
      </w:r>
      <w:r w:rsidRPr="001A6261">
        <w:fldChar w:fldCharType="end"/>
      </w:r>
      <w:r>
        <w:t xml:space="preserve">. </w:t>
      </w:r>
    </w:p>
    <w:p w:rsidR="00B61503" w:rsidRDefault="00B61503" w:rsidP="00057B42">
      <w:pPr>
        <w:spacing w:line="360" w:lineRule="auto"/>
        <w:jc w:val="both"/>
        <w:rPr>
          <w:color w:val="000000"/>
        </w:rPr>
      </w:pPr>
    </w:p>
    <w:p w:rsidR="00B61503" w:rsidRPr="001A6261" w:rsidRDefault="00B61503" w:rsidP="00057B42">
      <w:pPr>
        <w:spacing w:line="360" w:lineRule="auto"/>
        <w:jc w:val="both"/>
        <w:rPr>
          <w:color w:val="000000"/>
        </w:rPr>
      </w:pPr>
    </w:p>
    <w:p w:rsidR="00B61503" w:rsidRDefault="00B61503" w:rsidP="00645687">
      <w:pPr>
        <w:pStyle w:val="Heading2"/>
        <w:numPr>
          <w:ilvl w:val="2"/>
          <w:numId w:val="19"/>
        </w:numPr>
      </w:pPr>
      <w:bookmarkStart w:id="1811" w:name="_Toc302582417"/>
      <w:r>
        <w:br w:type="page"/>
      </w:r>
      <w:r>
        <w:lastRenderedPageBreak/>
        <w:tab/>
      </w:r>
      <w:bookmarkStart w:id="1812" w:name="_Toc305690078"/>
      <w:bookmarkStart w:id="1813" w:name="_Toc306570770"/>
      <w:bookmarkStart w:id="1814" w:name="_Toc307067830"/>
      <w:bookmarkStart w:id="1815" w:name="_Toc312169397"/>
      <w:bookmarkStart w:id="1816" w:name="_Toc312172324"/>
      <w:bookmarkStart w:id="1817" w:name="_Toc312257873"/>
      <w:r>
        <w:t>Bioinformatics analysis</w:t>
      </w:r>
      <w:bookmarkEnd w:id="1812"/>
      <w:bookmarkEnd w:id="1813"/>
      <w:bookmarkEnd w:id="1814"/>
      <w:bookmarkEnd w:id="1815"/>
      <w:bookmarkEnd w:id="1816"/>
      <w:bookmarkEnd w:id="1817"/>
      <w:r>
        <w:t xml:space="preserve"> </w:t>
      </w:r>
      <w:bookmarkEnd w:id="1811"/>
    </w:p>
    <w:p w:rsidR="00B61503" w:rsidRDefault="00B61503" w:rsidP="00D40710">
      <w:pPr>
        <w:spacing w:before="240" w:line="360" w:lineRule="auto"/>
        <w:jc w:val="both"/>
        <w:rPr>
          <w:color w:val="000000"/>
        </w:rPr>
      </w:pPr>
      <w:r w:rsidRPr="001A6261">
        <w:rPr>
          <w:color w:val="000000"/>
        </w:rPr>
        <w:t>Once the study of serum samples from multiple myeloma patients w</w:t>
      </w:r>
      <w:r>
        <w:rPr>
          <w:color w:val="000000"/>
        </w:rPr>
        <w:t>ere concluded,   further analyse</w:t>
      </w:r>
      <w:r w:rsidRPr="001A6261">
        <w:rPr>
          <w:color w:val="000000"/>
        </w:rPr>
        <w:t xml:space="preserve">s were </w:t>
      </w:r>
      <w:r>
        <w:rPr>
          <w:color w:val="000000"/>
        </w:rPr>
        <w:t>performed</w:t>
      </w:r>
      <w:r w:rsidRPr="001A6261">
        <w:rPr>
          <w:color w:val="000000"/>
        </w:rPr>
        <w:t xml:space="preserve"> using bioinformatics software developed for the </w:t>
      </w:r>
      <w:r w:rsidR="006470B6">
        <w:rPr>
          <w:color w:val="000000"/>
        </w:rPr>
        <w:t>2D-</w:t>
      </w:r>
      <w:r w:rsidRPr="001A6261">
        <w:rPr>
          <w:color w:val="000000"/>
        </w:rPr>
        <w:t>DIGE system (DeCyderTM by Amersham Bioscience, Sweden). This software allowed us to co-detect algorithm that simultaneously identifies labelled protein spots from images that arise from the same gel.   The standardised abundances are then compared across the study groups of patient</w:t>
      </w:r>
      <w:r>
        <w:rPr>
          <w:color w:val="000000"/>
        </w:rPr>
        <w:t>s</w:t>
      </w:r>
      <w:r w:rsidRPr="001A6261">
        <w:rPr>
          <w:color w:val="000000"/>
        </w:rPr>
        <w:t xml:space="preserve"> that are responders and non-responders to thalidomide based therapy to detect changes in protein expression. The multi-gel approach allowed us to collect many data points for comparison.  </w:t>
      </w:r>
    </w:p>
    <w:p w:rsidR="00B61503" w:rsidRDefault="00B61503" w:rsidP="00057B42">
      <w:pPr>
        <w:spacing w:line="360" w:lineRule="auto"/>
        <w:jc w:val="both"/>
        <w:rPr>
          <w:color w:val="000000"/>
        </w:rPr>
      </w:pPr>
    </w:p>
    <w:p w:rsidR="00B61503" w:rsidRDefault="00B61503" w:rsidP="00645687">
      <w:pPr>
        <w:pStyle w:val="Heading2"/>
        <w:numPr>
          <w:ilvl w:val="3"/>
          <w:numId w:val="19"/>
        </w:numPr>
      </w:pPr>
      <w:r>
        <w:tab/>
      </w:r>
      <w:bookmarkStart w:id="1818" w:name="_Toc305690079"/>
      <w:bookmarkStart w:id="1819" w:name="_Toc306570771"/>
      <w:bookmarkStart w:id="1820" w:name="_Toc307067831"/>
      <w:bookmarkStart w:id="1821" w:name="_Toc312169398"/>
      <w:bookmarkStart w:id="1822" w:name="_Toc312172325"/>
      <w:bookmarkStart w:id="1823" w:name="_Toc312257874"/>
      <w:r w:rsidRPr="001A6261">
        <w:t>DeCyder analysis</w:t>
      </w:r>
      <w:bookmarkEnd w:id="1818"/>
      <w:bookmarkEnd w:id="1819"/>
      <w:bookmarkEnd w:id="1820"/>
      <w:bookmarkEnd w:id="1821"/>
      <w:bookmarkEnd w:id="1822"/>
      <w:bookmarkEnd w:id="1823"/>
    </w:p>
    <w:p w:rsidR="00B61503" w:rsidRDefault="00B61503" w:rsidP="00D40710">
      <w:pPr>
        <w:spacing w:before="240" w:line="360" w:lineRule="auto"/>
        <w:jc w:val="both"/>
        <w:rPr>
          <w:bCs/>
        </w:rPr>
      </w:pPr>
      <w:r>
        <w:rPr>
          <w:color w:val="000000"/>
        </w:rPr>
        <w:t>Therefore, DeCyder software</w:t>
      </w:r>
      <w:r w:rsidRPr="001A6261">
        <w:rPr>
          <w:color w:val="000000"/>
        </w:rPr>
        <w:t xml:space="preserve"> offered us </w:t>
      </w:r>
      <w:r>
        <w:rPr>
          <w:color w:val="000000"/>
        </w:rPr>
        <w:t xml:space="preserve">a </w:t>
      </w:r>
      <w:r w:rsidRPr="001A6261">
        <w:rPr>
          <w:color w:val="000000"/>
        </w:rPr>
        <w:t xml:space="preserve">unique approach with 2D-DIGE to determine accurate measurements of differential protein expression. This approach allowed distinguishing between gel variation and true biological variation. </w:t>
      </w:r>
      <w:r w:rsidRPr="00020A2D">
        <w:rPr>
          <w:color w:val="000000"/>
        </w:rPr>
        <w:t xml:space="preserve">DeCyder software </w:t>
      </w:r>
      <w:r>
        <w:rPr>
          <w:color w:val="000000"/>
        </w:rPr>
        <w:t>also</w:t>
      </w:r>
      <w:r w:rsidRPr="00020A2D">
        <w:rPr>
          <w:color w:val="000000"/>
        </w:rPr>
        <w:t xml:space="preserve"> evaluated for reproducibility and statistical significance</w:t>
      </w:r>
      <w:r>
        <w:rPr>
          <w:color w:val="000000"/>
        </w:rPr>
        <w:t xml:space="preserve"> </w:t>
      </w:r>
      <w:r>
        <w:rPr>
          <w:color w:val="000000"/>
        </w:rPr>
        <w:fldChar w:fldCharType="begin">
          <w:fldData xml:space="preserve">PEVuZE5vdGU+PENpdGU+PEF1dGhvcj5IdWFuZzwvQXV0aG9yPjxZZWFyPjIwMDY8L1llYXI+PFJl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</w:fldData>
        </w:fldChar>
      </w:r>
      <w:r w:rsidR="006F41FE">
        <w:rPr>
          <w:color w:val="000000"/>
        </w:rPr>
        <w:instrText xml:space="preserve"> ADDIN EN.CITE </w:instrText>
      </w:r>
      <w:r w:rsidR="006F41FE">
        <w:rPr>
          <w:color w:val="000000"/>
        </w:rPr>
        <w:fldChar w:fldCharType="begin">
          <w:fldData xml:space="preserve">PEVuZE5vdGU+PENpdGU+PEF1dGhvcj5IdWFuZzwvQXV0aG9yPjxZZWFyPjIwMDY8L1llYXI+PFJl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Pr>
          <w:color w:val="000000"/>
        </w:rPr>
      </w:r>
      <w:r>
        <w:rPr>
          <w:color w:val="000000"/>
        </w:rPr>
        <w:fldChar w:fldCharType="separate"/>
      </w:r>
      <w:r w:rsidR="006F41FE">
        <w:rPr>
          <w:noProof/>
          <w:color w:val="000000"/>
        </w:rPr>
        <w:t>(</w:t>
      </w:r>
      <w:hyperlink w:anchor="_ENREF_184" w:tooltip="Huang, 2006 #4907" w:history="1">
        <w:r w:rsidR="004A784D">
          <w:rPr>
            <w:noProof/>
            <w:color w:val="000000"/>
          </w:rPr>
          <w:t>Huang et al., 2006</w:t>
        </w:r>
      </w:hyperlink>
      <w:r w:rsidR="006F41FE">
        <w:rPr>
          <w:noProof/>
          <w:color w:val="000000"/>
        </w:rPr>
        <w:t>)</w:t>
      </w:r>
      <w:r>
        <w:rPr>
          <w:color w:val="000000"/>
        </w:rPr>
        <w:fldChar w:fldCharType="end"/>
      </w:r>
      <w:r>
        <w:rPr>
          <w:color w:val="000000"/>
        </w:rPr>
        <w:t xml:space="preserve">. </w:t>
      </w:r>
      <w:r w:rsidRPr="001A6261">
        <w:rPr>
          <w:color w:val="000000"/>
        </w:rPr>
        <w:t>Using the analysis of variance (ANOVA)</w:t>
      </w:r>
      <w:r>
        <w:rPr>
          <w:color w:val="000000"/>
        </w:rPr>
        <w:t xml:space="preserve"> based </w:t>
      </w:r>
      <w:r w:rsidRPr="001A6261">
        <w:rPr>
          <w:color w:val="000000"/>
        </w:rPr>
        <w:t>statistical</w:t>
      </w:r>
      <w:r>
        <w:rPr>
          <w:color w:val="000000"/>
        </w:rPr>
        <w:t xml:space="preserve"> method</w:t>
      </w:r>
      <w:r w:rsidRPr="001A6261">
        <w:rPr>
          <w:color w:val="000000"/>
        </w:rPr>
        <w:t>, we selected those protein spots with significant abundance change (</w:t>
      </w:r>
      <w:r w:rsidRPr="008F5E6D">
        <w:rPr>
          <w:i/>
          <w:color w:val="000000"/>
        </w:rPr>
        <w:t>p</w:t>
      </w:r>
      <w:r w:rsidRPr="001A6261">
        <w:rPr>
          <w:color w:val="000000"/>
        </w:rPr>
        <w:t xml:space="preserve"> &lt; 0.01) across the two groups of multiple myeloma patients. </w:t>
      </w:r>
      <w:r w:rsidRPr="00B5555E">
        <w:rPr>
          <w:bCs/>
        </w:rPr>
        <w:t xml:space="preserve">The question </w:t>
      </w:r>
      <w:r>
        <w:rPr>
          <w:bCs/>
        </w:rPr>
        <w:t xml:space="preserve">was </w:t>
      </w:r>
      <w:r w:rsidRPr="00B5555E">
        <w:rPr>
          <w:bCs/>
        </w:rPr>
        <w:t>raised here</w:t>
      </w:r>
      <w:r>
        <w:rPr>
          <w:bCs/>
        </w:rPr>
        <w:t>,</w:t>
      </w:r>
      <w:r w:rsidRPr="00B5555E">
        <w:rPr>
          <w:bCs/>
        </w:rPr>
        <w:t xml:space="preserve"> whether these protein data will improve the performance of sample clustering</w:t>
      </w:r>
      <w:r>
        <w:rPr>
          <w:bCs/>
        </w:rPr>
        <w:t xml:space="preserve"> using </w:t>
      </w:r>
      <w:r w:rsidRPr="008F5E6D">
        <w:rPr>
          <w:bCs/>
        </w:rPr>
        <w:t>Principal Components Analysis</w:t>
      </w:r>
      <w:r w:rsidRPr="00B5555E">
        <w:rPr>
          <w:bCs/>
        </w:rPr>
        <w:t xml:space="preserve">. </w:t>
      </w:r>
    </w:p>
    <w:p w:rsidR="001C5327" w:rsidRDefault="001C5327" w:rsidP="00057B42">
      <w:pPr>
        <w:spacing w:line="360" w:lineRule="auto"/>
        <w:jc w:val="both"/>
        <w:rPr>
          <w:bCs/>
        </w:rPr>
      </w:pPr>
    </w:p>
    <w:p w:rsidR="00B61503" w:rsidRDefault="00B61503" w:rsidP="00645687">
      <w:pPr>
        <w:pStyle w:val="Heading2"/>
        <w:numPr>
          <w:ilvl w:val="3"/>
          <w:numId w:val="19"/>
        </w:numPr>
      </w:pPr>
      <w:r>
        <w:tab/>
      </w:r>
      <w:bookmarkStart w:id="1824" w:name="_Toc305690080"/>
      <w:bookmarkStart w:id="1825" w:name="_Toc306570772"/>
      <w:bookmarkStart w:id="1826" w:name="_Toc307067832"/>
      <w:bookmarkStart w:id="1827" w:name="_Toc312169399"/>
      <w:bookmarkStart w:id="1828" w:name="_Toc312172326"/>
      <w:bookmarkStart w:id="1829" w:name="_Toc312257875"/>
      <w:r w:rsidRPr="00B5555E">
        <w:t>Principal Components Analysis</w:t>
      </w:r>
      <w:r>
        <w:t xml:space="preserve"> (PCA)</w:t>
      </w:r>
      <w:bookmarkEnd w:id="1824"/>
      <w:bookmarkEnd w:id="1825"/>
      <w:bookmarkEnd w:id="1826"/>
      <w:bookmarkEnd w:id="1827"/>
      <w:bookmarkEnd w:id="1828"/>
      <w:bookmarkEnd w:id="1829"/>
    </w:p>
    <w:p w:rsidR="00B61503" w:rsidRPr="00B5555E" w:rsidRDefault="00B61503" w:rsidP="00D40710">
      <w:pPr>
        <w:spacing w:before="240" w:line="360" w:lineRule="auto"/>
        <w:jc w:val="both"/>
        <w:rPr>
          <w:bCs/>
        </w:rPr>
      </w:pPr>
      <w:r w:rsidRPr="00B5555E">
        <w:rPr>
          <w:bCs/>
        </w:rPr>
        <w:t>In this study Clinical samples from the same experimental groups are clustered in the same distinct areas, i.e. contained in one half of the plot, confirming consistency of results</w:t>
      </w:r>
      <w:r>
        <w:rPr>
          <w:bCs/>
        </w:rPr>
        <w:t xml:space="preserve">. </w:t>
      </w:r>
      <w:r w:rsidRPr="00B5555E">
        <w:rPr>
          <w:bCs/>
        </w:rPr>
        <w:t>This approach provides</w:t>
      </w:r>
      <w:r>
        <w:rPr>
          <w:bCs/>
        </w:rPr>
        <w:t xml:space="preserve"> us with more</w:t>
      </w:r>
      <w:r w:rsidRPr="00B5555E">
        <w:rPr>
          <w:bCs/>
        </w:rPr>
        <w:t xml:space="preserve"> precise information </w:t>
      </w:r>
      <w:r w:rsidRPr="00D5329E">
        <w:rPr>
          <w:bCs/>
        </w:rPr>
        <w:t>for identifying biomarkers that discriminate among protein samples of inte</w:t>
      </w:r>
      <w:r>
        <w:rPr>
          <w:bCs/>
        </w:rPr>
        <w:t xml:space="preserve">rest </w:t>
      </w:r>
      <w:r>
        <w:rPr>
          <w:bCs/>
        </w:rPr>
        <w:fldChar w:fldCharType="begin">
          <w:fldData xml:space="preserve">PEVuZE5vdGU+PENpdGU+PEF1dGhvcj5XYWxvc3pjenlrPC9BdXRob3I+PFllYXI+MjAxMTwvWWVh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</w:fldData>
        </w:fldChar>
      </w:r>
      <w:r w:rsidR="00930156">
        <w:rPr>
          <w:bCs/>
        </w:rPr>
        <w:instrText xml:space="preserve"> ADDIN EN.CITE </w:instrText>
      </w:r>
      <w:r w:rsidR="00930156">
        <w:rPr>
          <w:bCs/>
        </w:rPr>
        <w:fldChar w:fldCharType="begin">
          <w:fldData xml:space="preserve">PEVuZE5vdGU+PENpdGU+PEF1dGhvcj5XYWxvc3pjenlrPC9BdXRob3I+PFllYXI+MjAxMTwvWWVh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</w:fldData>
        </w:fldChar>
      </w:r>
      <w:r w:rsidR="00930156">
        <w:rPr>
          <w:bCs/>
        </w:rPr>
        <w:instrText xml:space="preserve"> ADDIN EN.CITE.DATA </w:instrText>
      </w:r>
      <w:r w:rsidR="00930156">
        <w:rPr>
          <w:bCs/>
        </w:rPr>
      </w:r>
      <w:r w:rsidR="00930156">
        <w:rPr>
          <w:bCs/>
        </w:rPr>
        <w:fldChar w:fldCharType="end"/>
      </w:r>
      <w:r>
        <w:rPr>
          <w:bCs/>
        </w:rPr>
      </w:r>
      <w:r>
        <w:rPr>
          <w:bCs/>
        </w:rPr>
        <w:fldChar w:fldCharType="separate"/>
      </w:r>
      <w:r w:rsidR="006F41FE">
        <w:rPr>
          <w:bCs/>
          <w:noProof/>
        </w:rPr>
        <w:t>(</w:t>
      </w:r>
      <w:hyperlink w:anchor="_ENREF_444" w:tooltip="Waloszczyk, 2011 #4054" w:history="1">
        <w:r w:rsidR="004A784D">
          <w:rPr>
            <w:bCs/>
            <w:noProof/>
          </w:rPr>
          <w:t>Waloszczyk et al., 2011</w:t>
        </w:r>
      </w:hyperlink>
      <w:r w:rsidR="006F41FE">
        <w:rPr>
          <w:bCs/>
          <w:noProof/>
        </w:rPr>
        <w:t xml:space="preserve">, </w:t>
      </w:r>
      <w:hyperlink w:anchor="_ENREF_23" w:tooltip="Anderson, 2007 #5281" w:history="1">
        <w:r w:rsidR="004A784D">
          <w:rPr>
            <w:bCs/>
            <w:noProof/>
          </w:rPr>
          <w:t>Anderson et al., 2007</w:t>
        </w:r>
      </w:hyperlink>
      <w:r w:rsidR="006F41FE">
        <w:rPr>
          <w:bCs/>
          <w:noProof/>
        </w:rPr>
        <w:t>)</w:t>
      </w:r>
      <w:r>
        <w:rPr>
          <w:bCs/>
        </w:rPr>
        <w:fldChar w:fldCharType="end"/>
      </w:r>
      <w:r>
        <w:rPr>
          <w:bCs/>
        </w:rPr>
        <w:t>.</w:t>
      </w:r>
    </w:p>
    <w:p w:rsidR="00B61503" w:rsidRPr="001A6261" w:rsidRDefault="00B61503" w:rsidP="00057B42">
      <w:pPr>
        <w:spacing w:line="360" w:lineRule="auto"/>
        <w:jc w:val="both"/>
        <w:rPr>
          <w:color w:val="000000"/>
        </w:rPr>
      </w:pPr>
    </w:p>
    <w:p w:rsidR="00B61503" w:rsidRDefault="00B61503" w:rsidP="00645687">
      <w:pPr>
        <w:pStyle w:val="Heading2"/>
        <w:numPr>
          <w:ilvl w:val="2"/>
          <w:numId w:val="19"/>
        </w:numPr>
      </w:pPr>
      <w:r w:rsidRPr="001A6261">
        <w:rPr>
          <w:sz w:val="24"/>
          <w:szCs w:val="24"/>
        </w:rPr>
        <w:br w:type="page"/>
      </w:r>
      <w:bookmarkStart w:id="1830" w:name="_Toc302582418"/>
      <w:bookmarkStart w:id="1831" w:name="_Toc305690081"/>
      <w:r w:rsidR="00300A1B">
        <w:rPr>
          <w:sz w:val="24"/>
          <w:szCs w:val="24"/>
        </w:rPr>
        <w:lastRenderedPageBreak/>
        <w:tab/>
      </w:r>
      <w:bookmarkStart w:id="1832" w:name="_Toc306570773"/>
      <w:bookmarkStart w:id="1833" w:name="_Toc307067833"/>
      <w:bookmarkStart w:id="1834" w:name="_Toc312169400"/>
      <w:bookmarkStart w:id="1835" w:name="_Toc312172327"/>
      <w:bookmarkStart w:id="1836" w:name="_Toc312257876"/>
      <w:r w:rsidR="00351B75">
        <w:t>Protein</w:t>
      </w:r>
      <w:r w:rsidRPr="001A6261">
        <w:t xml:space="preserve"> identification</w:t>
      </w:r>
      <w:bookmarkEnd w:id="1830"/>
      <w:bookmarkEnd w:id="1831"/>
      <w:bookmarkEnd w:id="1832"/>
      <w:bookmarkEnd w:id="1833"/>
      <w:bookmarkEnd w:id="1834"/>
      <w:bookmarkEnd w:id="1835"/>
      <w:bookmarkEnd w:id="1836"/>
    </w:p>
    <w:p w:rsidR="00B61503" w:rsidRDefault="00B61503" w:rsidP="00057B42">
      <w:pPr>
        <w:spacing w:before="240" w:line="360" w:lineRule="auto"/>
        <w:jc w:val="both"/>
      </w:pPr>
      <w:r w:rsidRPr="001A6261">
        <w:t>Regardless of the choice of a various proteomic technique</w:t>
      </w:r>
      <w:r>
        <w:t>,</w:t>
      </w:r>
      <w:r w:rsidRPr="00D5329E">
        <w:t xml:space="preserve"> Mass spectrometry has become a standard method by which the proteomic profile of cell or tissue samples is characterized. To fully take advantage of </w:t>
      </w:r>
      <w:r>
        <w:t xml:space="preserve">tandem mass spectrometry </w:t>
      </w:r>
      <w:r w:rsidRPr="00D5329E">
        <w:t>techniques in large scale protein characterization studies robust and consistent data analysis procedures are crucial</w:t>
      </w:r>
      <w:r>
        <w:t xml:space="preserve"> </w:t>
      </w:r>
      <w:r>
        <w:fldChar w:fldCharType="begin"/>
      </w:r>
      <w:r w:rsidR="006F41FE">
        <w:instrText xml:space="preserve"> ADDIN EN.CITE &lt;EndNote&gt;&lt;Cite&gt;&lt;Author&gt;Kallberg&lt;/Author&gt;&lt;Year&gt;2010&lt;/Year&gt;&lt;RecNum&gt;4867&lt;/RecNum&gt;&lt;DisplayText&gt;(Kallberg and Lu, 2010)&lt;/DisplayText&gt;&lt;record&gt;&lt;rec-number&gt;4867&lt;/rec-number&gt;&lt;foreign-keys&gt;&lt;key app="EN" db-id="zf0awxsaczrdd3eft5qvw9wrtxxawdfrvw2a"&gt;4867&lt;/key&gt;&lt;/foreign-keys&gt;&lt;ref-type name="Journal Article"&gt;17&lt;/ref-type&gt;&lt;contributors&gt;&lt;authors&gt;&lt;author&gt;Kallberg, M.&lt;/author&gt;&lt;author&gt;Lu, H.&lt;/author&gt;&lt;/authors&gt;&lt;/contributors&gt;&lt;auth-address&gt;Department of Bioengineering, University of Illinois at Chicago, Chicago, IL, USA.&lt;/auth-address&gt;&lt;titles&gt;&lt;title&gt;An improved machine learning protocol for the identification of correct Sequest search results&lt;/title&gt;&lt;secondary-title&gt;BMC Bioinformatics&lt;/secondary-title&gt;&lt;/titles&gt;&lt;periodical&gt;&lt;full-title&gt;BMC Bioinformatics&lt;/full-title&gt;&lt;/periodical&gt;&lt;pages&gt;591&lt;/pages&gt;&lt;volume&gt;11&lt;/volume&gt;&lt;edition&gt;2010/12/09&lt;/edition&gt;&lt;keywords&gt;&lt;keyword&gt;*Artificial Intelligence&lt;/keyword&gt;&lt;keyword&gt;Databases, Protein&lt;/keyword&gt;&lt;keyword&gt;Mass Spectrometry/*methods&lt;/keyword&gt;&lt;keyword&gt;Peptides/chemistry&lt;/keyword&gt;&lt;keyword&gt;Proteins/*chemistry&lt;/keyword&gt;&lt;keyword&gt;Proteomics/*methods&lt;/keyword&gt;&lt;keyword&gt;Software&lt;/keyword&gt;&lt;/keywords&gt;&lt;dates&gt;&lt;year&gt;2010&lt;/year&gt;&lt;/dates&gt;&lt;isbn&gt;1471-2105 (Electronic)&amp;#xD;1471-2105 (Linking)&lt;/isbn&gt;&lt;accession-num&gt;21138573&lt;/accession-num&gt;&lt;urls&gt;&lt;related-urls&gt;&lt;url&gt;http://www.ncbi.nlm.nih.gov/pubmed/21138573&lt;/url&gt;&lt;/related-urls&gt;&lt;/urls&gt;&lt;custom2&gt;3013103&lt;/custom2&gt;&lt;electronic-resource-num&gt;1471-2105-11-591 [pii]&amp;#xD;10.1186/1471-2105-11-591&lt;/electronic-resource-num&gt;&lt;language&gt;eng&lt;/language&gt;&lt;/record&gt;&lt;/Cite&gt;&lt;/EndNote&gt;</w:instrText>
      </w:r>
      <w:r>
        <w:fldChar w:fldCharType="separate"/>
      </w:r>
      <w:r w:rsidR="006F41FE">
        <w:rPr>
          <w:noProof/>
        </w:rPr>
        <w:t>(</w:t>
      </w:r>
      <w:hyperlink w:anchor="_ENREF_198" w:tooltip="Kallberg, 2010 #4867" w:history="1">
        <w:r w:rsidR="004A784D">
          <w:rPr>
            <w:noProof/>
          </w:rPr>
          <w:t>Kallberg and Lu, 2010</w:t>
        </w:r>
      </w:hyperlink>
      <w:r w:rsidR="006F41FE">
        <w:rPr>
          <w:noProof/>
        </w:rPr>
        <w:t>)</w:t>
      </w:r>
      <w:r>
        <w:fldChar w:fldCharType="end"/>
      </w:r>
      <w:r>
        <w:t>.</w:t>
      </w:r>
    </w:p>
    <w:p w:rsidR="00B61503" w:rsidRPr="001A6261" w:rsidRDefault="00B61503" w:rsidP="00057B42">
      <w:pPr>
        <w:spacing w:before="240" w:line="360" w:lineRule="auto"/>
        <w:jc w:val="both"/>
      </w:pPr>
      <w:r w:rsidRPr="001A6261">
        <w:t xml:space="preserve">In this study, as </w:t>
      </w:r>
      <w:r>
        <w:t xml:space="preserve">previously </w:t>
      </w:r>
      <w:r w:rsidRPr="001A6261">
        <w:t>explained we selected the differentially expressed protein spots with a fold change of at least 1.25 in abundance level and a t-test of no more than 0.01 were picked from gels, digested by trypsin and identified by liquid chromatograph</w:t>
      </w:r>
      <w:r>
        <w:t>y– tandem mass spectrometry</w:t>
      </w:r>
      <w:r w:rsidRPr="001A6261">
        <w:t xml:space="preserve"> using an ion trap linear trap quadruple mass spectrometer and searched against the SWISS-PROT database using SEQUEST software.</w:t>
      </w:r>
    </w:p>
    <w:p w:rsidR="00856253" w:rsidRDefault="00856253" w:rsidP="00057B42">
      <w:pPr>
        <w:spacing w:line="360" w:lineRule="auto"/>
        <w:jc w:val="both"/>
      </w:pPr>
    </w:p>
    <w:p w:rsidR="00B61503" w:rsidRDefault="00B61503" w:rsidP="00057B42">
      <w:pPr>
        <w:spacing w:line="360" w:lineRule="auto"/>
        <w:jc w:val="both"/>
        <w:rPr>
          <w:color w:val="000000"/>
        </w:rPr>
      </w:pPr>
      <w:r w:rsidRPr="001A6261">
        <w:t>We identified the six candidate protein biomarkers by LC-MS/MS, using the Turbo-SEQUEST algorithm.</w:t>
      </w:r>
      <w:r w:rsidRPr="001A6261">
        <w:rPr>
          <w:color w:val="000000"/>
        </w:rPr>
        <w:t xml:space="preserve"> To assess a protein match, SEQUEST uses the difference between the first and second ranked sequences.  When a user submits </w:t>
      </w:r>
      <w:r>
        <w:rPr>
          <w:color w:val="000000"/>
        </w:rPr>
        <w:t>the</w:t>
      </w:r>
      <w:r w:rsidRPr="001A6261">
        <w:rPr>
          <w:color w:val="000000"/>
        </w:rPr>
        <w:t xml:space="preserve"> raw data to SEQUEST search engine, peptides from a sequence databank are compared to the raw data.  More exactly, theoretical mass spectra are produced for a set of candidate peptides from the sequence databases and these spectra are then compared with the experimental spectra using a matching function.  The result of this type of system is a more accurate search result, since several factors are taken into account in the scoring</w:t>
      </w:r>
      <w:r>
        <w:rPr>
          <w:color w:val="000000"/>
        </w:rPr>
        <w:t xml:space="preserve"> </w:t>
      </w:r>
      <w:r>
        <w:rPr>
          <w:color w:val="000000"/>
        </w:rPr>
        <w:fldChar w:fldCharType="begin">
          <w:fldData xml:space="preserve">PEVuZE5vdGU+PENpdGU+PEF1dGhvcj5aaG91PC9BdXRob3I+PFllYXI+MjAxMDwvWWVhcj48UmVj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</w:fldData>
        </w:fldChar>
      </w:r>
      <w:r w:rsidR="00F9685D">
        <w:rPr>
          <w:color w:val="000000"/>
        </w:rPr>
        <w:instrText xml:space="preserve"> ADDIN EN.CITE </w:instrText>
      </w:r>
      <w:r w:rsidR="00F9685D">
        <w:rPr>
          <w:color w:val="000000"/>
        </w:rPr>
        <w:fldChar w:fldCharType="begin">
          <w:fldData xml:space="preserve">PEVuZE5vdGU+PENpdGU+PEF1dGhvcj5aaG91PC9BdXRob3I+PFllYXI+MjAxMDwvWWVhcj48UmVj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</w:fldData>
        </w:fldChar>
      </w:r>
      <w:r w:rsidR="00F9685D">
        <w:rPr>
          <w:color w:val="000000"/>
        </w:rPr>
        <w:instrText xml:space="preserve"> ADDIN EN.CITE.DATA </w:instrText>
      </w:r>
      <w:r w:rsidR="00F9685D">
        <w:rPr>
          <w:color w:val="000000"/>
        </w:rPr>
      </w:r>
      <w:r w:rsidR="00F9685D">
        <w:rPr>
          <w:color w:val="000000"/>
        </w:rPr>
        <w:fldChar w:fldCharType="end"/>
      </w:r>
      <w:r>
        <w:rPr>
          <w:color w:val="000000"/>
        </w:rPr>
      </w:r>
      <w:r>
        <w:rPr>
          <w:color w:val="000000"/>
        </w:rPr>
        <w:fldChar w:fldCharType="separate"/>
      </w:r>
      <w:r w:rsidR="00F9685D">
        <w:rPr>
          <w:noProof/>
          <w:color w:val="000000"/>
        </w:rPr>
        <w:t>(</w:t>
      </w:r>
      <w:hyperlink w:anchor="_ENREF_468" w:tooltip="Zhou, 2010 #4893" w:history="1">
        <w:r w:rsidR="004A784D">
          <w:rPr>
            <w:noProof/>
            <w:color w:val="000000"/>
          </w:rPr>
          <w:t>Zhou et al., 2010a</w:t>
        </w:r>
      </w:hyperlink>
      <w:r w:rsidR="00F9685D">
        <w:rPr>
          <w:noProof/>
          <w:color w:val="000000"/>
        </w:rPr>
        <w:t xml:space="preserve">, </w:t>
      </w:r>
      <w:hyperlink w:anchor="_ENREF_214" w:tooltip="Klammer, 2009 #4899" w:history="1">
        <w:r w:rsidR="004A784D">
          <w:rPr>
            <w:noProof/>
            <w:color w:val="000000"/>
          </w:rPr>
          <w:t>Klammer et al., 2009</w:t>
        </w:r>
      </w:hyperlink>
      <w:r w:rsidR="00F9685D">
        <w:rPr>
          <w:noProof/>
          <w:color w:val="000000"/>
        </w:rPr>
        <w:t>)</w:t>
      </w:r>
      <w:r>
        <w:rPr>
          <w:color w:val="000000"/>
        </w:rPr>
        <w:fldChar w:fldCharType="end"/>
      </w:r>
      <w:r w:rsidRPr="001A6261">
        <w:rPr>
          <w:color w:val="000000"/>
        </w:rPr>
        <w:t xml:space="preserve">. </w:t>
      </w:r>
      <w:r w:rsidRPr="00FF11D4">
        <w:rPr>
          <w:color w:val="000000"/>
        </w:rPr>
        <w:t xml:space="preserve">The </w:t>
      </w:r>
      <w:r>
        <w:rPr>
          <w:color w:val="000000"/>
        </w:rPr>
        <w:t xml:space="preserve">other benefit of this method is in future, </w:t>
      </w:r>
      <w:r w:rsidRPr="00FF11D4">
        <w:rPr>
          <w:color w:val="000000"/>
        </w:rPr>
        <w:t>additional experimental parameters can be incorporated into the classification framework, to give additional dis</w:t>
      </w:r>
      <w:r>
        <w:rPr>
          <w:color w:val="000000"/>
        </w:rPr>
        <w:t xml:space="preserve">criminatory power </w:t>
      </w:r>
      <w:r>
        <w:rPr>
          <w:color w:val="000000"/>
        </w:rPr>
        <w:fldChar w:fldCharType="begin"/>
      </w:r>
      <w:r w:rsidR="006F41FE">
        <w:rPr>
          <w:color w:val="000000"/>
        </w:rPr>
        <w:instrText xml:space="preserve"> ADDIN EN.CITE &lt;EndNote&gt;&lt;Cite&gt;&lt;Author&gt;Kallberg&lt;/Author&gt;&lt;Year&gt;2010&lt;/Year&gt;&lt;RecNum&gt;4867&lt;/RecNum&gt;&lt;DisplayText&gt;(Kallberg and Lu, 2010)&lt;/DisplayText&gt;&lt;record&gt;&lt;rec-number&gt;4867&lt;/rec-number&gt;&lt;foreign-keys&gt;&lt;key app="EN" db-id="zf0awxsaczrdd3eft5qvw9wrtxxawdfrvw2a"&gt;4867&lt;/key&gt;&lt;/foreign-keys&gt;&lt;ref-type name="Journal Article"&gt;17&lt;/ref-type&gt;&lt;contributors&gt;&lt;authors&gt;&lt;author&gt;Kallberg, M.&lt;/author&gt;&lt;author&gt;Lu, H.&lt;/author&gt;&lt;/authors&gt;&lt;/contributors&gt;&lt;auth-address&gt;Department of Bioengineering, University of Illinois at Chicago, Chicago, IL, USA.&lt;/auth-address&gt;&lt;titles&gt;&lt;title&gt;An improved machine learning protocol for the identification of correct Sequest search results&lt;/title&gt;&lt;secondary-title&gt;BMC Bioinformatics&lt;/secondary-title&gt;&lt;/titles&gt;&lt;periodical&gt;&lt;full-title&gt;BMC Bioinformatics&lt;/full-title&gt;&lt;/periodical&gt;&lt;pages&gt;591&lt;/pages&gt;&lt;volume&gt;11&lt;/volume&gt;&lt;edition&gt;2010/12/09&lt;/edition&gt;&lt;keywords&gt;&lt;keyword&gt;*Artificial Intelligence&lt;/keyword&gt;&lt;keyword&gt;Databases, Protein&lt;/keyword&gt;&lt;keyword&gt;Mass Spectrometry/*methods&lt;/keyword&gt;&lt;keyword&gt;Peptides/chemistry&lt;/keyword&gt;&lt;keyword&gt;Proteins/*chemistry&lt;/keyword&gt;&lt;keyword&gt;Proteomics/*methods&lt;/keyword&gt;&lt;keyword&gt;Software&lt;/keyword&gt;&lt;/keywords&gt;&lt;dates&gt;&lt;year&gt;2010&lt;/year&gt;&lt;/dates&gt;&lt;isbn&gt;1471-2105 (Electronic)&amp;#xD;1471-2105 (Linking)&lt;/isbn&gt;&lt;accession-num&gt;21138573&lt;/accession-num&gt;&lt;urls&gt;&lt;related-urls&gt;&lt;url&gt;http://www.ncbi.nlm.nih.gov/pubmed/21138573&lt;/url&gt;&lt;/related-urls&gt;&lt;/urls&gt;&lt;custom2&gt;3013103&lt;/custom2&gt;&lt;electronic-resource-num&gt;1471-2105-11-591 [pii]&amp;#xD;10.1186/1471-2105-11-591&lt;/electronic-resource-num&gt;&lt;language&gt;eng&lt;/language&gt;&lt;/record&gt;&lt;/Cite&gt;&lt;/EndNote&gt;</w:instrText>
      </w:r>
      <w:r>
        <w:rPr>
          <w:color w:val="000000"/>
        </w:rPr>
        <w:fldChar w:fldCharType="separate"/>
      </w:r>
      <w:r w:rsidR="006F41FE">
        <w:rPr>
          <w:noProof/>
          <w:color w:val="000000"/>
        </w:rPr>
        <w:t>(</w:t>
      </w:r>
      <w:hyperlink w:anchor="_ENREF_198" w:tooltip="Kallberg, 2010 #4867" w:history="1">
        <w:r w:rsidR="004A784D">
          <w:rPr>
            <w:noProof/>
            <w:color w:val="000000"/>
          </w:rPr>
          <w:t>Kallberg and Lu, 2010</w:t>
        </w:r>
      </w:hyperlink>
      <w:r w:rsidR="006F41FE">
        <w:rPr>
          <w:noProof/>
          <w:color w:val="000000"/>
        </w:rPr>
        <w:t>)</w:t>
      </w:r>
      <w:r>
        <w:rPr>
          <w:color w:val="000000"/>
        </w:rPr>
        <w:fldChar w:fldCharType="end"/>
      </w:r>
      <w:r>
        <w:rPr>
          <w:color w:val="000000"/>
        </w:rPr>
        <w:t>. This will</w:t>
      </w:r>
      <w:r w:rsidRPr="00FF11D4">
        <w:rPr>
          <w:color w:val="000000"/>
        </w:rPr>
        <w:t xml:space="preserve"> allows </w:t>
      </w:r>
      <w:r>
        <w:rPr>
          <w:color w:val="000000"/>
        </w:rPr>
        <w:t xml:space="preserve">us </w:t>
      </w:r>
      <w:r w:rsidRPr="00FF11D4">
        <w:rPr>
          <w:color w:val="000000"/>
        </w:rPr>
        <w:t xml:space="preserve">for future tailoring of the model to take advantage of </w:t>
      </w:r>
      <w:r>
        <w:rPr>
          <w:color w:val="000000"/>
        </w:rPr>
        <w:t xml:space="preserve">added </w:t>
      </w:r>
      <w:r w:rsidRPr="00FF11D4">
        <w:rPr>
          <w:color w:val="000000"/>
        </w:rPr>
        <w:t>information</w:t>
      </w:r>
      <w:r>
        <w:rPr>
          <w:color w:val="000000"/>
        </w:rPr>
        <w:t>.</w:t>
      </w:r>
      <w:r w:rsidRPr="00FF11D4">
        <w:rPr>
          <w:color w:val="000000"/>
        </w:rPr>
        <w:t xml:space="preserve"> </w:t>
      </w:r>
    </w:p>
    <w:p w:rsidR="00856253"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In this study, the model sequence for biomarker discovery were mass-spectrometry based proteins identification, followed by ELISA based validation. This was </w:t>
      </w:r>
      <w:r>
        <w:rPr>
          <w:color w:val="000000"/>
        </w:rPr>
        <w:t xml:space="preserve">a </w:t>
      </w:r>
      <w:r w:rsidRPr="001A6261">
        <w:rPr>
          <w:color w:val="000000"/>
        </w:rPr>
        <w:t xml:space="preserve">successful approach; by choosing the precise proteomic methods in conjunction with advanced MS approaches and appropriate statistical analysis followed by </w:t>
      </w:r>
      <w:r>
        <w:rPr>
          <w:color w:val="000000"/>
        </w:rPr>
        <w:t xml:space="preserve">commercially </w:t>
      </w:r>
      <w:r w:rsidRPr="001A6261">
        <w:rPr>
          <w:color w:val="000000"/>
        </w:rPr>
        <w:t xml:space="preserve">easily </w:t>
      </w:r>
      <w:r>
        <w:rPr>
          <w:color w:val="000000"/>
        </w:rPr>
        <w:t>available ELISA assays</w:t>
      </w:r>
      <w:r w:rsidRPr="001A6261">
        <w:rPr>
          <w:color w:val="000000"/>
        </w:rPr>
        <w:t xml:space="preserve">. </w:t>
      </w:r>
    </w:p>
    <w:p w:rsidR="00B61503" w:rsidRPr="001A6261" w:rsidRDefault="00B61503" w:rsidP="00057B42">
      <w:pPr>
        <w:spacing w:line="360" w:lineRule="auto"/>
        <w:jc w:val="both"/>
        <w:rPr>
          <w:color w:val="000000"/>
        </w:rPr>
      </w:pPr>
      <w:r w:rsidRPr="001A6261">
        <w:rPr>
          <w:color w:val="000000"/>
        </w:rPr>
        <w:lastRenderedPageBreak/>
        <w:t>We have concentrated specifically on identifying a biomarker profile that associates with response rate to thalidomide-based regimens in n</w:t>
      </w:r>
      <w:r>
        <w:rPr>
          <w:color w:val="000000"/>
        </w:rPr>
        <w:t>ewly diagnosed MM patients using s</w:t>
      </w:r>
      <w:r w:rsidRPr="001A6261">
        <w:rPr>
          <w:color w:val="000000"/>
        </w:rPr>
        <w:t xml:space="preserve">ix potential proteins biomarkers </w:t>
      </w:r>
      <w:r>
        <w:rPr>
          <w:color w:val="000000"/>
        </w:rPr>
        <w:t xml:space="preserve">i.e. </w:t>
      </w:r>
      <w:r w:rsidRPr="001A6261">
        <w:rPr>
          <w:color w:val="000000"/>
        </w:rPr>
        <w:t xml:space="preserve">ZAG, VDB, SAA, TYR, B2M and Hp. </w:t>
      </w:r>
    </w:p>
    <w:p w:rsidR="00B61503" w:rsidRPr="001A6261" w:rsidRDefault="00B61503" w:rsidP="00057B42">
      <w:pPr>
        <w:spacing w:line="360" w:lineRule="auto"/>
        <w:jc w:val="both"/>
        <w:rPr>
          <w:color w:val="000000"/>
        </w:rPr>
      </w:pPr>
    </w:p>
    <w:p w:rsidR="00B61503" w:rsidRDefault="00300A1B" w:rsidP="00645687">
      <w:pPr>
        <w:pStyle w:val="Heading2"/>
        <w:numPr>
          <w:ilvl w:val="2"/>
          <w:numId w:val="19"/>
        </w:numPr>
      </w:pPr>
      <w:bookmarkStart w:id="1837" w:name="_Toc302582419"/>
      <w:bookmarkStart w:id="1838" w:name="_Toc305690082"/>
      <w:r>
        <w:tab/>
      </w:r>
      <w:bookmarkStart w:id="1839" w:name="_Toc306570774"/>
      <w:bookmarkStart w:id="1840" w:name="_Toc307067834"/>
      <w:bookmarkStart w:id="1841" w:name="_Toc312169401"/>
      <w:bookmarkStart w:id="1842" w:name="_Toc312172328"/>
      <w:bookmarkStart w:id="1843" w:name="_Toc312257877"/>
      <w:r w:rsidR="00B61503" w:rsidRPr="001A6261">
        <w:t>Validation of potential biomarkers</w:t>
      </w:r>
      <w:bookmarkEnd w:id="1837"/>
      <w:bookmarkEnd w:id="1838"/>
      <w:bookmarkEnd w:id="1839"/>
      <w:bookmarkEnd w:id="1840"/>
      <w:bookmarkEnd w:id="1841"/>
      <w:bookmarkEnd w:id="1842"/>
      <w:bookmarkEnd w:id="1843"/>
    </w:p>
    <w:p w:rsidR="00B61503" w:rsidRPr="001A6261" w:rsidRDefault="00B61503" w:rsidP="00000025">
      <w:pPr>
        <w:spacing w:before="240" w:line="360" w:lineRule="auto"/>
        <w:jc w:val="both"/>
        <w:rPr>
          <w:color w:val="000000"/>
        </w:rPr>
      </w:pPr>
      <w:r>
        <w:rPr>
          <w:color w:val="000000"/>
        </w:rPr>
        <w:t>M</w:t>
      </w:r>
      <w:r w:rsidRPr="001A6261">
        <w:rPr>
          <w:color w:val="000000"/>
        </w:rPr>
        <w:t xml:space="preserve">any proteomic </w:t>
      </w:r>
      <w:r>
        <w:rPr>
          <w:color w:val="000000"/>
        </w:rPr>
        <w:t>research analyses are</w:t>
      </w:r>
      <w:r w:rsidRPr="001A6261">
        <w:rPr>
          <w:color w:val="000000"/>
        </w:rPr>
        <w:t xml:space="preserve"> describing a list of possible biomarkers</w:t>
      </w:r>
      <w:r>
        <w:rPr>
          <w:color w:val="000000"/>
        </w:rPr>
        <w:t xml:space="preserve"> in disease management</w:t>
      </w:r>
      <w:r w:rsidRPr="001A6261">
        <w:rPr>
          <w:color w:val="000000"/>
        </w:rPr>
        <w:t xml:space="preserve">, in this study </w:t>
      </w:r>
      <w:r>
        <w:rPr>
          <w:color w:val="000000"/>
        </w:rPr>
        <w:t xml:space="preserve">we </w:t>
      </w:r>
      <w:r w:rsidRPr="001A6261">
        <w:rPr>
          <w:color w:val="000000"/>
        </w:rPr>
        <w:t xml:space="preserve">went a step further </w:t>
      </w:r>
      <w:r>
        <w:rPr>
          <w:color w:val="000000"/>
        </w:rPr>
        <w:t xml:space="preserve">by </w:t>
      </w:r>
      <w:r w:rsidRPr="001A6261">
        <w:rPr>
          <w:color w:val="000000"/>
        </w:rPr>
        <w:t>validating the identified potential biomarkers using ELISA</w:t>
      </w:r>
      <w:r>
        <w:rPr>
          <w:color w:val="000000"/>
        </w:rPr>
        <w:t>. We</w:t>
      </w:r>
      <w:r w:rsidRPr="001A6261">
        <w:rPr>
          <w:color w:val="000000"/>
        </w:rPr>
        <w:t xml:space="preserve"> also determined the potential impact of the use of the identified proteins as single or combination biomarkers for distinguishing between responders and non-responders to thalidomide treatment. </w:t>
      </w:r>
    </w:p>
    <w:p w:rsidR="00856253"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Pr>
          <w:color w:val="000000"/>
        </w:rPr>
        <w:t>As discussed</w:t>
      </w:r>
      <w:r w:rsidRPr="001A6261">
        <w:rPr>
          <w:color w:val="000000"/>
        </w:rPr>
        <w:t xml:space="preserve"> earlier in this chapter, there is now general agreement that panels of biomarkers are more sensitive and specific than single markers. The use of large panels of biomarkers is less likely to yield unreliable results owing to the substantial heterogeneity among cancers. Assay development for validation studies on biomarkers associated with disease or treatment response is a difficult proposition in the development pipeline. These can be in the form of </w:t>
      </w:r>
      <w:r>
        <w:rPr>
          <w:color w:val="000000"/>
        </w:rPr>
        <w:t>ELISA</w:t>
      </w:r>
      <w:r w:rsidRPr="001A6261">
        <w:rPr>
          <w:color w:val="000000"/>
        </w:rPr>
        <w:t xml:space="preserve"> and immuno histochemistry (IHC), each having associated advantages and disadvantages as described below.</w:t>
      </w:r>
    </w:p>
    <w:p w:rsidR="00856253" w:rsidRDefault="00856253"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In EU and other western countries, the diagnostic laboratories and suppliers of</w:t>
      </w:r>
      <w:r>
        <w:rPr>
          <w:color w:val="000000"/>
        </w:rPr>
        <w:t xml:space="preserve"> analytical test results </w:t>
      </w:r>
      <w:r w:rsidRPr="001A6261">
        <w:rPr>
          <w:color w:val="000000"/>
        </w:rPr>
        <w:t>must be scientifically valid, quality-controlled and based on internationally recognized methods and standards (Caporale et al., 1998; Nannini et al., 1999; Wiegers, 2000). Reasons for test validation include the need for reliable estimates of sensitivity and specificity with respect to clinical usefulness</w:t>
      </w:r>
      <w:r>
        <w:rPr>
          <w:color w:val="000000"/>
        </w:rPr>
        <w:t>.</w:t>
      </w:r>
    </w:p>
    <w:p w:rsidR="00856253" w:rsidRPr="001A6261" w:rsidRDefault="00856253"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Development of simple assays for the validation of potential biomarkers is one of the hurdles faced by scientist</w:t>
      </w:r>
      <w:r>
        <w:rPr>
          <w:color w:val="000000"/>
        </w:rPr>
        <w:t>s</w:t>
      </w:r>
      <w:r w:rsidRPr="001A6261">
        <w:rPr>
          <w:color w:val="000000"/>
        </w:rPr>
        <w:t xml:space="preserve"> working in proteomic for biomarkers development. At present, there are several methods for the development of such assays. </w:t>
      </w:r>
      <w:r>
        <w:rPr>
          <w:color w:val="000000"/>
        </w:rPr>
        <w:t>For this study, our aim was to use validation</w:t>
      </w:r>
      <w:r w:rsidRPr="001A6261">
        <w:rPr>
          <w:color w:val="000000"/>
        </w:rPr>
        <w:t xml:space="preserve"> assays</w:t>
      </w:r>
      <w:r>
        <w:rPr>
          <w:color w:val="000000"/>
        </w:rPr>
        <w:t xml:space="preserve"> that</w:t>
      </w:r>
      <w:r w:rsidRPr="001A6261">
        <w:rPr>
          <w:color w:val="000000"/>
        </w:rPr>
        <w:t xml:space="preserve"> should be rapid, reliabl</w:t>
      </w:r>
      <w:r>
        <w:rPr>
          <w:color w:val="000000"/>
        </w:rPr>
        <w:t>e, and</w:t>
      </w:r>
      <w:r w:rsidRPr="001A6261">
        <w:rPr>
          <w:color w:val="000000"/>
        </w:rPr>
        <w:t xml:space="preserve"> feasibly, </w:t>
      </w:r>
      <w:r w:rsidRPr="00EF50CE">
        <w:rPr>
          <w:color w:val="000000"/>
        </w:rPr>
        <w:t>more cost and labour effective</w:t>
      </w:r>
      <w:r>
        <w:rPr>
          <w:color w:val="000000"/>
        </w:rPr>
        <w:t xml:space="preserve"> </w:t>
      </w:r>
      <w:r>
        <w:rPr>
          <w:color w:val="000000"/>
        </w:rPr>
        <w:fldChar w:fldCharType="begin"/>
      </w:r>
      <w:r w:rsidR="006F41FE">
        <w:rPr>
          <w:color w:val="000000"/>
        </w:rPr>
        <w:instrText xml:space="preserve"> ADDIN EN.CITE &lt;EndNote&gt;&lt;Cite&gt;&lt;Author&gt;Srivastava&lt;/Author&gt;&lt;Year&gt;2002&lt;/Year&gt;&lt;RecNum&gt;4917&lt;/RecNum&gt;&lt;DisplayText&gt;(Srivastava and Gopal-Srivastava, 2002)&lt;/DisplayText&gt;&lt;record&gt;&lt;rec-number&gt;4917&lt;/rec-number&gt;&lt;foreign-keys&gt;&lt;key app="EN" db-id="zf0awxsaczrdd3eft5qvw9wrtxxawdfrvw2a"&gt;4917&lt;/key&gt;&lt;/foreign-keys&gt;&lt;ref-type name="Journal Article"&gt;17&lt;/ref-type&gt;&lt;contributors&gt;&lt;authors&gt;&lt;author&gt;Srivastava, S.&lt;/author&gt;&lt;author&gt;Gopal-Srivastava, R.&lt;/author&gt;&lt;/authors&gt;&lt;/contributors&gt;&lt;auth-address&gt;Cancer Biomarkers Research Group, Division of Cancer Prevention, National Cancer Institute, Bethesda, MD 20892, USA. ss1a@nih.gov&lt;/auth-address&gt;&lt;titles&gt;&lt;title&gt;Biomarkers in cancer screening: a public health perspective&lt;/title&gt;&lt;secondary-title&gt;J Nutr&lt;/secondary-title&gt;&lt;/titles&gt;&lt;periodical&gt;&lt;full-title&gt;J Nutr&lt;/full-title&gt;&lt;/periodical&gt;&lt;pages&gt;2471S-2475S&lt;/pages&gt;&lt;volume&gt;132&lt;/volume&gt;&lt;number&gt;8 Suppl&lt;/number&gt;&lt;edition&gt;2002/08/07&lt;/edition&gt;&lt;keywords&gt;&lt;keyword&gt;Biological Markers/*analysis&lt;/keyword&gt;&lt;keyword&gt;Humans&lt;/keyword&gt;&lt;keyword&gt;Neoplasms/*diagnosis&lt;/keyword&gt;&lt;/keywords&gt;&lt;dates&gt;&lt;year&gt;2002&lt;/year&gt;&lt;pub-dates&gt;&lt;date&gt;Aug&lt;/date&gt;&lt;/pub-dates&gt;&lt;/dates&gt;&lt;isbn&gt;0022-3166 (Print)&amp;#xD;0022-3166 (Linking)&lt;/isbn&gt;&lt;accession-num&gt;12163714&lt;/accession-num&gt;&lt;urls&gt;&lt;related-urls&gt;&lt;url&gt;http://www.ncbi.nlm.nih.gov/pubmed/12163714&lt;/url&gt;&lt;/related-urls&gt;&lt;/urls&gt;&lt;language&gt;eng&lt;/language&gt;&lt;/record&gt;&lt;/Cite&gt;&lt;/EndNote&gt;</w:instrText>
      </w:r>
      <w:r>
        <w:rPr>
          <w:color w:val="000000"/>
        </w:rPr>
        <w:fldChar w:fldCharType="separate"/>
      </w:r>
      <w:r w:rsidR="006F41FE">
        <w:rPr>
          <w:noProof/>
          <w:color w:val="000000"/>
        </w:rPr>
        <w:t>(</w:t>
      </w:r>
      <w:hyperlink w:anchor="_ENREF_400" w:tooltip="Srivastava, 2002 #4917" w:history="1">
        <w:r w:rsidR="004A784D">
          <w:rPr>
            <w:noProof/>
            <w:color w:val="000000"/>
          </w:rPr>
          <w:t>Srivastava and Gopal-Srivastava, 2002</w:t>
        </w:r>
      </w:hyperlink>
      <w:r w:rsidR="006F41FE">
        <w:rPr>
          <w:noProof/>
          <w:color w:val="000000"/>
        </w:rPr>
        <w:t>)</w:t>
      </w:r>
      <w:r>
        <w:rPr>
          <w:color w:val="000000"/>
        </w:rPr>
        <w:fldChar w:fldCharType="end"/>
      </w:r>
      <w:r>
        <w:rPr>
          <w:color w:val="000000"/>
        </w:rPr>
        <w:t>.</w:t>
      </w:r>
    </w:p>
    <w:p w:rsidR="00B61503" w:rsidRPr="001A6261" w:rsidRDefault="00B61503" w:rsidP="00057B42">
      <w:pPr>
        <w:spacing w:line="360" w:lineRule="auto"/>
        <w:jc w:val="both"/>
        <w:rPr>
          <w:color w:val="000000"/>
        </w:rPr>
      </w:pPr>
    </w:p>
    <w:p w:rsidR="00B61503" w:rsidRDefault="00300A1B" w:rsidP="00645687">
      <w:pPr>
        <w:pStyle w:val="Heading2"/>
        <w:numPr>
          <w:ilvl w:val="2"/>
          <w:numId w:val="19"/>
        </w:numPr>
      </w:pPr>
      <w:r>
        <w:lastRenderedPageBreak/>
        <w:tab/>
      </w:r>
      <w:r w:rsidR="00B61503" w:rsidRPr="001A6261">
        <w:t xml:space="preserve">   </w:t>
      </w:r>
      <w:bookmarkStart w:id="1844" w:name="_Toc302582420"/>
      <w:bookmarkStart w:id="1845" w:name="_Toc305690083"/>
      <w:bookmarkStart w:id="1846" w:name="_Toc306570775"/>
      <w:bookmarkStart w:id="1847" w:name="_Toc307067835"/>
      <w:bookmarkStart w:id="1848" w:name="_Toc312169402"/>
      <w:bookmarkStart w:id="1849" w:name="_Toc312172329"/>
      <w:bookmarkStart w:id="1850" w:name="_Toc312257878"/>
      <w:r w:rsidR="00B61503" w:rsidRPr="001A6261">
        <w:t>Immunohistochemistry</w:t>
      </w:r>
      <w:bookmarkEnd w:id="1844"/>
      <w:bookmarkEnd w:id="1845"/>
      <w:bookmarkEnd w:id="1846"/>
      <w:bookmarkEnd w:id="1847"/>
      <w:bookmarkEnd w:id="1848"/>
      <w:bookmarkEnd w:id="1849"/>
      <w:bookmarkEnd w:id="1850"/>
    </w:p>
    <w:p w:rsidR="00B61503" w:rsidRDefault="00B61503" w:rsidP="00D40710">
      <w:pPr>
        <w:spacing w:before="240" w:line="360" w:lineRule="auto"/>
        <w:jc w:val="both"/>
        <w:rPr>
          <w:color w:val="000000"/>
        </w:rPr>
      </w:pPr>
      <w:r w:rsidRPr="001A6261">
        <w:rPr>
          <w:color w:val="000000"/>
        </w:rPr>
        <w:t>Immunohistochemistry relies on the staining of histological specimens for a particular biomarker. This approach is commonly used to predict outcomes among patients with different grades of disease by staining tissues from biopsy samples taken from patients at the time of diagnosis. One of the main drawbacks of this approach is that it depends on biopsy samples such as bone marrow</w:t>
      </w:r>
      <w:r>
        <w:rPr>
          <w:color w:val="000000"/>
        </w:rPr>
        <w:t xml:space="preserve"> aspirate and trephine biopsies were </w:t>
      </w:r>
      <w:r w:rsidRPr="001A6261">
        <w:rPr>
          <w:color w:val="000000"/>
        </w:rPr>
        <w:t>collected invasively. In addition, the small percentage of tumour tissues obtained by biopsy can result in missing more aggressive tumour populations that reside nearby</w:t>
      </w:r>
      <w:r>
        <w:rPr>
          <w:color w:val="000000"/>
        </w:rPr>
        <w:t xml:space="preserve"> </w:t>
      </w:r>
      <w:r>
        <w:rPr>
          <w:color w:val="000000"/>
        </w:rPr>
        <w:fldChar w:fldCharType="begin"/>
      </w:r>
      <w:r w:rsidR="006F41FE">
        <w:rPr>
          <w:color w:val="000000"/>
        </w:rPr>
        <w:instrText xml:space="preserve"> ADDIN EN.CITE &lt;EndNote&gt;&lt;Cite&gt;&lt;Author&gt;Keller&lt;/Author&gt;&lt;Year&gt;2007&lt;/Year&gt;&lt;RecNum&gt;4904&lt;/RecNum&gt;&lt;DisplayText&gt;(Keller et al., 2007)&lt;/DisplayText&gt;&lt;record&gt;&lt;rec-number&gt;4904&lt;/rec-number&gt;&lt;foreign-keys&gt;&lt;key app="EN" db-id="zf0awxsaczrdd3eft5qvw9wrtxxawdfrvw2a"&gt;4904&lt;/key&gt;&lt;/foreign-keys&gt;&lt;ref-type name="Journal Article"&gt;17&lt;/ref-type&gt;&lt;contributors&gt;&lt;authors&gt;&lt;author&gt;Keller, S. M.&lt;/author&gt;&lt;author&gt;Keller, B. C.&lt;/author&gt;&lt;author&gt;Grest, P.&lt;/author&gt;&lt;author&gt;Borger, C. T.&lt;/author&gt;&lt;author&gt;Guscetti, F.&lt;/author&gt;&lt;/authors&gt;&lt;/contributors&gt;&lt;auth-address&gt;Institut fur Veterinarpathologie, Vetsuisse-Fakultat, Universitat Zurich, Winterthurerstrasse 268, CH-8057 Zurich, Switzerland.&lt;/auth-address&gt;&lt;titles&gt;&lt;title&gt;Validation of tissue microarrays for immunohistochemical analyses of canine lymphomas&lt;/title&gt;&lt;secondary-title&gt;J Vet Diagn Invest&lt;/secondary-title&gt;&lt;/titles&gt;&lt;periodical&gt;&lt;full-title&gt;J Vet Diagn Invest&lt;/full-title&gt;&lt;/periodical&gt;&lt;pages&gt;652-9&lt;/pages&gt;&lt;volume&gt;19&lt;/volume&gt;&lt;number&gt;6&lt;/number&gt;&lt;edition&gt;2007/11/14&lt;/edition&gt;&lt;keywords&gt;&lt;keyword&gt;Animals&lt;/keyword&gt;&lt;keyword&gt;Caspase 3&lt;/keyword&gt;&lt;keyword&gt;Dog Diseases/*diagnosis/immunology&lt;/keyword&gt;&lt;keyword&gt;Dogs&lt;/keyword&gt;&lt;keyword&gt;Immunohistochemistry/*veterinary&lt;/keyword&gt;&lt;keyword&gt;Immunophenotyping&lt;/keyword&gt;&lt;keyword&gt;Ki-67 Antigen&lt;/keyword&gt;&lt;keyword&gt;Lymphoma/diagnosis/immunology/*veterinary&lt;/keyword&gt;&lt;keyword&gt;Neoplasm Proteins&lt;/keyword&gt;&lt;keyword&gt;Reproducibility of Results&lt;/keyword&gt;&lt;keyword&gt;Tissue Array Analysis/*veterinary&lt;/keyword&gt;&lt;/keywords&gt;&lt;dates&gt;&lt;year&gt;2007&lt;/year&gt;&lt;pub-dates&gt;&lt;date&gt;Nov&lt;/date&gt;&lt;/pub-dates&gt;&lt;/dates&gt;&lt;isbn&gt;1040-6387 (Print)&amp;#xD;1040-6387 (Linking)&lt;/isbn&gt;&lt;accession-num&gt;17998553&lt;/accession-num&gt;&lt;urls&gt;&lt;related-urls&gt;&lt;url&gt;http://www.ncbi.nlm.nih.gov/pubmed/17998553&lt;/url&gt;&lt;/related-urls&gt;&lt;/urls&gt;&lt;electronic-resource-num&gt;19/6/652 [pii]&lt;/electronic-resource-num&gt;&lt;language&gt;eng&lt;/language&gt;&lt;/record&gt;&lt;/Cite&gt;&lt;/EndNote&gt;</w:instrText>
      </w:r>
      <w:r>
        <w:rPr>
          <w:color w:val="000000"/>
        </w:rPr>
        <w:fldChar w:fldCharType="separate"/>
      </w:r>
      <w:r w:rsidR="006F41FE">
        <w:rPr>
          <w:noProof/>
          <w:color w:val="000000"/>
        </w:rPr>
        <w:t>(</w:t>
      </w:r>
      <w:hyperlink w:anchor="_ENREF_207" w:tooltip="Keller, 2007 #4904" w:history="1">
        <w:r w:rsidR="004A784D">
          <w:rPr>
            <w:noProof/>
            <w:color w:val="000000"/>
          </w:rPr>
          <w:t>Keller et al., 2007</w:t>
        </w:r>
      </w:hyperlink>
      <w:r w:rsidR="006F41FE">
        <w:rPr>
          <w:noProof/>
          <w:color w:val="000000"/>
        </w:rPr>
        <w:t>)</w:t>
      </w:r>
      <w:r>
        <w:rPr>
          <w:color w:val="000000"/>
        </w:rPr>
        <w:fldChar w:fldCharType="end"/>
      </w:r>
      <w:r w:rsidRPr="001A6261">
        <w:rPr>
          <w:color w:val="000000"/>
        </w:rPr>
        <w:t xml:space="preserve">. </w:t>
      </w:r>
    </w:p>
    <w:p w:rsidR="008E15EA" w:rsidRPr="001A6261" w:rsidRDefault="008E15EA" w:rsidP="00057B42">
      <w:pPr>
        <w:spacing w:line="360" w:lineRule="auto"/>
        <w:jc w:val="both"/>
        <w:rPr>
          <w:color w:val="000000"/>
        </w:rPr>
      </w:pPr>
    </w:p>
    <w:p w:rsidR="00B61503" w:rsidRDefault="00B61503" w:rsidP="00645687">
      <w:pPr>
        <w:pStyle w:val="Heading2"/>
        <w:numPr>
          <w:ilvl w:val="2"/>
          <w:numId w:val="19"/>
        </w:numPr>
      </w:pPr>
      <w:r w:rsidRPr="001A6261">
        <w:rPr>
          <w:sz w:val="24"/>
          <w:szCs w:val="24"/>
        </w:rPr>
        <w:t xml:space="preserve"> </w:t>
      </w:r>
      <w:r w:rsidR="00300A1B">
        <w:rPr>
          <w:sz w:val="24"/>
          <w:szCs w:val="24"/>
        </w:rPr>
        <w:tab/>
      </w:r>
      <w:bookmarkStart w:id="1851" w:name="_Toc302582421"/>
      <w:bookmarkStart w:id="1852" w:name="_Toc305690084"/>
      <w:bookmarkStart w:id="1853" w:name="_Toc306570776"/>
      <w:bookmarkStart w:id="1854" w:name="_Toc307067836"/>
      <w:bookmarkStart w:id="1855" w:name="_Toc312169403"/>
      <w:bookmarkStart w:id="1856" w:name="_Toc312172330"/>
      <w:bookmarkStart w:id="1857" w:name="_Toc312257879"/>
      <w:r w:rsidRPr="001A6261">
        <w:t>ELISA</w:t>
      </w:r>
      <w:bookmarkEnd w:id="1851"/>
      <w:bookmarkEnd w:id="1852"/>
      <w:bookmarkEnd w:id="1853"/>
      <w:bookmarkEnd w:id="1854"/>
      <w:bookmarkEnd w:id="1855"/>
      <w:bookmarkEnd w:id="1856"/>
      <w:bookmarkEnd w:id="1857"/>
      <w:r w:rsidRPr="001A6261">
        <w:t xml:space="preserve"> </w:t>
      </w:r>
    </w:p>
    <w:p w:rsidR="00B61503" w:rsidRPr="001A6261" w:rsidRDefault="00B61503" w:rsidP="00D40710">
      <w:pPr>
        <w:spacing w:before="240" w:line="360" w:lineRule="auto"/>
        <w:jc w:val="both"/>
        <w:rPr>
          <w:color w:val="000000"/>
        </w:rPr>
      </w:pPr>
      <w:r w:rsidRPr="00E9230B">
        <w:rPr>
          <w:color w:val="000000"/>
        </w:rPr>
        <w:t>Biomarkers have emerged as an important tool to optimize the benefit/risk ratio of therapeutics. The scientific impact of biomarker studies is directly related to the quality of the underlying data</w:t>
      </w:r>
      <w:r>
        <w:rPr>
          <w:color w:val="000000"/>
        </w:rPr>
        <w:t xml:space="preserve"> </w:t>
      </w:r>
      <w:r>
        <w:rPr>
          <w:color w:val="000000"/>
        </w:rPr>
        <w:fldChar w:fldCharType="begin"/>
      </w:r>
      <w:r w:rsidR="006F41FE">
        <w:rPr>
          <w:color w:val="000000"/>
        </w:rPr>
        <w:instrText xml:space="preserve"> ADDIN EN.CITE &lt;EndNote&gt;&lt;Cite&gt;&lt;Author&gt;Valentin&lt;/Author&gt;&lt;Year&gt;2011&lt;/Year&gt;&lt;RecNum&gt;4891&lt;/RecNum&gt;&lt;DisplayText&gt;(Valentin et al., 2011)&lt;/DisplayText&gt;&lt;record&gt;&lt;rec-number&gt;4891&lt;/rec-number&gt;&lt;foreign-keys&gt;&lt;key app="EN" db-id="zf0awxsaczrdd3eft5qvw9wrtxxawdfrvw2a"&gt;4891&lt;/key&gt;&lt;/foreign-keys&gt;&lt;ref-type name="Journal Article"&gt;17&lt;/ref-type&gt;&lt;contributors&gt;&lt;authors&gt;&lt;author&gt;Valentin, M. A.&lt;/author&gt;&lt;author&gt;Ma, S.&lt;/author&gt;&lt;author&gt;Zhao, A.&lt;/author&gt;&lt;author&gt;Legay, F.&lt;/author&gt;&lt;author&gt;Avrameas, A.&lt;/author&gt;&lt;/authors&gt;&lt;/contributors&gt;&lt;auth-address&gt;Department of Marker Localization and Assays, Novartis Institute for Biomedical Research, CH-4056 Basel, Switzerland. marie-anne.valentin@novartis.com&lt;/auth-address&gt;&lt;titles&gt;&lt;title&gt;Validation of immunoassay for protein biomarkers: bioanalytical study plan implementation to support pre-clinical and clinical studies&lt;/title&gt;&lt;secondary-title&gt;J Pharm Biomed Anal&lt;/secondary-title&gt;&lt;/titles&gt;&lt;periodical&gt;&lt;full-title&gt;J Pharm Biomed Anal&lt;/full-title&gt;&lt;/periodical&gt;&lt;pages&gt;869-77&lt;/pages&gt;&lt;volume&gt;55&lt;/volume&gt;&lt;number&gt;5&lt;/number&gt;&lt;edition&gt;2011/05/03&lt;/edition&gt;&lt;keywords&gt;&lt;keyword&gt;Automation&lt;/keyword&gt;&lt;keyword&gt;Biological Markers/analysis/*metabolism&lt;/keyword&gt;&lt;keyword&gt;Biomedical Research&lt;/keyword&gt;&lt;keyword&gt;Calibration&lt;/keyword&gt;&lt;keyword&gt;Chemistry Techniques, Analytical/methods&lt;/keyword&gt;&lt;keyword&gt;Decision Support Techniques&lt;/keyword&gt;&lt;keyword&gt;Enzyme-Linked Immunosorbent Assay/methods&lt;/keyword&gt;&lt;keyword&gt;Humans&lt;/keyword&gt;&lt;keyword&gt;Immunoassay/*methods&lt;/keyword&gt;&lt;keyword&gt;Proteins/*analysis/chemistry&lt;/keyword&gt;&lt;keyword&gt;Quality Control&lt;/keyword&gt;&lt;keyword&gt;Reproducibility of Results&lt;/keyword&gt;&lt;keyword&gt;Specimen Handling&lt;/keyword&gt;&lt;/keywords&gt;&lt;dates&gt;&lt;year&gt;2011&lt;/year&gt;&lt;pub-dates&gt;&lt;date&gt;Jul 15&lt;/date&gt;&lt;/pub-dates&gt;&lt;/dates&gt;&lt;isbn&gt;1873-264X (Electronic)&amp;#xD;0731-7085 (Linking)&lt;/isbn&gt;&lt;accession-num&gt;21530130&lt;/accession-num&gt;&lt;urls&gt;&lt;related-urls&gt;&lt;url&gt;http://www.ncbi.nlm.nih.gov/pubmed/21530130&lt;/url&gt;&lt;/related-urls&gt;&lt;/urls&gt;&lt;electronic-resource-num&gt;S0731-7085(11)00185-3 [pii]&amp;#xD;10.1016/j.jpba.2011.03.033&lt;/electronic-resource-num&gt;&lt;language&gt;eng&lt;/language&gt;&lt;/record&gt;&lt;/Cite&gt;&lt;/EndNote&gt;</w:instrText>
      </w:r>
      <w:r>
        <w:rPr>
          <w:color w:val="000000"/>
        </w:rPr>
        <w:fldChar w:fldCharType="separate"/>
      </w:r>
      <w:r w:rsidR="006F41FE">
        <w:rPr>
          <w:noProof/>
          <w:color w:val="000000"/>
        </w:rPr>
        <w:t>(</w:t>
      </w:r>
      <w:hyperlink w:anchor="_ENREF_426" w:tooltip="Valentin, 2011 #4891" w:history="1">
        <w:r w:rsidR="004A784D">
          <w:rPr>
            <w:noProof/>
            <w:color w:val="000000"/>
          </w:rPr>
          <w:t>Valentin et al., 2011</w:t>
        </w:r>
      </w:hyperlink>
      <w:r w:rsidR="006F41FE">
        <w:rPr>
          <w:noProof/>
          <w:color w:val="000000"/>
        </w:rPr>
        <w:t>)</w:t>
      </w:r>
      <w:r>
        <w:rPr>
          <w:color w:val="000000"/>
        </w:rPr>
        <w:fldChar w:fldCharType="end"/>
      </w:r>
      <w:r>
        <w:rPr>
          <w:color w:val="000000"/>
        </w:rPr>
        <w:t xml:space="preserve">. </w:t>
      </w:r>
      <w:r w:rsidRPr="001A6261">
        <w:rPr>
          <w:color w:val="000000"/>
        </w:rPr>
        <w:t>ELISA is a sensitive, high-throughput technique capable of providing quantitative measurements of analyses present in a physiological fluid such as serum and urine</w:t>
      </w:r>
      <w:r>
        <w:rPr>
          <w:color w:val="000000"/>
        </w:rPr>
        <w:t xml:space="preserve"> </w:t>
      </w:r>
      <w:r>
        <w:rPr>
          <w:color w:val="000000"/>
        </w:rPr>
        <w:fldChar w:fldCharType="begin"/>
      </w:r>
      <w:r w:rsidR="006F41FE">
        <w:rPr>
          <w:color w:val="000000"/>
        </w:rPr>
        <w:instrText xml:space="preserve"> ADDIN EN.CITE &lt;EndNote&gt;&lt;Cite&gt;&lt;Author&gt;Watanabe&lt;/Author&gt;&lt;Year&gt;2004&lt;/Year&gt;&lt;RecNum&gt;4914&lt;/RecNum&gt;&lt;DisplayText&gt;(Watanabe et al., 2004)&lt;/DisplayText&gt;&lt;record&gt;&lt;rec-number&gt;4914&lt;/rec-number&gt;&lt;foreign-keys&gt;&lt;key app="EN" db-id="zf0awxsaczrdd3eft5qvw9wrtxxawdfrvw2a"&gt;4914&lt;/key&gt;&lt;/foreign-keys&gt;&lt;ref-type name="Journal Article"&gt;17&lt;/ref-type&gt;&lt;contributors&gt;&lt;authors&gt;&lt;author&gt;Watanabe, E.&lt;/author&gt;&lt;author&gt;Eun, H.&lt;/author&gt;&lt;author&gt;Baba, K.&lt;/author&gt;&lt;author&gt;Arao, T.&lt;/author&gt;&lt;author&gt;Ishii, Y.&lt;/author&gt;&lt;author&gt;Endo, S.&lt;/author&gt;&lt;author&gt;Ueji, M.&lt;/author&gt;&lt;/authors&gt;&lt;/contributors&gt;&lt;auth-address&gt;Environmental Chemical Analysis Laboratory, Chemical Analysis Research Center, and Department of Research Planning and Coordination, National Institute for Agro-Environmental Sciences, Tsukuba, Ibaraki 305-8604, Japan. eikiw@niaes.affrc.go.jp&lt;/auth-address&gt;&lt;titles&gt;&lt;title&gt;Evaluation and validation of a commercially available enzyme-linked immunosorbent assay for the neonicotinoid insecticide imidacloprid in agricultural samples&lt;/title&gt;&lt;secondary-title&gt;J Agric Food Chem&lt;/secondary-title&gt;&lt;/titles&gt;&lt;periodical&gt;&lt;full-title&gt;J Agric Food Chem&lt;/full-title&gt;&lt;/periodical&gt;&lt;pages&gt;2756-62&lt;/pages&gt;&lt;volume&gt;52&lt;/volume&gt;&lt;number&gt;10&lt;/number&gt;&lt;edition&gt;2004/05/13&lt;/edition&gt;&lt;keywords&gt;&lt;keyword&gt;Antibodies, Monoclonal&lt;/keyword&gt;&lt;keyword&gt;Chromatography, High Pressure Liquid&lt;/keyword&gt;&lt;keyword&gt;Crops, Agricultural/*chemistry&lt;/keyword&gt;&lt;keyword&gt;*Enzyme-Linked Immunosorbent Assay&lt;/keyword&gt;&lt;keyword&gt;Imidazoles/*analysis&lt;/keyword&gt;&lt;keyword&gt;Insecticides/*analysis&lt;/keyword&gt;&lt;keyword&gt;Malus/chemistry&lt;/keyword&gt;&lt;keyword&gt;Nitro Compounds&lt;/keyword&gt;&lt;keyword&gt;Reproducibility of Results&lt;/keyword&gt;&lt;keyword&gt;Sensitivity and Specificity&lt;/keyword&gt;&lt;/keywords&gt;&lt;dates&gt;&lt;year&gt;2004&lt;/year&gt;&lt;pub-dates&gt;&lt;date&gt;May 19&lt;/date&gt;&lt;/pub-dates&gt;&lt;/dates&gt;&lt;isbn&gt;0021-8561 (Print)&amp;#xD;0021-8561 (Linking)&lt;/isbn&gt;&lt;accession-num&gt;15137810&lt;/accession-num&gt;&lt;urls&gt;&lt;related-urls&gt;&lt;url&gt;http://www.ncbi.nlm.nih.gov/pubmed/15137810&lt;/url&gt;&lt;/related-urls&gt;&lt;/urls&gt;&lt;electronic-resource-num&gt;10.1021/jf0498867&lt;/electronic-resource-num&gt;&lt;language&gt;eng&lt;/language&gt;&lt;/record&gt;&lt;/Cite&gt;&lt;/EndNote&gt;</w:instrText>
      </w:r>
      <w:r>
        <w:rPr>
          <w:color w:val="000000"/>
        </w:rPr>
        <w:fldChar w:fldCharType="separate"/>
      </w:r>
      <w:r w:rsidR="006F41FE">
        <w:rPr>
          <w:noProof/>
          <w:color w:val="000000"/>
        </w:rPr>
        <w:t>(</w:t>
      </w:r>
      <w:hyperlink w:anchor="_ENREF_448" w:tooltip="Watanabe, 2004 #4914" w:history="1">
        <w:r w:rsidR="004A784D">
          <w:rPr>
            <w:noProof/>
            <w:color w:val="000000"/>
          </w:rPr>
          <w:t>Watanabe et al., 2004</w:t>
        </w:r>
      </w:hyperlink>
      <w:r w:rsidR="006F41FE">
        <w:rPr>
          <w:noProof/>
          <w:color w:val="000000"/>
        </w:rPr>
        <w:t>)</w:t>
      </w:r>
      <w:r>
        <w:rPr>
          <w:color w:val="000000"/>
        </w:rPr>
        <w:fldChar w:fldCharType="end"/>
      </w:r>
      <w:r w:rsidRPr="001A6261">
        <w:rPr>
          <w:color w:val="000000"/>
        </w:rPr>
        <w:t xml:space="preserve">. In this approach, a primary antibody binds to the analyte, and an enzyme-linked secondary antibody binds to the previous complex. The enzyme activity is quantitatively measured by the addition of an appropriate substrate, and it is proportional to the amount of analyte present in the body fluid. For us the advantage of ELISA is that it enables us </w:t>
      </w:r>
      <w:r>
        <w:rPr>
          <w:color w:val="000000"/>
        </w:rPr>
        <w:t>to utilise</w:t>
      </w:r>
      <w:r w:rsidRPr="001A6261">
        <w:rPr>
          <w:color w:val="000000"/>
        </w:rPr>
        <w:t xml:space="preserve"> serum sample that are collected relatively noninvasively, </w:t>
      </w:r>
      <w:r>
        <w:rPr>
          <w:color w:val="000000"/>
        </w:rPr>
        <w:t>which</w:t>
      </w:r>
      <w:r w:rsidRPr="001A6261">
        <w:rPr>
          <w:color w:val="000000"/>
        </w:rPr>
        <w:t xml:space="preserve"> improve</w:t>
      </w:r>
      <w:r>
        <w:rPr>
          <w:color w:val="000000"/>
        </w:rPr>
        <w:t>s the</w:t>
      </w:r>
      <w:r w:rsidRPr="001A6261">
        <w:rPr>
          <w:color w:val="000000"/>
        </w:rPr>
        <w:t xml:space="preserve"> patient’s willingness to give consent for providing the samples for the research purpose under the approved work frame of the hospitals ethical committee. </w:t>
      </w:r>
    </w:p>
    <w:p w:rsidR="00B61503" w:rsidRDefault="00B61503" w:rsidP="00057B42">
      <w:pPr>
        <w:spacing w:line="360" w:lineRule="auto"/>
        <w:jc w:val="both"/>
      </w:pPr>
    </w:p>
    <w:p w:rsidR="00B61503" w:rsidRDefault="00B61503" w:rsidP="00645687">
      <w:pPr>
        <w:pStyle w:val="Heading2"/>
        <w:numPr>
          <w:ilvl w:val="3"/>
          <w:numId w:val="19"/>
        </w:numPr>
      </w:pPr>
      <w:bookmarkStart w:id="1858" w:name="_Toc302582422"/>
      <w:bookmarkStart w:id="1859" w:name="_Toc305690085"/>
      <w:bookmarkStart w:id="1860" w:name="_Toc306570777"/>
      <w:bookmarkStart w:id="1861" w:name="_Toc307067837"/>
      <w:bookmarkStart w:id="1862" w:name="_Toc312169404"/>
      <w:bookmarkStart w:id="1863" w:name="_Toc312172331"/>
      <w:bookmarkStart w:id="1864" w:name="_Toc312257880"/>
      <w:r w:rsidRPr="001A6261">
        <w:t>ELISA based validation of discovered biomarkers</w:t>
      </w:r>
      <w:bookmarkEnd w:id="1858"/>
      <w:bookmarkEnd w:id="1859"/>
      <w:bookmarkEnd w:id="1860"/>
      <w:bookmarkEnd w:id="1861"/>
      <w:bookmarkEnd w:id="1862"/>
      <w:bookmarkEnd w:id="1863"/>
      <w:bookmarkEnd w:id="1864"/>
      <w:r w:rsidRPr="001A6261">
        <w:t xml:space="preserve"> </w:t>
      </w:r>
    </w:p>
    <w:p w:rsidR="00B61503" w:rsidRPr="001A6261" w:rsidRDefault="00B61503" w:rsidP="00D932D8">
      <w:pPr>
        <w:spacing w:before="240" w:line="360" w:lineRule="auto"/>
        <w:jc w:val="both"/>
      </w:pPr>
      <w:r w:rsidRPr="001A6261">
        <w:rPr>
          <w:color w:val="000000"/>
        </w:rPr>
        <w:t xml:space="preserve">In our study the 2D-DIGE analysis </w:t>
      </w:r>
      <w:r>
        <w:rPr>
          <w:color w:val="000000"/>
        </w:rPr>
        <w:t xml:space="preserve">was </w:t>
      </w:r>
      <w:r w:rsidRPr="001A6261">
        <w:rPr>
          <w:color w:val="000000"/>
        </w:rPr>
        <w:t xml:space="preserve">used in discovery phase on serum sample collected </w:t>
      </w:r>
      <w:r>
        <w:rPr>
          <w:color w:val="000000"/>
        </w:rPr>
        <w:t xml:space="preserve">reasonably relatively </w:t>
      </w:r>
      <w:r w:rsidRPr="001A6261">
        <w:rPr>
          <w:color w:val="000000"/>
        </w:rPr>
        <w:t>non-invas</w:t>
      </w:r>
      <w:r w:rsidR="00394962">
        <w:rPr>
          <w:color w:val="000000"/>
        </w:rPr>
        <w:t>ively from MM patients. T</w:t>
      </w:r>
      <w:r w:rsidRPr="001A6261">
        <w:rPr>
          <w:color w:val="000000"/>
        </w:rPr>
        <w:t xml:space="preserve">he results of 2D-DIGE is accurate but </w:t>
      </w:r>
      <w:r w:rsidR="00394962" w:rsidRPr="001A6261">
        <w:rPr>
          <w:color w:val="000000"/>
        </w:rPr>
        <w:t>running</w:t>
      </w:r>
      <w:r w:rsidRPr="001A6261">
        <w:rPr>
          <w:color w:val="000000"/>
        </w:rPr>
        <w:t xml:space="preserve"> is complex, expensive, labour intensive, and requires complex equipment</w:t>
      </w:r>
      <w:r w:rsidR="00394962">
        <w:rPr>
          <w:color w:val="000000"/>
        </w:rPr>
        <w:t xml:space="preserve"> and advanced analytical skills.</w:t>
      </w:r>
      <w:r w:rsidRPr="001A6261">
        <w:rPr>
          <w:color w:val="000000"/>
        </w:rPr>
        <w:t xml:space="preserve"> Therefore f</w:t>
      </w:r>
      <w:r w:rsidRPr="001A6261">
        <w:t xml:space="preserve">or further validation; we choose </w:t>
      </w:r>
      <w:r>
        <w:t>commercially</w:t>
      </w:r>
      <w:r w:rsidRPr="001A6261">
        <w:t xml:space="preserve"> available ELISA-based assays to confirm the differential </w:t>
      </w:r>
      <w:r w:rsidRPr="001A6261">
        <w:lastRenderedPageBreak/>
        <w:t>expression of the six potential biomarkers discovered using 2D-DIGE technique. ELISA-based assay was carried out using raw unfractionated serum samples from the original cohor</w:t>
      </w:r>
      <w:r w:rsidR="00EE0661">
        <w:t>t of multiple myeloma patients.</w:t>
      </w:r>
    </w:p>
    <w:p w:rsidR="00856253"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Pr>
          <w:color w:val="000000"/>
        </w:rPr>
        <w:t>U</w:t>
      </w:r>
      <w:r w:rsidRPr="001A6261">
        <w:rPr>
          <w:color w:val="000000"/>
        </w:rPr>
        <w:t xml:space="preserve">sing ELISA based techniques on unfractionated serum from 51 newly diagnosed MM patients and strict statistical analysis, in total five potential biomarkers were identified ZAG, VDB, SAA and B2M </w:t>
      </w:r>
      <w:r>
        <w:rPr>
          <w:color w:val="000000"/>
        </w:rPr>
        <w:t xml:space="preserve">which </w:t>
      </w:r>
      <w:r w:rsidRPr="001A6261">
        <w:rPr>
          <w:color w:val="000000"/>
        </w:rPr>
        <w:t xml:space="preserve">had statistically significant higher concentrations in non-responders compared to responders, while haptoglobin (Hp) had a lower concentration. </w:t>
      </w:r>
    </w:p>
    <w:p w:rsidR="00300A1B" w:rsidRDefault="00300A1B"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Using the combination of these biomarkers we have achieved the best possible area under the curve of 0.96 using </w:t>
      </w:r>
      <w:r>
        <w:rPr>
          <w:color w:val="000000"/>
        </w:rPr>
        <w:t xml:space="preserve">protein marker; ZAG, VDB and SAA. This panel </w:t>
      </w:r>
      <w:r w:rsidRPr="001A6261">
        <w:rPr>
          <w:color w:val="000000"/>
        </w:rPr>
        <w:t>of biomarkers</w:t>
      </w:r>
      <w:r>
        <w:rPr>
          <w:color w:val="000000"/>
        </w:rPr>
        <w:t xml:space="preserve"> has </w:t>
      </w:r>
      <w:r w:rsidRPr="001A6261">
        <w:rPr>
          <w:color w:val="000000"/>
        </w:rPr>
        <w:t>overall predictive accuracy of 84%, indicating the robustness and outstanding p</w:t>
      </w:r>
      <w:r>
        <w:rPr>
          <w:color w:val="000000"/>
        </w:rPr>
        <w:t>redictive capability</w:t>
      </w:r>
      <w:r w:rsidRPr="001A6261">
        <w:rPr>
          <w:color w:val="000000"/>
        </w:rPr>
        <w:t xml:space="preserve">. This </w:t>
      </w:r>
      <w:r>
        <w:rPr>
          <w:color w:val="000000"/>
        </w:rPr>
        <w:t>set</w:t>
      </w:r>
      <w:r w:rsidRPr="001A6261">
        <w:rPr>
          <w:color w:val="000000"/>
        </w:rPr>
        <w:t xml:space="preserve"> of biomarkers offers new approaches to selecting treatments, identifying response and improving clinical trial efficiency. Therefore, the results of this study are anticipated to guide clinician’s in choosing the initial therapy and provide direct implications for personalized medicine in MM patients.</w:t>
      </w:r>
    </w:p>
    <w:p w:rsidR="00B61503" w:rsidRPr="001A6261" w:rsidRDefault="00B61503" w:rsidP="00057B42">
      <w:pPr>
        <w:spacing w:line="360" w:lineRule="auto"/>
        <w:jc w:val="both"/>
      </w:pPr>
    </w:p>
    <w:p w:rsidR="00B61503" w:rsidRDefault="00B61503" w:rsidP="00645687">
      <w:pPr>
        <w:pStyle w:val="Heading2"/>
        <w:numPr>
          <w:ilvl w:val="3"/>
          <w:numId w:val="19"/>
        </w:numPr>
      </w:pPr>
      <w:bookmarkStart w:id="1865" w:name="_Toc302582424"/>
      <w:r>
        <w:t xml:space="preserve"> </w:t>
      </w:r>
      <w:bookmarkStart w:id="1866" w:name="_Toc305690086"/>
      <w:bookmarkStart w:id="1867" w:name="_Toc306570778"/>
      <w:bookmarkStart w:id="1868" w:name="_Toc307067838"/>
      <w:bookmarkStart w:id="1869" w:name="_Toc312169405"/>
      <w:bookmarkStart w:id="1870" w:name="_Toc312172332"/>
      <w:bookmarkStart w:id="1871" w:name="_Toc312257881"/>
      <w:r>
        <w:t>S</w:t>
      </w:r>
      <w:r w:rsidRPr="001A6261">
        <w:t>tatistical method</w:t>
      </w:r>
      <w:bookmarkEnd w:id="1865"/>
      <w:r>
        <w:t xml:space="preserve"> used</w:t>
      </w:r>
      <w:bookmarkEnd w:id="1866"/>
      <w:bookmarkEnd w:id="1867"/>
      <w:bookmarkEnd w:id="1868"/>
      <w:bookmarkEnd w:id="1869"/>
      <w:bookmarkEnd w:id="1870"/>
      <w:bookmarkEnd w:id="1871"/>
      <w:r w:rsidRPr="001A6261">
        <w:t xml:space="preserve"> </w:t>
      </w:r>
    </w:p>
    <w:p w:rsidR="00B61503" w:rsidRPr="001A6261" w:rsidRDefault="00B61503" w:rsidP="00183650">
      <w:pPr>
        <w:spacing w:before="240" w:after="240" w:line="360" w:lineRule="auto"/>
        <w:jc w:val="both"/>
      </w:pPr>
      <w:r w:rsidRPr="001A6261">
        <w:t>There are several important statistical methods that can affect the quality of biomarker research. For</w:t>
      </w:r>
      <w:r w:rsidR="00C55C6B">
        <w:t xml:space="preserve"> the accuracy of predictive bio</w:t>
      </w:r>
      <w:r w:rsidRPr="001A6261">
        <w:t>markers often ‘calculated odds’ ratios were used to demonstrate the strength of association between the biomarker and the outcome</w:t>
      </w:r>
      <w:r>
        <w:t xml:space="preserve"> </w:t>
      </w:r>
      <w:r>
        <w:fldChar w:fldCharType="begin">
          <w:fldData xml:space="preserve">PEVuZE5vdGU+PENpdGU+PEF1dGhvcj5BbmRlcnNvbjwvQXV0aG9yPjxZZWFyPjIwMDc8L1llYXI+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</w:fldData>
        </w:fldChar>
      </w:r>
      <w:r w:rsidR="00930156">
        <w:instrText xml:space="preserve"> ADDIN EN.CITE </w:instrText>
      </w:r>
      <w:r w:rsidR="00930156">
        <w:fldChar w:fldCharType="begin">
          <w:fldData xml:space="preserve">PEVuZE5vdGU+PENpdGU+PEF1dGhvcj5BbmRlcnNvbjwvQXV0aG9yPjxZZWFyPjIwMDc8L1llYXI+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</w:fldData>
        </w:fldChar>
      </w:r>
      <w:r w:rsidR="00930156">
        <w:instrText xml:space="preserve"> ADDIN EN.CITE.DATA </w:instrText>
      </w:r>
      <w:r w:rsidR="00930156">
        <w:fldChar w:fldCharType="end"/>
      </w:r>
      <w:r>
        <w:fldChar w:fldCharType="separate"/>
      </w:r>
      <w:r w:rsidR="006F41FE">
        <w:rPr>
          <w:noProof/>
        </w:rPr>
        <w:t>(</w:t>
      </w:r>
      <w:hyperlink w:anchor="_ENREF_23" w:tooltip="Anderson, 2007 #5281" w:history="1">
        <w:r w:rsidR="004A784D">
          <w:rPr>
            <w:noProof/>
          </w:rPr>
          <w:t>Anderson et al., 2007</w:t>
        </w:r>
      </w:hyperlink>
      <w:r w:rsidR="006F41FE">
        <w:rPr>
          <w:noProof/>
        </w:rPr>
        <w:t>)</w:t>
      </w:r>
      <w:r>
        <w:fldChar w:fldCharType="end"/>
      </w:r>
      <w:r w:rsidRPr="001A6261">
        <w:t xml:space="preserve">. However, the ratios are only a measure of association between biomarker and outcome, but do not characterize their ability to discriminate </w:t>
      </w:r>
      <w:r>
        <w:t xml:space="preserve">specific group of patients, </w:t>
      </w:r>
      <w:r w:rsidRPr="001A6261">
        <w:t xml:space="preserve">as in this study between responders and non-responders to thalidomide. </w:t>
      </w:r>
    </w:p>
    <w:p w:rsidR="00B61503" w:rsidRPr="001A6261" w:rsidRDefault="00B61503" w:rsidP="00057B42">
      <w:pPr>
        <w:spacing w:line="360" w:lineRule="auto"/>
        <w:jc w:val="both"/>
      </w:pPr>
      <w:r>
        <w:t>In this study,</w:t>
      </w:r>
      <w:r w:rsidRPr="001A6261">
        <w:t xml:space="preserve"> once we </w:t>
      </w:r>
      <w:r>
        <w:t>have</w:t>
      </w:r>
      <w:r w:rsidRPr="001A6261">
        <w:t xml:space="preserve"> completed the ELISA validation of protein biomarkers in newly diagnosed MM patients, instead of using odds ratios, we used Logistic regression</w:t>
      </w:r>
      <w:r>
        <w:t xml:space="preserve"> (LR)</w:t>
      </w:r>
      <w:r w:rsidRPr="001A6261">
        <w:t xml:space="preserve"> model.  The </w:t>
      </w:r>
      <w:r>
        <w:t>LR</w:t>
      </w:r>
      <w:r w:rsidRPr="001A6261">
        <w:t xml:space="preserve"> model allows is to improve the prospect of correctly predicting response to thalidomide based therapy</w:t>
      </w:r>
      <w:r>
        <w:t xml:space="preserve"> </w:t>
      </w:r>
      <w:r>
        <w:fldChar w:fldCharType="begin"/>
      </w:r>
      <w:r w:rsidR="006F41FE">
        <w:instrText xml:space="preserve"> ADDIN EN.CITE &lt;EndNote&gt;&lt;Cite&gt;&lt;Author&gt;Su&lt;/Author&gt;&lt;Year&gt;2007&lt;/Year&gt;&lt;RecNum&gt;4903&lt;/RecNum&gt;&lt;DisplayText&gt;(Su et al., 2007)&lt;/DisplayText&gt;&lt;record&gt;&lt;rec-number&gt;4903&lt;/rec-number&gt;&lt;foreign-keys&gt;&lt;key app="EN" db-id="zf0awxsaczrdd3eft5qvw9wrtxxawdfrvw2a"&gt;4903&lt;/key&gt;&lt;/foreign-keys&gt;&lt;ref-type name="Journal Article"&gt;17&lt;/ref-type&gt;&lt;contributors&gt;&lt;authors&gt;&lt;author&gt;Su, F.&lt;/author&gt;&lt;author&gt;Lang, J.&lt;/author&gt;&lt;author&gt;Kumar, A.&lt;/author&gt;&lt;author&gt;Ng, C.&lt;/author&gt;&lt;author&gt;Hsieh, B.&lt;/author&gt;&lt;author&gt;Suchard, M. A.&lt;/author&gt;&lt;author&gt;Reddy, S. T.&lt;/author&gt;&lt;author&gt;Farias-Eisner, R.&lt;/author&gt;&lt;/authors&gt;&lt;/contributors&gt;&lt;auth-address&gt;Department of Obstetrics and Gynecology, University of California, Los Angeles, CA 90095, U.S.A.&lt;/auth-address&gt;&lt;titles&gt;&lt;title&gt;Validation of candidate serum ovarian cancer biomarkers for early detection&lt;/title&gt;&lt;secondary-title&gt;Biomark Insights&lt;/secondary-title&gt;&lt;/titles&gt;&lt;periodical&gt;&lt;full-title&gt;Biomark Insights&lt;/full-title&gt;&lt;/periodical&gt;&lt;pages&gt;369-75&lt;/pages&gt;&lt;volume&gt;2&lt;/volume&gt;&lt;edition&gt;2007/01/01&lt;/edition&gt;&lt;dates&gt;&lt;year&gt;2007&lt;/year&gt;&lt;/dates&gt;&lt;isbn&gt;1177-2719 (Electronic)&amp;#xD;1177-2719 (Linking)&lt;/isbn&gt;&lt;accession-num&gt;19662218&lt;/accession-num&gt;&lt;urls&gt;&lt;related-urls&gt;&lt;url&gt;http://www.ncbi.nlm.nih.gov/pubmed/19662218&lt;/url&gt;&lt;/related-urls&gt;&lt;/urls&gt;&lt;custom2&gt;2717832&lt;/custom2&gt;&lt;language&gt;eng&lt;/language&gt;&lt;/record&gt;&lt;/Cite&gt;&lt;/EndNote&gt;</w:instrText>
      </w:r>
      <w:r>
        <w:fldChar w:fldCharType="separate"/>
      </w:r>
      <w:r w:rsidR="006F41FE">
        <w:rPr>
          <w:noProof/>
        </w:rPr>
        <w:t>(</w:t>
      </w:r>
      <w:hyperlink w:anchor="_ENREF_405" w:tooltip="Su, 2007 #4903" w:history="1">
        <w:r w:rsidR="004A784D">
          <w:rPr>
            <w:noProof/>
          </w:rPr>
          <w:t>Su et al., 2007</w:t>
        </w:r>
      </w:hyperlink>
      <w:r w:rsidR="006F41FE">
        <w:rPr>
          <w:noProof/>
        </w:rPr>
        <w:t>)</w:t>
      </w:r>
      <w:r>
        <w:fldChar w:fldCharType="end"/>
      </w:r>
      <w:r w:rsidRPr="001A6261">
        <w:t xml:space="preserve">. Afterward using regression models, a receiver operating characteristic (ROC) curve </w:t>
      </w:r>
      <w:r w:rsidRPr="001A6261">
        <w:lastRenderedPageBreak/>
        <w:t xml:space="preserve">were constructed. The area under curve was determined for each of single protein biomarkers as well as in combination. </w:t>
      </w:r>
    </w:p>
    <w:p w:rsidR="00B61503" w:rsidRPr="001A6261" w:rsidRDefault="00B61503" w:rsidP="00057B42">
      <w:pPr>
        <w:spacing w:line="360" w:lineRule="auto"/>
        <w:jc w:val="both"/>
      </w:pPr>
    </w:p>
    <w:p w:rsidR="00B61503" w:rsidRDefault="00B61503" w:rsidP="00645687">
      <w:pPr>
        <w:pStyle w:val="Heading2"/>
        <w:numPr>
          <w:ilvl w:val="4"/>
          <w:numId w:val="19"/>
        </w:numPr>
      </w:pPr>
      <w:bookmarkStart w:id="1872" w:name="_Toc302582425"/>
      <w:bookmarkStart w:id="1873" w:name="_Toc305690087"/>
      <w:bookmarkStart w:id="1874" w:name="_Toc306570779"/>
      <w:bookmarkStart w:id="1875" w:name="_Toc307067839"/>
      <w:bookmarkStart w:id="1876" w:name="_Toc312169406"/>
      <w:bookmarkStart w:id="1877" w:name="_Toc312172333"/>
      <w:bookmarkStart w:id="1878" w:name="_Toc312257882"/>
      <w:r w:rsidRPr="001A6261">
        <w:t>Receiver operating characteristic (ROC) curve</w:t>
      </w:r>
      <w:bookmarkEnd w:id="1872"/>
      <w:bookmarkEnd w:id="1873"/>
      <w:bookmarkEnd w:id="1874"/>
      <w:bookmarkEnd w:id="1875"/>
      <w:bookmarkEnd w:id="1876"/>
      <w:bookmarkEnd w:id="1877"/>
      <w:bookmarkEnd w:id="1878"/>
    </w:p>
    <w:p w:rsidR="00B61503" w:rsidRPr="001A6261" w:rsidRDefault="00B61503" w:rsidP="00183650">
      <w:pPr>
        <w:spacing w:before="240" w:line="360" w:lineRule="auto"/>
        <w:jc w:val="both"/>
      </w:pPr>
      <w:r>
        <w:t>In this study we had</w:t>
      </w:r>
      <w:r w:rsidRPr="001A6261">
        <w:t xml:space="preserve"> two </w:t>
      </w:r>
      <w:r>
        <w:t xml:space="preserve">distinct set of patients </w:t>
      </w:r>
      <w:r w:rsidRPr="001A6261">
        <w:t>i.e. responders and non-responders to thali</w:t>
      </w:r>
      <w:r w:rsidR="00EE0661">
        <w:t xml:space="preserve">domide. Therefore in </w:t>
      </w:r>
      <w:r>
        <w:t xml:space="preserve">term </w:t>
      </w:r>
      <w:r w:rsidRPr="001A6261">
        <w:t>of performance</w:t>
      </w:r>
      <w:r>
        <w:t xml:space="preserve">, </w:t>
      </w:r>
      <w:r w:rsidRPr="001A6261">
        <w:t xml:space="preserve">the proportion of the reference positive </w:t>
      </w:r>
      <w:r>
        <w:t xml:space="preserve">serum </w:t>
      </w:r>
      <w:r w:rsidRPr="001A6261">
        <w:t xml:space="preserve">samples that the biomarker correctly predicts as positive (sensitivity) and the proportion of the reference non-positive </w:t>
      </w:r>
      <w:r>
        <w:t xml:space="preserve">serum </w:t>
      </w:r>
      <w:r w:rsidRPr="001A6261">
        <w:t>samples that the biomarker correctly predicts as non-positive (specificity)</w:t>
      </w:r>
      <w:r>
        <w:t xml:space="preserve"> </w:t>
      </w:r>
      <w:r w:rsidRPr="001A6261">
        <w:t xml:space="preserve">. For </w:t>
      </w:r>
      <w:r>
        <w:t>further evaluation of biomarkers the</w:t>
      </w:r>
      <w:r w:rsidRPr="001A6261">
        <w:t xml:space="preserve"> ROC</w:t>
      </w:r>
      <w:r>
        <w:t xml:space="preserve"> curve</w:t>
      </w:r>
      <w:r w:rsidRPr="001A6261">
        <w:t xml:space="preserve"> plot was an appropriate and </w:t>
      </w:r>
      <w:r>
        <w:t xml:space="preserve">was consider as </w:t>
      </w:r>
      <w:r w:rsidRPr="001A6261">
        <w:t>an impo</w:t>
      </w:r>
      <w:r>
        <w:t>rtant evaluation tool</w:t>
      </w:r>
      <w:r w:rsidRPr="001A6261">
        <w:t xml:space="preserve"> in this study. The ROC curve enable</w:t>
      </w:r>
      <w:r>
        <w:t>s</w:t>
      </w:r>
      <w:r w:rsidRPr="001A6261">
        <w:t xml:space="preserve"> us to measures a test’s ability to discriminate between two subclasses of patients</w:t>
      </w:r>
      <w:r>
        <w:t xml:space="preserve"> </w:t>
      </w:r>
      <w:r>
        <w:fldChar w:fldCharType="begin"/>
      </w:r>
      <w:r w:rsidR="006F41FE">
        <w:instrText xml:space="preserve"> ADDIN EN.CITE &lt;EndNote&gt;&lt;Cite&gt;&lt;Author&gt;van Klei&lt;/Author&gt;&lt;Year&gt;2002&lt;/Year&gt;&lt;RecNum&gt;4916&lt;/RecNum&gt;&lt;DisplayText&gt;(van Klei et al., 2002)&lt;/DisplayText&gt;&lt;record&gt;&lt;rec-number&gt;4916&lt;/rec-number&gt;&lt;foreign-keys&gt;&lt;key app="EN" db-id="zf0awxsaczrdd3eft5qvw9wrtxxawdfrvw2a"&gt;4916&lt;/key&gt;&lt;/foreign-keys&gt;&lt;ref-type name="Journal Article"&gt;17&lt;/ref-type&gt;&lt;contributors&gt;&lt;authors&gt;&lt;author&gt;van Klei, W. A.&lt;/author&gt;&lt;author&gt;Moons, K. G.&lt;/author&gt;&lt;author&gt;Rheineck-Leyssius, A. T.&lt;/author&gt;&lt;author&gt;Kalkman, C. J.&lt;/author&gt;&lt;author&gt;Rutten, C. L.&lt;/author&gt;&lt;author&gt;Knape, J. T.&lt;/author&gt;&lt;author&gt;Grobbee, D. E.&lt;/author&gt;&lt;/authors&gt;&lt;/contributors&gt;&lt;auth-address&gt;Department of Peri-operative Care, Anaesthesia and Pain Management, Julius Centre for General Practice and Patient Oriented Research, University Medical Centre Utrecht, PO Box 85500, 3508 GA Utrecht, The Netherlands.&lt;/auth-address&gt;&lt;titles&gt;&lt;title&gt;Validation of a clinical prediction rule to reduce preoperative type and screen procedures&lt;/title&gt;&lt;secondary-title&gt;Br J Anaesth&lt;/secondary-title&gt;&lt;/titles&gt;&lt;periodical&gt;&lt;full-title&gt;Br J Anaesth&lt;/full-title&gt;&lt;/periodical&gt;&lt;pages&gt;221-5&lt;/pages&gt;&lt;volume&gt;89&lt;/volume&gt;&lt;number&gt;2&lt;/number&gt;&lt;edition&gt;2002/10/16&lt;/edition&gt;&lt;keywords&gt;&lt;keyword&gt;Adolescent&lt;/keyword&gt;&lt;keyword&gt;Adult&lt;/keyword&gt;&lt;keyword&gt;Age Factors&lt;/keyword&gt;&lt;keyword&gt;Aged&lt;/keyword&gt;&lt;keyword&gt;Blood Grouping and Crossmatching&lt;/keyword&gt;&lt;keyword&gt;*Erythrocyte Transfusion/utilization&lt;/keyword&gt;&lt;keyword&gt;Female&lt;/keyword&gt;&lt;keyword&gt;Humans&lt;/keyword&gt;&lt;keyword&gt;Male&lt;/keyword&gt;&lt;keyword&gt;Middle Aged&lt;/keyword&gt;&lt;keyword&gt;Predictive Value of Tests&lt;/keyword&gt;&lt;keyword&gt;Preoperative Care/*methods&lt;/keyword&gt;&lt;keyword&gt;Retrospective Studies&lt;/keyword&gt;&lt;keyword&gt;Risk Factors&lt;/keyword&gt;&lt;keyword&gt;Sex Factors&lt;/keyword&gt;&lt;keyword&gt;Surgical Procedures, Operative&lt;/keyword&gt;&lt;/keywords&gt;&lt;dates&gt;&lt;year&gt;2002&lt;/year&gt;&lt;pub-dates&gt;&lt;date&gt;Aug&lt;/date&gt;&lt;/pub-dates&gt;&lt;/dates&gt;&lt;isbn&gt;0007-0912 (Print)&amp;#xD;0007-0912 (Linking)&lt;/isbn&gt;&lt;accession-num&gt;12378656&lt;/accession-num&gt;&lt;urls&gt;&lt;related-urls&gt;&lt;url&gt;http://www.ncbi.nlm.nih.gov/pubmed/12378656&lt;/url&gt;&lt;/related-urls&gt;&lt;/urls&gt;&lt;language&gt;eng&lt;/language&gt;&lt;/record&gt;&lt;/Cite&gt;&lt;/EndNote&gt;</w:instrText>
      </w:r>
      <w:r>
        <w:fldChar w:fldCharType="separate"/>
      </w:r>
      <w:r w:rsidR="006F41FE">
        <w:rPr>
          <w:noProof/>
        </w:rPr>
        <w:t>(</w:t>
      </w:r>
      <w:hyperlink w:anchor="_ENREF_429" w:tooltip="van Klei, 2002 #4916" w:history="1">
        <w:r w:rsidR="004A784D">
          <w:rPr>
            <w:noProof/>
          </w:rPr>
          <w:t>van Klei et al., 2002</w:t>
        </w:r>
      </w:hyperlink>
      <w:r w:rsidR="006F41FE">
        <w:rPr>
          <w:noProof/>
        </w:rPr>
        <w:t>)</w:t>
      </w:r>
      <w:r>
        <w:fldChar w:fldCharType="end"/>
      </w:r>
      <w:r w:rsidRPr="001A6261">
        <w:t>. In many studies, the concept of the diagnostic accuracy in the use of ROC plots has increasingly been checked for identification of proteomic biomarkers</w:t>
      </w:r>
      <w:r>
        <w:t>.</w:t>
      </w:r>
      <w:r w:rsidRPr="001A6261">
        <w:t xml:space="preserve"> The ROC curve is the plot of sensitivity on the vertical axis and 1-specificity on the horizontal axis for all possible t</w:t>
      </w:r>
      <w:r>
        <w:t>hresholds in the study data set</w:t>
      </w:r>
      <w:r w:rsidRPr="00B80A4D">
        <w:t xml:space="preserve"> </w:t>
      </w:r>
      <w:r w:rsidRPr="001A6261">
        <w:fldChar w:fldCharType="begin">
          <w:fldData xml:space="preserve">PEVuZE5vdGU+PENpdGU+PEF1dGhvcj5DaGVuPC9BdXRob3I+PFllYXI+MjAwODwvWWVhcj48UmVj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</w:fldData>
        </w:fldChar>
      </w:r>
      <w:r w:rsidR="006F41FE">
        <w:instrText xml:space="preserve"> ADDIN EN.CITE </w:instrText>
      </w:r>
      <w:r w:rsidR="006F41FE">
        <w:fldChar w:fldCharType="begin">
          <w:fldData xml:space="preserve">PEVuZE5vdGU+PENpdGU+PEF1dGhvcj5DaGVuPC9BdXRob3I+PFllYXI+MjAwODwvWWVhcj48UmVj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71" w:tooltip="Chen, 2008 #73" w:history="1">
        <w:r w:rsidR="004A784D">
          <w:rPr>
            <w:noProof/>
          </w:rPr>
          <w:t>Chen, 2008</w:t>
        </w:r>
      </w:hyperlink>
      <w:r w:rsidR="006F41FE">
        <w:rPr>
          <w:noProof/>
        </w:rPr>
        <w:t xml:space="preserve">, </w:t>
      </w:r>
      <w:hyperlink w:anchor="_ENREF_215" w:tooltip="Kline, 2005 #4913" w:history="1">
        <w:r w:rsidR="004A784D">
          <w:rPr>
            <w:noProof/>
          </w:rPr>
          <w:t>Kline et al., 2005</w:t>
        </w:r>
      </w:hyperlink>
      <w:r w:rsidR="006F41FE">
        <w:rPr>
          <w:noProof/>
        </w:rPr>
        <w:t>)</w:t>
      </w:r>
      <w:r w:rsidRPr="001A6261">
        <w:fldChar w:fldCharType="end"/>
      </w:r>
      <w:r w:rsidRPr="001A6261">
        <w:t>.</w:t>
      </w:r>
      <w:r>
        <w:t xml:space="preserve"> We used</w:t>
      </w:r>
      <w:r w:rsidRPr="001A6261">
        <w:t xml:space="preserve"> ROC curve as a design of true positive rate versus false positive rate associated with all possible </w:t>
      </w:r>
      <w:r>
        <w:t>combination of various potential biomarker proteins in order to</w:t>
      </w:r>
      <w:r w:rsidRPr="001A6261">
        <w:t xml:space="preserve"> classifying a patient</w:t>
      </w:r>
      <w:r>
        <w:t>s</w:t>
      </w:r>
      <w:r w:rsidRPr="001A6261">
        <w:t xml:space="preserve"> based on the relative expression or protein levels. </w:t>
      </w:r>
    </w:p>
    <w:p w:rsidR="00CD1970" w:rsidRDefault="00CD1970" w:rsidP="00057B42">
      <w:pPr>
        <w:spacing w:line="360" w:lineRule="auto"/>
        <w:jc w:val="both"/>
      </w:pPr>
    </w:p>
    <w:p w:rsidR="00B61503" w:rsidRPr="001A6261" w:rsidRDefault="00B61503" w:rsidP="00057B42">
      <w:pPr>
        <w:spacing w:line="360" w:lineRule="auto"/>
        <w:jc w:val="both"/>
      </w:pPr>
      <w:r w:rsidRPr="001A6261">
        <w:t>The area under the ROC curve (AUC) is the average sensitivity of the biomarker over the range of specificities. This represents the overall performance of the biomarker.  A biomarker with no predictive value w</w:t>
      </w:r>
      <w:r w:rsidR="008E71E8">
        <w:t xml:space="preserve">ould have an AUC of 0.5 (by </w:t>
      </w:r>
      <w:r w:rsidRPr="001A6261">
        <w:t>“chance” only) while a biomarker with 100 percent ability to predict disease would have an AUC of 1.</w:t>
      </w:r>
    </w:p>
    <w:p w:rsidR="00856253" w:rsidRDefault="00856253" w:rsidP="00057B42">
      <w:pPr>
        <w:spacing w:line="360" w:lineRule="auto"/>
        <w:jc w:val="both"/>
      </w:pPr>
    </w:p>
    <w:p w:rsidR="00B61503" w:rsidRPr="001A6261" w:rsidRDefault="00B61503" w:rsidP="00057B42">
      <w:pPr>
        <w:spacing w:line="360" w:lineRule="auto"/>
        <w:jc w:val="both"/>
        <w:rPr>
          <w:b/>
        </w:rPr>
      </w:pPr>
      <w:r w:rsidRPr="001A6261">
        <w:t xml:space="preserve">Thus in this study, </w:t>
      </w:r>
      <w:r>
        <w:t xml:space="preserve">we considered </w:t>
      </w:r>
      <w:r w:rsidRPr="001A6261">
        <w:t xml:space="preserve">the proteins biomarker and combinations of proteins biomarkers presenting the largest AUC values are the most effective for correctly classifying responders from non-responders to thalidomide based therapy. A ROC curve was produced for the six </w:t>
      </w:r>
      <w:r>
        <w:t xml:space="preserve">potential </w:t>
      </w:r>
      <w:r w:rsidRPr="001A6261">
        <w:t>proteins biomarkers.</w:t>
      </w:r>
      <w:r>
        <w:t xml:space="preserve"> For </w:t>
      </w:r>
      <w:r w:rsidRPr="001A6261">
        <w:t>comparison purposes of biomarker</w:t>
      </w:r>
      <w:r>
        <w:t xml:space="preserve"> combinations an AUC of &lt; 0.7 is</w:t>
      </w:r>
      <w:r w:rsidRPr="001A6261">
        <w:t xml:space="preserve"> considered poor, between 0.7 and 0.8 acceptable, 0.8 to 0.9 good and &gt; 0.9 excellent predictive </w:t>
      </w:r>
      <w:r w:rsidRPr="001A6261">
        <w:lastRenderedPageBreak/>
        <w:t>values. In this study the best possible area under the curve was 0.96 using ZAG, VDB and SAA in combination indicating excellent projecting values.</w:t>
      </w:r>
      <w:r w:rsidRPr="001A6261">
        <w:rPr>
          <w:b/>
        </w:rPr>
        <w:t xml:space="preserve"> </w:t>
      </w:r>
    </w:p>
    <w:p w:rsidR="00CD1970" w:rsidRDefault="00CD1970" w:rsidP="00057B42">
      <w:pPr>
        <w:spacing w:line="360" w:lineRule="auto"/>
        <w:jc w:val="both"/>
        <w:rPr>
          <w:color w:val="000000"/>
        </w:rPr>
      </w:pPr>
    </w:p>
    <w:p w:rsidR="00B61503" w:rsidRPr="001A6261" w:rsidRDefault="00B61503" w:rsidP="00057B42">
      <w:pPr>
        <w:spacing w:line="360" w:lineRule="auto"/>
        <w:jc w:val="both"/>
        <w:rPr>
          <w:color w:val="000000"/>
        </w:rPr>
      </w:pPr>
      <w:r>
        <w:rPr>
          <w:color w:val="000000"/>
        </w:rPr>
        <w:t>D</w:t>
      </w:r>
      <w:r w:rsidR="004D570F">
        <w:rPr>
          <w:color w:val="000000"/>
        </w:rPr>
        <w:t>espite differences</w:t>
      </w:r>
      <w:r w:rsidRPr="001A6261">
        <w:rPr>
          <w:color w:val="000000"/>
        </w:rPr>
        <w:t xml:space="preserve"> in concentration level </w:t>
      </w:r>
      <w:r w:rsidR="004D570F">
        <w:rPr>
          <w:color w:val="000000"/>
        </w:rPr>
        <w:t>of all six proteins being</w:t>
      </w:r>
      <w:r w:rsidRPr="001A6261">
        <w:rPr>
          <w:color w:val="000000"/>
        </w:rPr>
        <w:t xml:space="preserve"> statistically significant, </w:t>
      </w:r>
      <w:r>
        <w:rPr>
          <w:color w:val="000000"/>
        </w:rPr>
        <w:t>there values as a predictive biomarkers statistically were not the same. T</w:t>
      </w:r>
      <w:r w:rsidRPr="001A6261">
        <w:rPr>
          <w:color w:val="000000"/>
        </w:rPr>
        <w:t xml:space="preserve">he best predictive ability </w:t>
      </w:r>
      <w:r>
        <w:rPr>
          <w:color w:val="000000"/>
        </w:rPr>
        <w:t>using</w:t>
      </w:r>
      <w:r w:rsidRPr="001A6261">
        <w:rPr>
          <w:color w:val="000000"/>
        </w:rPr>
        <w:t xml:space="preserve"> logistic regression model for single proteins were B2M and SAA with AUC values of 0.8 and 0.79 respectively demonstrating acceptable performance. The remaining single proteins model had AUC values less than 0.7 indicating poor predictive a</w:t>
      </w:r>
      <w:r w:rsidR="004D570F">
        <w:rPr>
          <w:color w:val="000000"/>
        </w:rPr>
        <w:t>bility to correctly differentiate</w:t>
      </w:r>
      <w:r w:rsidRPr="001A6261">
        <w:rPr>
          <w:color w:val="000000"/>
        </w:rPr>
        <w:t xml:space="preserve"> between responders and non-responders to thalidomide. </w:t>
      </w:r>
    </w:p>
    <w:p w:rsidR="00CD1970" w:rsidRDefault="00CD1970" w:rsidP="00057B42">
      <w:pPr>
        <w:spacing w:line="360" w:lineRule="auto"/>
        <w:jc w:val="both"/>
      </w:pPr>
    </w:p>
    <w:p w:rsidR="00B61503" w:rsidRPr="001A6261" w:rsidRDefault="00B61503" w:rsidP="00057B42">
      <w:pPr>
        <w:spacing w:line="360" w:lineRule="auto"/>
        <w:jc w:val="both"/>
        <w:rPr>
          <w:color w:val="000000"/>
        </w:rPr>
      </w:pPr>
      <w:r w:rsidRPr="001A6261">
        <w:t>Serum levels of multiple biomarkers can be combined via best linear combination</w:t>
      </w:r>
      <w:r>
        <w:t xml:space="preserve"> </w:t>
      </w:r>
      <w:r w:rsidRPr="001A6261">
        <w:fldChar w:fldCharType="begin"/>
      </w:r>
      <w:r w:rsidR="006F41FE">
        <w:instrText xml:space="preserve"> ADDIN EN.CITE &lt;EndNote&gt;&lt;Cite&gt;&lt;Author&gt;Schisterman&lt;/Author&gt;&lt;Year&gt;2010&lt;/Year&gt;&lt;RecNum&gt;722&lt;/RecNum&gt;&lt;DisplayText&gt;(Schisterman et al., 2010)&lt;/DisplayText&gt;&lt;record&gt;&lt;rec-number&gt;722&lt;/rec-number&gt;&lt;foreign-keys&gt;&lt;key app="EN" db-id="zf0awxsaczrdd3eft5qvw9wrtxxawdfrvw2a"&gt;722&lt;/key&gt;&lt;/foreign-keys&gt;&lt;ref-type name="Journal Article"&gt;17&lt;/ref-type&gt;&lt;contributors&gt;&lt;authors&gt;&lt;author&gt;Schisterman, E. F.&lt;/author&gt;&lt;author&gt;Vexler, A.&lt;/author&gt;&lt;author&gt;Mumford, S. L.&lt;/author&gt;&lt;author&gt;Perkins, N. J.&lt;/author&gt;&lt;/authors&gt;&lt;/contributors&gt;&lt;auth-address&gt;Division of Epidemiology, Statistics and Prevention Research, Eunice Kennedy Shriver National Institute of Child Health and Human Development, NIH/DHHS, Rockville, MD 20852, USA. schistee@mail.nih.gov&lt;/auth-address&gt;&lt;titles&gt;&lt;title&gt;Hybrid pooled-unpooled design for cost-efficient measurement of biomarkers&lt;/title&gt;&lt;secondary-title&gt;Stat Med&lt;/secondary-title&gt;&lt;/titles&gt;&lt;periodical&gt;&lt;full-title&gt;Stat Med&lt;/full-title&gt;&lt;/periodical&gt;&lt;pages&gt;597-613&lt;/pages&gt;&lt;volume&gt;29&lt;/volume&gt;&lt;number&gt;5&lt;/number&gt;&lt;edition&gt;2010/01/06&lt;/edition&gt;&lt;keywords&gt;&lt;keyword&gt;Algorithms&lt;/keyword&gt;&lt;keyword&gt;Biological Markers/analysis&lt;/keyword&gt;&lt;keyword&gt;Cholesterol/blood&lt;/keyword&gt;&lt;keyword&gt;Computer Simulation/statistics &amp;amp; numerical data&lt;/keyword&gt;&lt;keyword&gt;Coronary Disease/economics/*epidemiology&lt;/keyword&gt;&lt;keyword&gt;Cost-Benefit Analysis&lt;/keyword&gt;&lt;keyword&gt;Humans&lt;/keyword&gt;&lt;keyword&gt;Likelihood Functions&lt;/keyword&gt;&lt;keyword&gt;Monte Carlo Method&lt;/keyword&gt;&lt;keyword&gt;Research Design&lt;/keyword&gt;&lt;keyword&gt;Sampling Studies&lt;/keyword&gt;&lt;/keywords&gt;&lt;dates&gt;&lt;year&gt;2010&lt;/year&gt;&lt;pub-dates&gt;&lt;date&gt;Feb 28&lt;/date&gt;&lt;/pub-dates&gt;&lt;/dates&gt;&lt;isbn&gt;1097-0258 (Electronic)&amp;#xD;0277-6715 (Linking)&lt;/isbn&gt;&lt;accession-num&gt;20049693&lt;/accession-num&gt;&lt;urls&gt;&lt;related-urls&gt;&lt;url&gt;http://www.ncbi.nlm.nih.gov/pubmed/20049693&lt;/url&gt;&lt;/related-urls&gt;&lt;/urls&gt;&lt;custom2&gt;2821989&lt;/custom2&gt;&lt;electronic-resource-num&gt;10.1002/sim.3823&lt;/electronic-resource-num&gt;&lt;language&gt;eng&lt;/language&gt;&lt;/record&gt;&lt;/Cite&gt;&lt;/EndNote&gt;</w:instrText>
      </w:r>
      <w:r w:rsidRPr="001A6261">
        <w:fldChar w:fldCharType="separate"/>
      </w:r>
      <w:r w:rsidR="006F41FE">
        <w:rPr>
          <w:noProof/>
        </w:rPr>
        <w:t>(</w:t>
      </w:r>
      <w:hyperlink w:anchor="_ENREF_371" w:tooltip="Schisterman, 2010 #722" w:history="1">
        <w:r w:rsidR="004A784D">
          <w:rPr>
            <w:noProof/>
          </w:rPr>
          <w:t>Schisterman et al., 2010</w:t>
        </w:r>
      </w:hyperlink>
      <w:r w:rsidR="006F41FE">
        <w:rPr>
          <w:noProof/>
        </w:rPr>
        <w:t>)</w:t>
      </w:r>
      <w:r w:rsidRPr="001A6261">
        <w:fldChar w:fldCharType="end"/>
      </w:r>
      <w:r w:rsidR="008E71E8">
        <w:t>, this will allow an</w:t>
      </w:r>
      <w:r>
        <w:t xml:space="preserve"> </w:t>
      </w:r>
      <w:r w:rsidRPr="001A6261">
        <w:t xml:space="preserve">overall </w:t>
      </w:r>
      <w:r>
        <w:t>increase</w:t>
      </w:r>
      <w:r w:rsidRPr="001A6261">
        <w:t xml:space="preserve"> </w:t>
      </w:r>
      <w:r>
        <w:t xml:space="preserve">in the AUC and </w:t>
      </w:r>
      <w:r w:rsidRPr="001A6261">
        <w:t xml:space="preserve">discriminatory ability </w:t>
      </w:r>
      <w:r>
        <w:t xml:space="preserve">of predictive model by using panel of proteins, which we expected to </w:t>
      </w:r>
      <w:r w:rsidRPr="001A6261">
        <w:t>becomes greater than any of them individually.</w:t>
      </w:r>
      <w:r>
        <w:t xml:space="preserve"> </w:t>
      </w:r>
      <w:r w:rsidRPr="001A6261">
        <w:rPr>
          <w:color w:val="000000"/>
        </w:rPr>
        <w:t xml:space="preserve">Therefore the predictive capability on </w:t>
      </w:r>
      <w:r>
        <w:rPr>
          <w:color w:val="000000"/>
        </w:rPr>
        <w:t xml:space="preserve">various </w:t>
      </w:r>
      <w:r w:rsidRPr="001A6261">
        <w:rPr>
          <w:color w:val="000000"/>
        </w:rPr>
        <w:t>combinations of proteins was also assessed. The statistical analysis indicates that a higher level of both specificity and sensitivity might be achieved by measuring the combination of markers</w:t>
      </w:r>
      <w:r>
        <w:rPr>
          <w:color w:val="000000"/>
        </w:rPr>
        <w:t xml:space="preserve">, which might be </w:t>
      </w:r>
      <w:r w:rsidRPr="001A6261">
        <w:rPr>
          <w:color w:val="000000"/>
        </w:rPr>
        <w:t xml:space="preserve">originating from both the diseased cells and the reactive cells in the </w:t>
      </w:r>
      <w:r>
        <w:rPr>
          <w:color w:val="000000"/>
        </w:rPr>
        <w:t xml:space="preserve">MM microenvironment. Therefore the </w:t>
      </w:r>
      <w:r w:rsidRPr="001A6261">
        <w:rPr>
          <w:color w:val="000000"/>
        </w:rPr>
        <w:t>trend in biomarker discovery is moving away from the ideal single cancer-specific biomarker such as prostate-specific antigen (as</w:t>
      </w:r>
      <w:r>
        <w:rPr>
          <w:color w:val="000000"/>
        </w:rPr>
        <w:t xml:space="preserve"> described at section 4.1.3.3.2</w:t>
      </w:r>
      <w:r w:rsidRPr="001A6261">
        <w:rPr>
          <w:color w:val="000000"/>
        </w:rPr>
        <w:t>). Despite decades of effort, most single biomarkers have not reached the level of cancer specificity and sensitivity required for routine clinical use in early detection and screening purposes. A growing confluence of scientific data an</w:t>
      </w:r>
      <w:r>
        <w:rPr>
          <w:color w:val="000000"/>
        </w:rPr>
        <w:t>d results points to combination</w:t>
      </w:r>
      <w:r w:rsidRPr="001A6261">
        <w:rPr>
          <w:color w:val="000000"/>
        </w:rPr>
        <w:t xml:space="preserve"> biomarkers from tumour cell</w:t>
      </w:r>
      <w:r>
        <w:rPr>
          <w:color w:val="000000"/>
        </w:rPr>
        <w:t>s</w:t>
      </w:r>
      <w:r w:rsidRPr="001A6261">
        <w:rPr>
          <w:color w:val="000000"/>
        </w:rPr>
        <w:t xml:space="preserve"> and microenvironments leading to superior results than single tumour marker alone. </w:t>
      </w:r>
    </w:p>
    <w:p w:rsidR="00B61503" w:rsidRPr="001A6261" w:rsidRDefault="00B61503" w:rsidP="00057B42">
      <w:pPr>
        <w:spacing w:line="360" w:lineRule="auto"/>
        <w:jc w:val="both"/>
        <w:rPr>
          <w:bCs/>
          <w:color w:val="000000"/>
        </w:rPr>
      </w:pPr>
    </w:p>
    <w:p w:rsidR="00B61503" w:rsidRDefault="00B61503" w:rsidP="00645687">
      <w:pPr>
        <w:pStyle w:val="Heading2"/>
        <w:numPr>
          <w:ilvl w:val="4"/>
          <w:numId w:val="19"/>
        </w:numPr>
      </w:pPr>
      <w:r w:rsidRPr="001A6261">
        <w:t xml:space="preserve">   </w:t>
      </w:r>
      <w:bookmarkStart w:id="1879" w:name="_Toc302582426"/>
      <w:bookmarkStart w:id="1880" w:name="_Toc305690088"/>
      <w:bookmarkStart w:id="1881" w:name="_Toc306570780"/>
      <w:bookmarkStart w:id="1882" w:name="_Toc307067840"/>
      <w:bookmarkStart w:id="1883" w:name="_Toc312169407"/>
      <w:bookmarkStart w:id="1884" w:name="_Toc312172334"/>
      <w:bookmarkStart w:id="1885" w:name="_Toc312257883"/>
      <w:r w:rsidRPr="001A6261">
        <w:t>Leave-one-out cross validation (LOOCV)</w:t>
      </w:r>
      <w:bookmarkEnd w:id="1879"/>
      <w:bookmarkEnd w:id="1880"/>
      <w:bookmarkEnd w:id="1881"/>
      <w:bookmarkEnd w:id="1882"/>
      <w:bookmarkEnd w:id="1883"/>
      <w:bookmarkEnd w:id="1884"/>
      <w:bookmarkEnd w:id="1885"/>
    </w:p>
    <w:p w:rsidR="00856253" w:rsidRDefault="00B61503" w:rsidP="004A2B58">
      <w:pPr>
        <w:spacing w:before="240" w:line="360" w:lineRule="auto"/>
        <w:jc w:val="both"/>
      </w:pPr>
      <w:r w:rsidRPr="001A6261">
        <w:t xml:space="preserve">However, despite the fact the ROC and AUC is a useful means to determine the effectiveness of a logistic regression model, the outcome can be </w:t>
      </w:r>
      <w:r>
        <w:t>at</w:t>
      </w:r>
      <w:r w:rsidRPr="001A6261">
        <w:t xml:space="preserve"> time</w:t>
      </w:r>
      <w:r>
        <w:t>s</w:t>
      </w:r>
      <w:r w:rsidRPr="001A6261">
        <w:t xml:space="preserve"> subjective and biased. </w:t>
      </w:r>
      <w:r w:rsidRPr="003176A1">
        <w:t>Cross-validation (CV) is an effective method for estimating the prediction error of</w:t>
      </w:r>
      <w:r>
        <w:t xml:space="preserve"> </w:t>
      </w:r>
      <w:r w:rsidRPr="003176A1">
        <w:t>a classifier</w:t>
      </w:r>
      <w:r>
        <w:t xml:space="preserve">. </w:t>
      </w:r>
      <w:r w:rsidRPr="003176A1">
        <w:t xml:space="preserve">There are many cross validation techniques and one </w:t>
      </w:r>
      <w:r w:rsidRPr="003176A1">
        <w:lastRenderedPageBreak/>
        <w:t>of the most common</w:t>
      </w:r>
      <w:r>
        <w:t xml:space="preserve"> is </w:t>
      </w:r>
      <w:r w:rsidRPr="001A6261">
        <w:t>leave-one-out cross validation (LOOCV)</w:t>
      </w:r>
      <w:r w:rsidR="00F15A98">
        <w:t xml:space="preserve"> </w:t>
      </w:r>
      <w:r w:rsidR="00F15A98">
        <w:fldChar w:fldCharType="begin">
          <w:fldData xml:space="preserve">PEVuZE5vdGU+PENpdGU+PEF1dGhvcj5MaTwvQXV0aG9yPjxZZWFyPjIwMDQ8L1llYXI+PFJlY051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</w:fldData>
        </w:fldChar>
      </w:r>
      <w:r w:rsidR="00F15A98">
        <w:instrText xml:space="preserve"> ADDIN EN.CITE </w:instrText>
      </w:r>
      <w:r w:rsidR="00F15A98">
        <w:fldChar w:fldCharType="begin">
          <w:fldData xml:space="preserve">PEVuZE5vdGU+PENpdGU+PEF1dGhvcj5MaTwvQXV0aG9yPjxZZWFyPjIwMDQ8L1llYXI+PFJlY051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</w:fldData>
        </w:fldChar>
      </w:r>
      <w:r w:rsidR="00F15A98">
        <w:instrText xml:space="preserve"> ADDIN EN.CITE.DATA </w:instrText>
      </w:r>
      <w:r w:rsidR="00F15A98">
        <w:fldChar w:fldCharType="end"/>
      </w:r>
      <w:r w:rsidR="00F15A98">
        <w:fldChar w:fldCharType="separate"/>
      </w:r>
      <w:r w:rsidR="00F15A98">
        <w:rPr>
          <w:noProof/>
        </w:rPr>
        <w:t>(</w:t>
      </w:r>
      <w:hyperlink w:anchor="_ENREF_244" w:tooltip="Li, 2004 #5921" w:history="1">
        <w:r w:rsidR="004A784D">
          <w:rPr>
            <w:noProof/>
          </w:rPr>
          <w:t>Li et al., 2004</w:t>
        </w:r>
      </w:hyperlink>
      <w:r w:rsidR="00F15A98">
        <w:rPr>
          <w:noProof/>
        </w:rPr>
        <w:t xml:space="preserve">, </w:t>
      </w:r>
      <w:hyperlink w:anchor="_ENREF_362" w:tooltip="Sadym, 2003 #5923" w:history="1">
        <w:r w:rsidR="004A784D">
          <w:rPr>
            <w:noProof/>
          </w:rPr>
          <w:t>Sadym et al., 2003</w:t>
        </w:r>
      </w:hyperlink>
      <w:r w:rsidR="00F15A98">
        <w:rPr>
          <w:noProof/>
        </w:rPr>
        <w:t xml:space="preserve">, </w:t>
      </w:r>
      <w:hyperlink w:anchor="_ENREF_263" w:tooltip="Man, 2004 #6016" w:history="1">
        <w:r w:rsidR="004A784D">
          <w:rPr>
            <w:noProof/>
          </w:rPr>
          <w:t>Man et al., 2004</w:t>
        </w:r>
      </w:hyperlink>
      <w:r w:rsidR="00F15A98">
        <w:rPr>
          <w:noProof/>
        </w:rPr>
        <w:t>)</w:t>
      </w:r>
      <w:r w:rsidR="00F15A98">
        <w:fldChar w:fldCharType="end"/>
      </w:r>
      <w:r>
        <w:t xml:space="preserve">. </w:t>
      </w:r>
    </w:p>
    <w:p w:rsidR="00856253" w:rsidRDefault="00856253" w:rsidP="00057B42">
      <w:pPr>
        <w:spacing w:line="360" w:lineRule="auto"/>
        <w:jc w:val="both"/>
      </w:pPr>
    </w:p>
    <w:p w:rsidR="00B61503" w:rsidRDefault="00B61503" w:rsidP="00057B42">
      <w:pPr>
        <w:spacing w:line="360" w:lineRule="auto"/>
        <w:jc w:val="both"/>
      </w:pPr>
      <w:r w:rsidRPr="001A6261">
        <w:t xml:space="preserve">Therefore we used </w:t>
      </w:r>
      <w:r>
        <w:t xml:space="preserve">LOOCV as </w:t>
      </w:r>
      <w:r w:rsidRPr="001A6261">
        <w:t xml:space="preserve">an additional statistical re-sampling technique </w:t>
      </w:r>
      <w:r>
        <w:t xml:space="preserve">to correct the potential biased finding of ROC and AUC </w:t>
      </w:r>
      <w:r>
        <w:fldChar w:fldCharType="begin"/>
      </w:r>
      <w:r w:rsidR="006F41FE">
        <w:instrText xml:space="preserve"> ADDIN EN.CITE &lt;EndNote&gt;&lt;Cite&gt;&lt;Author&gt;Varma&lt;/Author&gt;&lt;Year&gt;2006&lt;/Year&gt;&lt;RecNum&gt;4906&lt;/RecNum&gt;&lt;DisplayText&gt;(Varma and Simon, 2006)&lt;/DisplayText&gt;&lt;record&gt;&lt;rec-number&gt;4906&lt;/rec-number&gt;&lt;foreign-keys&gt;&lt;key app="EN" db-id="zf0awxsaczrdd3eft5qvw9wrtxxawdfrvw2a"&gt;4906&lt;/key&gt;&lt;/foreign-keys&gt;&lt;ref-type name="Journal Article"&gt;17&lt;/ref-type&gt;&lt;contributors&gt;&lt;authors&gt;&lt;author&gt;Varma, S.&lt;/author&gt;&lt;author&gt;Simon, R.&lt;/author&gt;&lt;/authors&gt;&lt;/contributors&gt;&lt;auth-address&gt;Biometric Research Branch, National Cancer Institute, Bethesda, MD, USA. varmas@mail.nih.gov&lt;/auth-address&gt;&lt;titles&gt;&lt;title&gt;Bias in error estimation when using cross-validation for model selection&lt;/title&gt;&lt;secondary-title&gt;BMC Bioinformatics&lt;/secondary-title&gt;&lt;/titles&gt;&lt;periodical&gt;&lt;full-title&gt;BMC Bioinformatics&lt;/full-title&gt;&lt;/periodical&gt;&lt;pages&gt;91&lt;/pages&gt;&lt;volume&gt;7&lt;/volume&gt;&lt;edition&gt;2006/03/01&lt;/edition&gt;&lt;keywords&gt;&lt;keyword&gt;*Algorithms&lt;/keyword&gt;&lt;keyword&gt;*Artificial Intelligence&lt;/keyword&gt;&lt;keyword&gt;Bias (Epidemiology)&lt;/keyword&gt;&lt;keyword&gt;Computer Simulation&lt;/keyword&gt;&lt;keyword&gt;*Data Interpretation, Statistical&lt;/keyword&gt;&lt;keyword&gt;Gene Expression Profiling/*methods&lt;/keyword&gt;&lt;keyword&gt;*Models, Genetic&lt;/keyword&gt;&lt;keyword&gt;Models, Statistical&lt;/keyword&gt;&lt;keyword&gt;Oligonucleotide Array Sequence Analysis/*methods&lt;/keyword&gt;&lt;keyword&gt;Pattern Recognition, Automated/*methods&lt;/keyword&gt;&lt;keyword&gt;Reproducibility of Results&lt;/keyword&gt;&lt;keyword&gt;Sensitivity and Specificity&lt;/keyword&gt;&lt;/keywords&gt;&lt;dates&gt;&lt;year&gt;2006&lt;/year&gt;&lt;/dates&gt;&lt;isbn&gt;1471-2105 (Electronic)&amp;#xD;1471-2105 (Linking)&lt;/isbn&gt;&lt;accession-num&gt;16504092&lt;/accession-num&gt;&lt;urls&gt;&lt;related-urls&gt;&lt;url&gt;http://www.ncbi.nlm.nih.gov/pubmed/16504092&lt;/url&gt;&lt;/related-urls&gt;&lt;/urls&gt;&lt;custom2&gt;1397873&lt;/custom2&gt;&lt;electronic-resource-num&gt;1471-2105-7-91 [pii]&amp;#xD;10.1186/1471-2105-7-91&lt;/electronic-resource-num&gt;&lt;language&gt;eng&lt;/language&gt;&lt;/record&gt;&lt;/Cite&gt;&lt;/EndNote&gt;</w:instrText>
      </w:r>
      <w:r>
        <w:fldChar w:fldCharType="separate"/>
      </w:r>
      <w:r w:rsidR="006F41FE">
        <w:rPr>
          <w:noProof/>
        </w:rPr>
        <w:t>(</w:t>
      </w:r>
      <w:hyperlink w:anchor="_ENREF_432" w:tooltip="Varma, 2006 #4906" w:history="1">
        <w:r w:rsidR="004A784D">
          <w:rPr>
            <w:noProof/>
          </w:rPr>
          <w:t>Varma and Simon, 2006</w:t>
        </w:r>
      </w:hyperlink>
      <w:r w:rsidR="006F41FE">
        <w:rPr>
          <w:noProof/>
        </w:rPr>
        <w:t>)</w:t>
      </w:r>
      <w:r>
        <w:fldChar w:fldCharType="end"/>
      </w:r>
      <w:r w:rsidRPr="001A6261">
        <w:t xml:space="preserve">. The LOOCV technique is commonly used in statistics to provide assessments of a predictive model. </w:t>
      </w:r>
      <w:r w:rsidRPr="003176A1">
        <w:t xml:space="preserve">The general idea of </w:t>
      </w:r>
      <w:r>
        <w:t>LOOCV</w:t>
      </w:r>
      <w:r w:rsidRPr="003176A1">
        <w:t xml:space="preserve"> appears to have been known for a while,</w:t>
      </w:r>
      <w:r>
        <w:t xml:space="preserve"> </w:t>
      </w:r>
      <w:r w:rsidRPr="003176A1">
        <w:t>though the earliest “official” s</w:t>
      </w:r>
      <w:r>
        <w:t xml:space="preserve">tatement by Mosteller and Tukey in </w:t>
      </w:r>
      <w:r w:rsidRPr="003176A1">
        <w:t>1977</w:t>
      </w:r>
      <w:r>
        <w:t xml:space="preserve"> </w:t>
      </w:r>
      <w:r>
        <w:fldChar w:fldCharType="begin"/>
      </w:r>
      <w:r w:rsidR="006F41FE">
        <w:instrText xml:space="preserve"> ADDIN EN.CITE &lt;EndNote&gt;&lt;Cite&gt;&lt;Author&gt;Ciminera&lt;/Author&gt;&lt;Year&gt;1993&lt;/Year&gt;&lt;RecNum&gt;4918&lt;/RecNum&gt;&lt;DisplayText&gt;(Ciminera et al., 1993)&lt;/DisplayText&gt;&lt;record&gt;&lt;rec-number&gt;4918&lt;/rec-number&gt;&lt;foreign-keys&gt;&lt;key app="EN" db-id="zf0awxsaczrdd3eft5qvw9wrtxxawdfrvw2a"&gt;4918&lt;/key&gt;&lt;/foreign-keys&gt;&lt;ref-type name="Journal Article"&gt;17&lt;/ref-type&gt;&lt;contributors&gt;&lt;authors&gt;&lt;author&gt;Ciminera, J. L.&lt;/author&gt;&lt;author&gt;Heyse, J. F.&lt;/author&gt;&lt;author&gt;Nguyen, H. H.&lt;/author&gt;&lt;author&gt;Tukey, J. W.&lt;/author&gt;&lt;/authors&gt;&lt;/contributors&gt;&lt;auth-address&gt;Merck Research Laboratories, West Point, PA 19486.&lt;/auth-address&gt;&lt;titles&gt;&lt;title&gt;Evaluation of multicentre clinical trial data using adaptations of the Mosteller-Tukey procedure&lt;/title&gt;&lt;secondary-title&gt;Stat Med&lt;/secondary-title&gt;&lt;/titles&gt;&lt;periodical&gt;&lt;full-title&gt;Stat Med&lt;/full-title&gt;&lt;/periodical&gt;&lt;pages&gt;1047-61&lt;/pages&gt;&lt;volume&gt;12&lt;/volume&gt;&lt;number&gt;11&lt;/number&gt;&lt;edition&gt;1993/06/15&lt;/edition&gt;&lt;keywords&gt;&lt;keyword&gt;Asthma/drug therapy/epidemiology/physiopathology&lt;/keyword&gt;&lt;keyword&gt;Blood Pressure/drug effects&lt;/keyword&gt;&lt;keyword&gt;Clinical Trials as Topic/*methods&lt;/keyword&gt;&lt;keyword&gt;Confidence Intervals&lt;/keyword&gt;&lt;keyword&gt;Data Interpretation, Statistical&lt;/keyword&gt;&lt;keyword&gt;Humans&lt;/keyword&gt;&lt;keyword&gt;Multicenter Studies as Topic/*methods&lt;/keyword&gt;&lt;keyword&gt;Normal Distribution&lt;/keyword&gt;&lt;/keywords&gt;&lt;dates&gt;&lt;year&gt;1993&lt;/year&gt;&lt;pub-dates&gt;&lt;date&gt;Jun 15&lt;/date&gt;&lt;/pub-dates&gt;&lt;/dates&gt;&lt;isbn&gt;0277-6715 (Print)&amp;#xD;0277-6715 (Linking)&lt;/isbn&gt;&lt;accession-num&gt;8341865&lt;/accession-num&gt;&lt;urls&gt;&lt;related-urls&gt;&lt;url&gt;http://www.ncbi.nlm.nih.gov/pubmed/8341865&lt;/url&gt;&lt;/related-urls&gt;&lt;/urls&gt;&lt;language&gt;eng&lt;/language&gt;&lt;/record&gt;&lt;/Cite&gt;&lt;/EndNote&gt;</w:instrText>
      </w:r>
      <w:r>
        <w:fldChar w:fldCharType="separate"/>
      </w:r>
      <w:r w:rsidR="006F41FE">
        <w:rPr>
          <w:noProof/>
        </w:rPr>
        <w:t>(</w:t>
      </w:r>
      <w:hyperlink w:anchor="_ENREF_76" w:tooltip="Ciminera, 1993 #4918" w:history="1">
        <w:r w:rsidR="004A784D">
          <w:rPr>
            <w:noProof/>
          </w:rPr>
          <w:t>Ciminera et al., 1993</w:t>
        </w:r>
      </w:hyperlink>
      <w:r w:rsidR="006F41FE">
        <w:rPr>
          <w:noProof/>
        </w:rPr>
        <w:t>)</w:t>
      </w:r>
      <w:r>
        <w:fldChar w:fldCharType="end"/>
      </w:r>
      <w:r>
        <w:t xml:space="preserve"> </w:t>
      </w:r>
      <w:r w:rsidRPr="003176A1">
        <w:t>who mentioned that this process extracts all information from given data without further justification</w:t>
      </w:r>
      <w:r>
        <w:t xml:space="preserve">. </w:t>
      </w:r>
    </w:p>
    <w:p w:rsidR="00740A6F" w:rsidRDefault="00740A6F" w:rsidP="00057B42">
      <w:pPr>
        <w:spacing w:line="360" w:lineRule="auto"/>
        <w:jc w:val="both"/>
      </w:pPr>
    </w:p>
    <w:p w:rsidR="00B61503" w:rsidRPr="001A6261" w:rsidRDefault="00B61503" w:rsidP="00057B42">
      <w:pPr>
        <w:spacing w:line="360" w:lineRule="auto"/>
        <w:jc w:val="both"/>
      </w:pPr>
      <w:r w:rsidRPr="001A6261">
        <w:t xml:space="preserve">In </w:t>
      </w:r>
      <w:r>
        <w:t xml:space="preserve">this study using </w:t>
      </w:r>
      <w:r w:rsidRPr="001A6261">
        <w:t xml:space="preserve">LOOCV, each of the 51 serum samples served as an independent test case and 51 unique models were developed. The LOOCV </w:t>
      </w:r>
      <w:r>
        <w:t xml:space="preserve">allowed us to </w:t>
      </w:r>
      <w:r w:rsidRPr="001A6261">
        <w:t>reduces the likelihood of developing an overly optimistic predictive model (i.e. over fitted the serum samples within the study cohort) by selecting proteins associated with disease response</w:t>
      </w:r>
      <w:r>
        <w:t xml:space="preserve"> </w:t>
      </w:r>
      <w:r>
        <w:fldChar w:fldCharType="begin">
          <w:fldData xml:space="preserve">PEVuZE5vdGU+PENpdGU+PEF1dGhvcj5Nb2xpbmFybzwvQXV0aG9yPjxZZWFyPjIwMDU8L1llYXI+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</w:fldData>
        </w:fldChar>
      </w:r>
      <w:r w:rsidR="00F15A98">
        <w:instrText xml:space="preserve"> ADDIN EN.CITE </w:instrText>
      </w:r>
      <w:r w:rsidR="00F15A98">
        <w:fldChar w:fldCharType="begin">
          <w:fldData xml:space="preserve">PEVuZE5vdGU+PENpdGU+PEF1dGhvcj5Nb2xpbmFybzwvQXV0aG9yPjxZZWFyPjIwMDU8L1llYXI+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</w:fldData>
        </w:fldChar>
      </w:r>
      <w:r w:rsidR="00F15A98">
        <w:instrText xml:space="preserve"> ADDIN EN.CITE.DATA </w:instrText>
      </w:r>
      <w:r w:rsidR="00F15A98">
        <w:fldChar w:fldCharType="end"/>
      </w:r>
      <w:r>
        <w:fldChar w:fldCharType="separate"/>
      </w:r>
      <w:r w:rsidR="00F15A98">
        <w:rPr>
          <w:noProof/>
        </w:rPr>
        <w:t>(</w:t>
      </w:r>
      <w:hyperlink w:anchor="_ENREF_277" w:tooltip="Molinaro, 2005 #4912" w:history="1">
        <w:r w:rsidR="004A784D">
          <w:rPr>
            <w:noProof/>
          </w:rPr>
          <w:t>Molinaro et al., 2005</w:t>
        </w:r>
      </w:hyperlink>
      <w:r w:rsidR="00F15A98">
        <w:rPr>
          <w:noProof/>
        </w:rPr>
        <w:t xml:space="preserve">, </w:t>
      </w:r>
      <w:hyperlink w:anchor="_ENREF_315" w:tooltip="Parker, 2007 #5981" w:history="1">
        <w:r w:rsidR="004A784D">
          <w:rPr>
            <w:noProof/>
          </w:rPr>
          <w:t>Parker et al., 2007</w:t>
        </w:r>
      </w:hyperlink>
      <w:r w:rsidR="00F15A98">
        <w:rPr>
          <w:noProof/>
        </w:rPr>
        <w:t>)</w:t>
      </w:r>
      <w:r>
        <w:fldChar w:fldCharType="end"/>
      </w:r>
      <w:r w:rsidRPr="001A6261">
        <w:t xml:space="preserve">. </w:t>
      </w:r>
    </w:p>
    <w:p w:rsidR="00B61503" w:rsidRPr="00596404" w:rsidRDefault="00B61503" w:rsidP="00645687">
      <w:pPr>
        <w:pStyle w:val="Heading2"/>
        <w:numPr>
          <w:ilvl w:val="3"/>
          <w:numId w:val="19"/>
        </w:numPr>
      </w:pPr>
      <w:bookmarkStart w:id="1886" w:name="_Toc302582423"/>
      <w:r>
        <w:rPr>
          <w:sz w:val="24"/>
          <w:szCs w:val="24"/>
        </w:rPr>
        <w:br w:type="page"/>
      </w:r>
      <w:r w:rsidRPr="00596404">
        <w:lastRenderedPageBreak/>
        <w:t xml:space="preserve"> </w:t>
      </w:r>
      <w:bookmarkStart w:id="1887" w:name="_Toc305690089"/>
      <w:bookmarkStart w:id="1888" w:name="_Toc306570781"/>
      <w:bookmarkStart w:id="1889" w:name="_Toc307067841"/>
      <w:bookmarkStart w:id="1890" w:name="_Toc312169408"/>
      <w:bookmarkStart w:id="1891" w:name="_Toc312172335"/>
      <w:bookmarkStart w:id="1892" w:name="_Toc312257884"/>
      <w:r w:rsidRPr="00596404">
        <w:t>Predictive accuracy of potential biomarkers</w:t>
      </w:r>
      <w:bookmarkEnd w:id="1886"/>
      <w:bookmarkEnd w:id="1887"/>
      <w:bookmarkEnd w:id="1888"/>
      <w:bookmarkEnd w:id="1889"/>
      <w:bookmarkEnd w:id="1890"/>
      <w:bookmarkEnd w:id="1891"/>
      <w:bookmarkEnd w:id="1892"/>
    </w:p>
    <w:p w:rsidR="00856253" w:rsidRDefault="00B61503" w:rsidP="004A2B58">
      <w:pPr>
        <w:spacing w:before="240" w:line="360" w:lineRule="auto"/>
        <w:jc w:val="both"/>
      </w:pPr>
      <w:r w:rsidRPr="001A6261">
        <w:t xml:space="preserve">In this study, the ELISA values for each of these proteins were used to develop multivariate logistic regression. The receiver operating characteristic curves were used to interpret the utility of logistic regression models for various combinations of the identified proteins. </w:t>
      </w:r>
    </w:p>
    <w:p w:rsidR="00856253" w:rsidRDefault="00856253" w:rsidP="00057B42">
      <w:pPr>
        <w:spacing w:line="360" w:lineRule="auto"/>
        <w:jc w:val="both"/>
      </w:pPr>
    </w:p>
    <w:p w:rsidR="00B61503" w:rsidRDefault="00B61503" w:rsidP="00057B42">
      <w:pPr>
        <w:spacing w:line="360" w:lineRule="auto"/>
        <w:jc w:val="both"/>
      </w:pPr>
      <w:r w:rsidRPr="001A6261">
        <w:t xml:space="preserve">The probability of correct prediction for a given model was calculated from the </w:t>
      </w:r>
      <w:r w:rsidRPr="001A6261">
        <w:rPr>
          <w:color w:val="000000"/>
        </w:rPr>
        <w:t xml:space="preserve">receiver operating characteristic curve by determining the </w:t>
      </w:r>
      <w:r>
        <w:rPr>
          <w:color w:val="000000"/>
        </w:rPr>
        <w:t>AUC</w:t>
      </w:r>
      <w:r w:rsidR="008E71E8">
        <w:rPr>
          <w:color w:val="000000"/>
        </w:rPr>
        <w:t>.</w:t>
      </w:r>
      <w:r w:rsidRPr="001A6261">
        <w:rPr>
          <w:color w:val="000000"/>
        </w:rPr>
        <w:t xml:space="preserve"> Akaike’s Information Criterion</w:t>
      </w:r>
      <w:r>
        <w:rPr>
          <w:color w:val="000000"/>
        </w:rPr>
        <w:t xml:space="preserve"> (AIC)</w:t>
      </w:r>
      <w:r w:rsidRPr="001A6261">
        <w:rPr>
          <w:color w:val="000000"/>
        </w:rPr>
        <w:t xml:space="preserve"> was used as an additional factor to select the best combination of biomarkers</w:t>
      </w:r>
      <w:r w:rsidR="008423FB">
        <w:rPr>
          <w:color w:val="000000"/>
        </w:rPr>
        <w:t xml:space="preserve"> </w:t>
      </w:r>
      <w:r w:rsidR="008423FB">
        <w:rPr>
          <w:color w:val="000000"/>
        </w:rPr>
        <w:fldChar w:fldCharType="begin"/>
      </w:r>
      <w:r w:rsidR="008423FB">
        <w:rPr>
          <w:color w:val="000000"/>
        </w:rPr>
        <w:instrText xml:space="preserve"> ADDIN EN.CITE &lt;EndNote&gt;&lt;Cite&gt;&lt;Author&gt;Lancelot&lt;/Author&gt;&lt;Year&gt;2000&lt;/Year&gt;&lt;RecNum&gt;6032&lt;/RecNum&gt;&lt;DisplayText&gt;(Lancelot et al., 2000)&lt;/DisplayText&gt;&lt;record&gt;&lt;rec-number&gt;6032&lt;/rec-number&gt;&lt;foreign-keys&gt;&lt;key app="EN" db-id="zf0awxsaczrdd3eft5qvw9wrtxxawdfrvw2a"&gt;6032&lt;/key&gt;&lt;/foreign-keys&gt;&lt;ref-type name="Journal Article"&gt;17&lt;/ref-type&gt;&lt;contributors&gt;&lt;authors&gt;&lt;author&gt;Lancelot, R.&lt;/author&gt;&lt;author&gt;Lesnoff, M.&lt;/author&gt;&lt;author&gt;Tillard, E.&lt;/author&gt;&lt;author&gt;McDermott, J. J.&lt;/author&gt;&lt;/authors&gt;&lt;/contributors&gt;&lt;auth-address&gt;Centre de Cooperation Internationale en Recherche Agronomique pour le Developpement, Departement Elevage et Medecine Veterinaire (CIRAD-EMVT), TA 30/A, Campus International de Baillarguet, 34398 Cedex 5, Montpellier, France. renaud.lancelot@cirad.fr&lt;/auth-address&gt;&lt;titles&gt;&lt;title&gt;Graphical approaches to support the analysis of linear-multilevel models of lamb pre-weaning growth in Kolda (Senegal)&lt;/title&gt;&lt;secondary-title&gt;Prev Vet Med&lt;/secondary-title&gt;&lt;/titles&gt;&lt;periodical&gt;&lt;full-title&gt;Prev Vet Med&lt;/full-title&gt;&lt;/periodical&gt;&lt;pages&gt;225-47&lt;/pages&gt;&lt;volume&gt;46&lt;/volume&gt;&lt;number&gt;4&lt;/number&gt;&lt;edition&gt;2000/08/29&lt;/edition&gt;&lt;keywords&gt;&lt;keyword&gt;*Animal Husbandry&lt;/keyword&gt;&lt;keyword&gt;Animals&lt;/keyword&gt;&lt;keyword&gt;Female&lt;/keyword&gt;&lt;keyword&gt;*Linear Models&lt;/keyword&gt;&lt;keyword&gt;Male&lt;/keyword&gt;&lt;keyword&gt;Parasitic Diseases, Animal&lt;/keyword&gt;&lt;keyword&gt;Senegal&lt;/keyword&gt;&lt;keyword&gt;Sheep/*growth &amp;amp; development&lt;/keyword&gt;&lt;/keywords&gt;&lt;dates&gt;&lt;year&gt;2000&lt;/year&gt;&lt;pub-dates&gt;&lt;date&gt;Sep 1&lt;/date&gt;&lt;/pub-dates&gt;&lt;/dates&gt;&lt;isbn&gt;0167-5877 (Print)&amp;#xD;0167-5877 (Linking)&lt;/isbn&gt;&lt;accession-num&gt;10960710&lt;/accession-num&gt;&lt;urls&gt;&lt;related-urls&gt;&lt;url&gt;http://www.ncbi.nlm.nih.gov/pubmed/10960710&lt;/url&gt;&lt;/related-urls&gt;&lt;/urls&gt;&lt;electronic-resource-num&gt;S0167-5877(00)00155-0 [pii]&lt;/electronic-resource-num&gt;&lt;language&gt;eng&lt;/language&gt;&lt;/record&gt;&lt;/Cite&gt;&lt;/EndNote&gt;</w:instrText>
      </w:r>
      <w:r w:rsidR="008423FB">
        <w:rPr>
          <w:color w:val="000000"/>
        </w:rPr>
        <w:fldChar w:fldCharType="separate"/>
      </w:r>
      <w:r w:rsidR="008423FB">
        <w:rPr>
          <w:noProof/>
          <w:color w:val="000000"/>
        </w:rPr>
        <w:t>(</w:t>
      </w:r>
      <w:hyperlink w:anchor="_ENREF_235" w:tooltip="Lancelot, 2000 #6032" w:history="1">
        <w:r w:rsidR="004A784D">
          <w:rPr>
            <w:noProof/>
            <w:color w:val="000000"/>
          </w:rPr>
          <w:t>Lancelot et al., 2000</w:t>
        </w:r>
      </w:hyperlink>
      <w:r w:rsidR="008423FB">
        <w:rPr>
          <w:noProof/>
          <w:color w:val="000000"/>
        </w:rPr>
        <w:t>)</w:t>
      </w:r>
      <w:r w:rsidR="008423FB">
        <w:rPr>
          <w:color w:val="000000"/>
        </w:rPr>
        <w:fldChar w:fldCharType="end"/>
      </w:r>
      <w:r w:rsidRPr="001A6261">
        <w:rPr>
          <w:color w:val="000000"/>
        </w:rPr>
        <w:t xml:space="preserve">. Sensitivity and specificity values were calculated for the best combination of biomarkers. </w:t>
      </w:r>
      <w:r w:rsidRPr="001A6261">
        <w:t>LOOCV</w:t>
      </w:r>
      <w:r w:rsidRPr="001A6261">
        <w:rPr>
          <w:color w:val="000000"/>
        </w:rPr>
        <w:t xml:space="preserve"> was performed to measure the potential of these biomarkers to accu</w:t>
      </w:r>
      <w:r w:rsidRPr="001A6261">
        <w:rPr>
          <w:color w:val="000000"/>
        </w:rPr>
        <w:softHyphen/>
        <w:t xml:space="preserve">rately predict response to thalidomide-based therapy. By using ELISA-based validation and strict statistical analysis, we found that the combination of ZAG, SAA and VDB was the most successful predictive biomarker based on the values from the </w:t>
      </w:r>
      <w:r>
        <w:rPr>
          <w:color w:val="000000"/>
        </w:rPr>
        <w:t>AUC</w:t>
      </w:r>
      <w:r w:rsidRPr="001A6261">
        <w:rPr>
          <w:color w:val="000000"/>
        </w:rPr>
        <w:t xml:space="preserve">, </w:t>
      </w:r>
      <w:r w:rsidRPr="00DB7A27">
        <w:rPr>
          <w:color w:val="000000"/>
        </w:rPr>
        <w:t xml:space="preserve">LOOCV </w:t>
      </w:r>
      <w:r w:rsidRPr="001A6261">
        <w:rPr>
          <w:color w:val="000000"/>
        </w:rPr>
        <w:t xml:space="preserve">and </w:t>
      </w:r>
      <w:r>
        <w:rPr>
          <w:color w:val="000000"/>
        </w:rPr>
        <w:t>AIC</w:t>
      </w:r>
      <w:r w:rsidRPr="001A6261">
        <w:rPr>
          <w:color w:val="000000"/>
        </w:rPr>
        <w:t xml:space="preserve"> analyses</w:t>
      </w:r>
      <w:r>
        <w:rPr>
          <w:color w:val="000000"/>
        </w:rPr>
        <w:t xml:space="preserve">. </w:t>
      </w:r>
      <w:r w:rsidRPr="001A6261">
        <w:t xml:space="preserve">In this study, the overall predictive accuracy of predictive biomarker panel was 84% with associated sensitivity and specificity values of 81.8 and 86.2% respectively. </w:t>
      </w:r>
    </w:p>
    <w:p w:rsidR="00B61503" w:rsidRPr="001A6261" w:rsidRDefault="00B61503" w:rsidP="00057B42">
      <w:pPr>
        <w:spacing w:line="360" w:lineRule="auto"/>
        <w:jc w:val="both"/>
      </w:pPr>
    </w:p>
    <w:p w:rsidR="00B61503" w:rsidRPr="001A6261" w:rsidRDefault="00B61503" w:rsidP="00057B42">
      <w:pPr>
        <w:spacing w:line="360" w:lineRule="auto"/>
        <w:jc w:val="both"/>
        <w:rPr>
          <w:color w:val="000000"/>
        </w:rPr>
      </w:pPr>
      <w:r w:rsidRPr="001A6261">
        <w:rPr>
          <w:color w:val="000000"/>
        </w:rPr>
        <w:t xml:space="preserve">  </w:t>
      </w:r>
    </w:p>
    <w:p w:rsidR="00B61503" w:rsidRPr="009569A4" w:rsidRDefault="00B61503" w:rsidP="00645687">
      <w:pPr>
        <w:pStyle w:val="Heading2"/>
        <w:numPr>
          <w:ilvl w:val="2"/>
          <w:numId w:val="19"/>
        </w:numPr>
      </w:pPr>
      <w:r w:rsidRPr="00F67C41">
        <w:rPr>
          <w:sz w:val="24"/>
          <w:szCs w:val="24"/>
        </w:rPr>
        <w:br w:type="page"/>
      </w:r>
      <w:r w:rsidR="00740A6F">
        <w:rPr>
          <w:sz w:val="24"/>
          <w:szCs w:val="24"/>
        </w:rPr>
        <w:lastRenderedPageBreak/>
        <w:tab/>
      </w:r>
      <w:bookmarkStart w:id="1893" w:name="_Toc302582439"/>
      <w:bookmarkStart w:id="1894" w:name="_Toc305690090"/>
      <w:bookmarkStart w:id="1895" w:name="_Toc306570782"/>
      <w:bookmarkStart w:id="1896" w:name="_Toc307067842"/>
      <w:bookmarkStart w:id="1897" w:name="_Toc312169409"/>
      <w:bookmarkStart w:id="1898" w:name="_Toc312172336"/>
      <w:bookmarkStart w:id="1899" w:name="_Toc312257885"/>
      <w:r w:rsidRPr="009569A4">
        <w:t>Multiple myeloma and thalidomide</w:t>
      </w:r>
      <w:bookmarkEnd w:id="1893"/>
      <w:bookmarkEnd w:id="1894"/>
      <w:bookmarkEnd w:id="1895"/>
      <w:bookmarkEnd w:id="1896"/>
      <w:bookmarkEnd w:id="1897"/>
      <w:bookmarkEnd w:id="1898"/>
      <w:bookmarkEnd w:id="1899"/>
    </w:p>
    <w:p w:rsidR="00B61503" w:rsidRDefault="00B61503" w:rsidP="00645687">
      <w:pPr>
        <w:pStyle w:val="Heading2"/>
        <w:numPr>
          <w:ilvl w:val="3"/>
          <w:numId w:val="19"/>
        </w:numPr>
      </w:pPr>
      <w:bookmarkStart w:id="1900" w:name="_Toc302582440"/>
      <w:bookmarkStart w:id="1901" w:name="_Toc305690091"/>
      <w:bookmarkStart w:id="1902" w:name="_Toc306570783"/>
      <w:bookmarkStart w:id="1903" w:name="_Toc307067843"/>
      <w:bookmarkStart w:id="1904" w:name="_Toc312169410"/>
      <w:bookmarkStart w:id="1905" w:name="_Toc312172337"/>
      <w:bookmarkStart w:id="1906" w:name="_Toc312257886"/>
      <w:r w:rsidRPr="009569A4">
        <w:t>Variable response rate in MM patients</w:t>
      </w:r>
      <w:bookmarkEnd w:id="1900"/>
      <w:bookmarkEnd w:id="1901"/>
      <w:bookmarkEnd w:id="1902"/>
      <w:bookmarkEnd w:id="1903"/>
      <w:bookmarkEnd w:id="1904"/>
      <w:bookmarkEnd w:id="1905"/>
      <w:bookmarkEnd w:id="1906"/>
      <w:r w:rsidRPr="009569A4">
        <w:t xml:space="preserve"> </w:t>
      </w:r>
    </w:p>
    <w:p w:rsidR="00B61503" w:rsidRDefault="00B61503" w:rsidP="004A2B58">
      <w:pPr>
        <w:spacing w:before="240" w:line="360" w:lineRule="auto"/>
        <w:jc w:val="both"/>
        <w:rPr>
          <w:color w:val="000000"/>
        </w:rPr>
      </w:pPr>
      <w:r w:rsidRPr="001A6261">
        <w:rPr>
          <w:color w:val="000000"/>
        </w:rPr>
        <w:t xml:space="preserve">Clinical trials of Thalidomide have shown variable results </w:t>
      </w:r>
      <w:r w:rsidRPr="001A6261">
        <w:rPr>
          <w:color w:val="000000"/>
        </w:rPr>
        <w:fldChar w:fldCharType="begin">
          <w:fldData xml:space="preserve">PEVuZE5vdGU+PENpdGU+PEF1dGhvcj5Db3JzbzwvQXV0aG9yPjxZZWFyPjIwMDg8L1llYXI+PFJl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</w:fldData>
        </w:fldChar>
      </w:r>
      <w:r w:rsidR="006F41FE">
        <w:rPr>
          <w:color w:val="000000"/>
        </w:rPr>
        <w:instrText xml:space="preserve"> ADDIN EN.CITE </w:instrText>
      </w:r>
      <w:r w:rsidR="006F41FE">
        <w:rPr>
          <w:color w:val="000000"/>
        </w:rPr>
        <w:fldChar w:fldCharType="begin">
          <w:fldData xml:space="preserve">PEVuZE5vdGU+PENpdGU+PEF1dGhvcj5Db3JzbzwvQXV0aG9yPjxZZWFyPjIwMDg8L1llYXI+PFJl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84" w:tooltip="Corso, 2008 #3493" w:history="1">
        <w:r w:rsidR="004A784D">
          <w:rPr>
            <w:noProof/>
            <w:color w:val="000000"/>
          </w:rPr>
          <w:t>Corso et al., 2008</w:t>
        </w:r>
      </w:hyperlink>
      <w:r w:rsidR="006F41FE">
        <w:rPr>
          <w:noProof/>
          <w:color w:val="000000"/>
        </w:rPr>
        <w:t xml:space="preserve">, </w:t>
      </w:r>
      <w:hyperlink w:anchor="_ENREF_251" w:tooltip="Lokhorst, 2008 #3492" w:history="1">
        <w:r w:rsidR="004A784D">
          <w:rPr>
            <w:noProof/>
            <w:color w:val="000000"/>
          </w:rPr>
          <w:t>Lokhorst et al., 2008</w:t>
        </w:r>
      </w:hyperlink>
      <w:r w:rsidR="006F41FE">
        <w:rPr>
          <w:noProof/>
          <w:color w:val="000000"/>
        </w:rPr>
        <w:t xml:space="preserve">, </w:t>
      </w:r>
      <w:hyperlink w:anchor="_ENREF_174" w:tooltip="Hicks, 2008 #57" w:history="1">
        <w:r w:rsidR="004A784D">
          <w:rPr>
            <w:noProof/>
            <w:color w:val="000000"/>
          </w:rPr>
          <w:t>Hicks et al., 2008</w:t>
        </w:r>
      </w:hyperlink>
      <w:r w:rsidR="006F41FE">
        <w:rPr>
          <w:noProof/>
          <w:color w:val="000000"/>
        </w:rPr>
        <w:t>)</w:t>
      </w:r>
      <w:r w:rsidRPr="001A6261">
        <w:rPr>
          <w:color w:val="000000"/>
        </w:rPr>
        <w:fldChar w:fldCharType="end"/>
      </w:r>
      <w:r w:rsidRPr="001A6261">
        <w:rPr>
          <w:color w:val="000000"/>
        </w:rPr>
        <w:t>. We believe that part of the reason is the application of a standard therapy to a heterogeneous group of patients with Multiple Myeloma an</w:t>
      </w:r>
      <w:r>
        <w:rPr>
          <w:color w:val="000000"/>
        </w:rPr>
        <w:t>d tumour resistance process in</w:t>
      </w:r>
      <w:r w:rsidR="008E71E8">
        <w:rPr>
          <w:color w:val="000000"/>
        </w:rPr>
        <w:t xml:space="preserve"> particular being</w:t>
      </w:r>
      <w:r w:rsidRPr="001A6261">
        <w:rPr>
          <w:color w:val="000000"/>
        </w:rPr>
        <w:t xml:space="preserve"> one of the main reasons for treatment failure. Overall, there is </w:t>
      </w:r>
      <w:r>
        <w:rPr>
          <w:color w:val="000000"/>
        </w:rPr>
        <w:t>no one standard initial therapy and</w:t>
      </w:r>
      <w:r w:rsidRPr="001A6261">
        <w:rPr>
          <w:color w:val="000000"/>
        </w:rPr>
        <w:t xml:space="preserve"> the choice of the i</w:t>
      </w:r>
      <w:r w:rsidR="008E71E8">
        <w:rPr>
          <w:color w:val="000000"/>
        </w:rPr>
        <w:t>nitial drug regimen is based on treatment related side effects and</w:t>
      </w:r>
      <w:r w:rsidRPr="001A6261">
        <w:rPr>
          <w:color w:val="000000"/>
        </w:rPr>
        <w:t xml:space="preserve"> patient related factors </w:t>
      </w:r>
      <w:r w:rsidRPr="001A6261">
        <w:rPr>
          <w:color w:val="000000"/>
        </w:rPr>
        <w:fldChar w:fldCharType="begin"/>
      </w:r>
      <w:r w:rsidR="006F41FE">
        <w:rPr>
          <w:color w:val="000000"/>
        </w:rPr>
        <w:instrText xml:space="preserve"> ADDIN EN.CITE &lt;EndNote&gt;&lt;Cite&gt;&lt;Author&gt;Fonseca&lt;/Author&gt;&lt;Year&gt;2000&lt;/Year&gt;&lt;RecNum&gt;17&lt;/RecNum&gt;&lt;DisplayText&gt;(Fonseca et al., 2000)&lt;/DisplayText&gt;&lt;record&gt;&lt;rec-number&gt;17&lt;/rec-number&gt;&lt;ref-type name="Journal Article"&gt;17&lt;/ref-type&gt;&lt;contributors&gt;&lt;authors&gt;&lt;author&gt;Fonseca, R.&lt;/author&gt;&lt;author&gt;Trendle, M. C.&lt;/author&gt;&lt;author&gt;Leong, T.&lt;/author&gt;&lt;author&gt;Kyle, R. A.&lt;/author&gt;&lt;author&gt;Oken, M. M.&lt;/author&gt;&lt;author&gt;Kay, N. E.&lt;/author&gt;&lt;author&gt;Van Ness, B.&lt;/author&gt;&lt;author&gt;Greipp, P. R.&lt;/author&gt;&lt;/authors&gt;&lt;/contributors&gt;&lt;auth-address&gt;Department of Pathology and Laboratory Medicine, Rochester, MN 55905, USA.&lt;/auth-address&gt;&lt;titles&gt;&lt;title&gt;Prognostic value of serum markers of bone metabolism in untreated multiple myeloma patients&lt;/title&gt;&lt;secondary-title&gt;Br J Haematol&lt;/secondary-title&gt;&lt;/titles&gt;&lt;pages&gt;24-9&lt;/pages&gt;&lt;volume&gt;109&lt;/volume&gt;&lt;number&gt;1&lt;/number&gt;&lt;keywords&gt;&lt;keyword&gt;Acid Phosphatase/blood&lt;/keyword&gt;&lt;keyword&gt;Adult&lt;/keyword&gt;&lt;keyword&gt;Aged&lt;/keyword&gt;&lt;keyword&gt;Aged, 80 and over&lt;/keyword&gt;&lt;keyword&gt;Bone Neoplasms/*blood/complications/mortality&lt;/keyword&gt;&lt;keyword&gt;Collagen/*blood&lt;/keyword&gt;&lt;keyword&gt;Collagen Type I&lt;/keyword&gt;&lt;keyword&gt;Disease-Free Survival&lt;/keyword&gt;&lt;keyword&gt;Female&lt;/keyword&gt;&lt;keyword&gt;Glycoproteins/blood&lt;/keyword&gt;&lt;keyword&gt;Humans&lt;/keyword&gt;&lt;keyword&gt;Male&lt;/keyword&gt;&lt;keyword&gt;Middle Aged&lt;/keyword&gt;&lt;keyword&gt;Multiple Myeloma/*blood/complications/mortality&lt;/keyword&gt;&lt;keyword&gt;Multivariate Analysis&lt;/keyword&gt;&lt;keyword&gt;Osteocalcin/blood&lt;/keyword&gt;&lt;keyword&gt;Peptide Fragments/blood&lt;/keyword&gt;&lt;keyword&gt;Peptides/*blood&lt;/keyword&gt;&lt;keyword&gt;Procollagen/blood&lt;/keyword&gt;&lt;keyword&gt;Prognosis&lt;/keyword&gt;&lt;keyword&gt;Survival Rate&lt;/keyword&gt;&lt;keyword&gt;Tumor Markers, Biological/*blood&lt;/keyword&gt;&lt;/keywords&gt;&lt;dates&gt;&lt;year&gt;2000&lt;/year&gt;&lt;pub-dates&gt;&lt;date&gt;Apr&lt;/date&gt;&lt;/pub-dates&gt;&lt;/dates&gt;&lt;accession-num&gt;10848778&lt;/accession-num&gt;&lt;urls&gt;&lt;related-urls&gt;&lt;url&gt;http://www.ncbi.nlm.nih.gov/entrez/query.fcgi?cmd=Retrieve&amp;amp;db=PubMed&amp;amp;dopt=Citation&amp;amp;list_uids=10848778 &lt;/url&gt;&lt;/related-urls&gt;&lt;/urls&gt;&lt;/record&gt;&lt;/Cite&gt;&lt;/EndNote&gt;</w:instrText>
      </w:r>
      <w:r w:rsidRPr="001A6261">
        <w:rPr>
          <w:color w:val="000000"/>
        </w:rPr>
        <w:fldChar w:fldCharType="separate"/>
      </w:r>
      <w:r w:rsidR="006F41FE">
        <w:rPr>
          <w:noProof/>
          <w:color w:val="000000"/>
        </w:rPr>
        <w:t>(</w:t>
      </w:r>
      <w:hyperlink w:anchor="_ENREF_124" w:tooltip="Fonseca, 2000 #17" w:history="1">
        <w:r w:rsidR="004A784D">
          <w:rPr>
            <w:noProof/>
            <w:color w:val="000000"/>
          </w:rPr>
          <w:t>Fonseca et al., 2000</w:t>
        </w:r>
      </w:hyperlink>
      <w:r w:rsidR="006F41FE">
        <w:rPr>
          <w:noProof/>
          <w:color w:val="000000"/>
        </w:rPr>
        <w:t>)</w:t>
      </w:r>
      <w:r w:rsidRPr="001A6261">
        <w:rPr>
          <w:color w:val="000000"/>
        </w:rPr>
        <w:fldChar w:fldCharType="end"/>
      </w:r>
      <w:r w:rsidRPr="001A6261">
        <w:rPr>
          <w:color w:val="000000"/>
        </w:rPr>
        <w:t xml:space="preserve">. Using 2D-DIGE and LC-MS analysis of serum from newly diagnosed multiple myeloma patients we have identified potential new serum biomarkers differentially expressed in the serum of patients who are </w:t>
      </w:r>
      <w:r>
        <w:rPr>
          <w:color w:val="000000"/>
        </w:rPr>
        <w:t>non-</w:t>
      </w:r>
      <w:r w:rsidRPr="001A6261">
        <w:rPr>
          <w:color w:val="000000"/>
        </w:rPr>
        <w:t xml:space="preserve">responders versus responders to a thalidomide based regimen. </w:t>
      </w:r>
    </w:p>
    <w:p w:rsidR="00740A6F" w:rsidRDefault="00740A6F" w:rsidP="00057B42">
      <w:pPr>
        <w:spacing w:line="360" w:lineRule="auto"/>
        <w:jc w:val="both"/>
        <w:rPr>
          <w:color w:val="000000"/>
        </w:rPr>
      </w:pPr>
    </w:p>
    <w:p w:rsidR="00B61503" w:rsidRDefault="00B61503" w:rsidP="00057B42">
      <w:pPr>
        <w:spacing w:line="360" w:lineRule="auto"/>
        <w:jc w:val="both"/>
        <w:rPr>
          <w:color w:val="000000"/>
        </w:rPr>
      </w:pPr>
      <w:r w:rsidRPr="00FE5B3D">
        <w:rPr>
          <w:color w:val="000000"/>
        </w:rPr>
        <w:t xml:space="preserve">Six serum proteins exhibited a statistically significant difference in abundance level between the thalidomide responders and non-responders. </w:t>
      </w:r>
      <w:r>
        <w:rPr>
          <w:color w:val="000000"/>
        </w:rPr>
        <w:t>VDB</w:t>
      </w:r>
      <w:r w:rsidRPr="00FE5B3D">
        <w:rPr>
          <w:color w:val="000000"/>
        </w:rPr>
        <w:t xml:space="preserve">, </w:t>
      </w:r>
      <w:r>
        <w:rPr>
          <w:color w:val="000000"/>
        </w:rPr>
        <w:t>TYR</w:t>
      </w:r>
      <w:r w:rsidRPr="00FE5B3D">
        <w:rPr>
          <w:color w:val="000000"/>
        </w:rPr>
        <w:t xml:space="preserve">, </w:t>
      </w:r>
      <w:r>
        <w:rPr>
          <w:color w:val="000000"/>
        </w:rPr>
        <w:t>ZAG</w:t>
      </w:r>
      <w:r w:rsidRPr="00FE5B3D">
        <w:rPr>
          <w:color w:val="000000"/>
        </w:rPr>
        <w:t xml:space="preserve">, </w:t>
      </w:r>
      <w:r>
        <w:rPr>
          <w:color w:val="000000"/>
        </w:rPr>
        <w:t>SAA</w:t>
      </w:r>
      <w:r w:rsidRPr="00FE5B3D">
        <w:rPr>
          <w:color w:val="000000"/>
        </w:rPr>
        <w:t xml:space="preserve">, </w:t>
      </w:r>
      <w:r>
        <w:rPr>
          <w:color w:val="000000"/>
        </w:rPr>
        <w:t>B2M</w:t>
      </w:r>
      <w:r w:rsidRPr="00FE5B3D">
        <w:rPr>
          <w:color w:val="000000"/>
        </w:rPr>
        <w:t xml:space="preserve">, had higher abundance level. In contrast </w:t>
      </w:r>
      <w:r>
        <w:rPr>
          <w:color w:val="000000"/>
        </w:rPr>
        <w:t>Hp</w:t>
      </w:r>
      <w:r w:rsidRPr="00FE5B3D">
        <w:rPr>
          <w:color w:val="000000"/>
        </w:rPr>
        <w:t xml:space="preserve"> had a lower abundance level in non-responders compared to responder</w:t>
      </w:r>
      <w:r>
        <w:rPr>
          <w:color w:val="000000"/>
        </w:rPr>
        <w:t>.</w:t>
      </w:r>
    </w:p>
    <w:p w:rsidR="00740A6F" w:rsidRDefault="00740A6F"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Resistance to anti myeloma treatment is probably mediated by a variety of molecular pathways, and it seems reasonable to assume that it is </w:t>
      </w:r>
      <w:r>
        <w:rPr>
          <w:color w:val="000000"/>
        </w:rPr>
        <w:t xml:space="preserve">very difficult </w:t>
      </w:r>
      <w:r w:rsidRPr="001A6261">
        <w:rPr>
          <w:color w:val="000000"/>
        </w:rPr>
        <w:t xml:space="preserve">to predict sensitivity to </w:t>
      </w:r>
      <w:r>
        <w:rPr>
          <w:color w:val="000000"/>
        </w:rPr>
        <w:t>a given anti-myeloma treatment</w:t>
      </w:r>
      <w:r w:rsidRPr="001A6261">
        <w:rPr>
          <w:color w:val="000000"/>
        </w:rPr>
        <w:t xml:space="preserve"> by measuring </w:t>
      </w:r>
      <w:r>
        <w:rPr>
          <w:color w:val="000000"/>
        </w:rPr>
        <w:t>the</w:t>
      </w:r>
      <w:r w:rsidRPr="001A6261">
        <w:rPr>
          <w:color w:val="000000"/>
        </w:rPr>
        <w:t xml:space="preserve"> single </w:t>
      </w:r>
      <w:r>
        <w:rPr>
          <w:color w:val="000000"/>
        </w:rPr>
        <w:t xml:space="preserve">standard available </w:t>
      </w:r>
      <w:r w:rsidRPr="001A6261">
        <w:rPr>
          <w:color w:val="000000"/>
        </w:rPr>
        <w:t xml:space="preserve">biomarker. </w:t>
      </w:r>
      <w:r w:rsidR="004D56C5" w:rsidRPr="001A6261">
        <w:rPr>
          <w:color w:val="000000"/>
        </w:rPr>
        <w:t xml:space="preserve">These </w:t>
      </w:r>
      <w:r w:rsidR="004D56C5">
        <w:rPr>
          <w:color w:val="000000"/>
        </w:rPr>
        <w:t xml:space="preserve">markers </w:t>
      </w:r>
      <w:r w:rsidR="004D56C5" w:rsidRPr="001A6261">
        <w:rPr>
          <w:color w:val="000000"/>
        </w:rPr>
        <w:t>include</w:t>
      </w:r>
      <w:r w:rsidRPr="001A6261">
        <w:rPr>
          <w:color w:val="000000"/>
        </w:rPr>
        <w:t xml:space="preserve"> serum-free light chains (sFLC), cytogenetic analyses </w:t>
      </w:r>
      <w:r w:rsidRPr="001A6261">
        <w:rPr>
          <w:color w:val="000000"/>
        </w:rPr>
        <w:fldChar w:fldCharType="begin">
          <w:fldData xml:space="preserve">PEVuZE5vdGU+PENpdGU+PEF1dGhvcj5LdXJhaGFzaGk8L0F1dGhvcj48WWVhcj4yMDA3PC9ZZWFy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=
</w:fldData>
        </w:fldChar>
      </w:r>
      <w:r w:rsidR="006F41FE">
        <w:rPr>
          <w:color w:val="000000"/>
        </w:rPr>
        <w:instrText xml:space="preserve"> ADDIN EN.CITE </w:instrText>
      </w:r>
      <w:r w:rsidR="006F41FE">
        <w:rPr>
          <w:color w:val="000000"/>
        </w:rPr>
        <w:fldChar w:fldCharType="begin">
          <w:fldData xml:space="preserve">PEVuZE5vdGU+PENpdGU+PEF1dGhvcj5LdXJhaGFzaGk8L0F1dGhvcj48WWVhcj4yMDA3PC9ZZWFy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=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229" w:tooltip="Kurahashi, 2007 #59" w:history="1">
        <w:r w:rsidR="004A784D">
          <w:rPr>
            <w:noProof/>
            <w:color w:val="000000"/>
          </w:rPr>
          <w:t>Kurahashi et al., 2007</w:t>
        </w:r>
      </w:hyperlink>
      <w:r w:rsidR="006F41FE">
        <w:rPr>
          <w:noProof/>
          <w:color w:val="000000"/>
        </w:rPr>
        <w:t xml:space="preserve">, </w:t>
      </w:r>
      <w:hyperlink w:anchor="_ENREF_29" w:tooltip="Avet-Loiseau, 2007 #62" w:history="1">
        <w:r w:rsidR="004A784D">
          <w:rPr>
            <w:noProof/>
            <w:color w:val="000000"/>
          </w:rPr>
          <w:t>Avet-Loiseau, 2007</w:t>
        </w:r>
      </w:hyperlink>
      <w:r w:rsidR="006F41FE">
        <w:rPr>
          <w:noProof/>
          <w:color w:val="000000"/>
        </w:rPr>
        <w:t>)</w:t>
      </w:r>
      <w:r w:rsidRPr="001A6261">
        <w:rPr>
          <w:color w:val="000000"/>
        </w:rPr>
        <w:fldChar w:fldCharType="end"/>
      </w:r>
      <w:r w:rsidRPr="001A6261">
        <w:rPr>
          <w:color w:val="000000"/>
        </w:rPr>
        <w:t xml:space="preserve">, Bony involvement </w:t>
      </w:r>
      <w:r w:rsidR="004D56C5" w:rsidRPr="001A6261">
        <w:rPr>
          <w:color w:val="000000"/>
        </w:rPr>
        <w:t>and B2M</w:t>
      </w:r>
      <w:r w:rsidRPr="001A6261">
        <w:rPr>
          <w:color w:val="000000"/>
        </w:rPr>
        <w:t xml:space="preserve"> </w:t>
      </w:r>
      <w:r w:rsidRPr="001A6261">
        <w:rPr>
          <w:color w:val="000000"/>
        </w:rPr>
        <w:fldChar w:fldCharType="begin">
          <w:fldData xml:space="preserve">PEVuZE5vdGU+PENpdGU+PEF1dGhvcj5TdGVsbGEtSG9sb3dpZWNrYTwvQXV0aG9yPjxZZWFyPjIw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</w:fldData>
        </w:fldChar>
      </w:r>
      <w:r w:rsidR="006F41FE">
        <w:rPr>
          <w:color w:val="000000"/>
        </w:rPr>
        <w:instrText xml:space="preserve"> ADDIN EN.CITE </w:instrText>
      </w:r>
      <w:r w:rsidR="006F41FE">
        <w:rPr>
          <w:color w:val="000000"/>
        </w:rPr>
        <w:fldChar w:fldCharType="begin">
          <w:fldData xml:space="preserve">PEVuZE5vdGU+PENpdGU+PEF1dGhvcj5TdGVsbGEtSG9sb3dpZWNrYTwvQXV0aG9yPjxZZWFyPjIw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401" w:tooltip="Stella-Holowiecka, 2007 #5" w:history="1">
        <w:r w:rsidR="004A784D">
          <w:rPr>
            <w:noProof/>
            <w:color w:val="000000"/>
          </w:rPr>
          <w:t>Stella-Holowiecka et al., 2007</w:t>
        </w:r>
      </w:hyperlink>
      <w:r w:rsidR="006F41FE">
        <w:rPr>
          <w:noProof/>
          <w:color w:val="000000"/>
        </w:rPr>
        <w:t>)</w:t>
      </w:r>
      <w:r w:rsidRPr="001A6261">
        <w:rPr>
          <w:color w:val="000000"/>
        </w:rPr>
        <w:fldChar w:fldCharType="end"/>
      </w:r>
      <w:r w:rsidRPr="001A6261">
        <w:rPr>
          <w:color w:val="000000"/>
        </w:rPr>
        <w:t xml:space="preserve">. These </w:t>
      </w:r>
      <w:r>
        <w:rPr>
          <w:color w:val="000000"/>
        </w:rPr>
        <w:t xml:space="preserve">markers are well </w:t>
      </w:r>
      <w:r w:rsidRPr="001A6261">
        <w:rPr>
          <w:color w:val="000000"/>
        </w:rPr>
        <w:t>know</w:t>
      </w:r>
      <w:r>
        <w:rPr>
          <w:color w:val="000000"/>
        </w:rPr>
        <w:t>n</w:t>
      </w:r>
      <w:r w:rsidRPr="001A6261">
        <w:rPr>
          <w:color w:val="000000"/>
        </w:rPr>
        <w:t xml:space="preserve"> to correlate with the </w:t>
      </w:r>
      <w:r>
        <w:rPr>
          <w:color w:val="000000"/>
        </w:rPr>
        <w:t xml:space="preserve">overall response rate and survival but cannot specifically predict response to a given therapy </w:t>
      </w:r>
      <w:r w:rsidRPr="001A6261">
        <w:rPr>
          <w:color w:val="000000"/>
        </w:rPr>
        <w:fldChar w:fldCharType="begin">
          <w:fldData xml:space="preserve">PEVuZE5vdGU+PENpdGU+PEF1dGhvcj5Ib3R0YTwvQXV0aG9yPjxZZWFyPjIwMDc8L1llYXI+PFJl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==
</w:fldData>
        </w:fldChar>
      </w:r>
      <w:r w:rsidR="006F41FE">
        <w:rPr>
          <w:color w:val="000000"/>
        </w:rPr>
        <w:instrText xml:space="preserve"> ADDIN EN.CITE </w:instrText>
      </w:r>
      <w:r w:rsidR="006F41FE">
        <w:rPr>
          <w:color w:val="000000"/>
        </w:rPr>
        <w:fldChar w:fldCharType="begin">
          <w:fldData xml:space="preserve">PEVuZE5vdGU+PENpdGU+PEF1dGhvcj5Ib3R0YTwvQXV0aG9yPjxZZWFyPjIwMDc8L1llYXI+PFJl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==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80" w:tooltip="Hotta, 2007 #25" w:history="1">
        <w:r w:rsidR="004A784D">
          <w:rPr>
            <w:noProof/>
            <w:color w:val="000000"/>
          </w:rPr>
          <w:t>Hotta, 2007</w:t>
        </w:r>
      </w:hyperlink>
      <w:r w:rsidR="006F41FE">
        <w:rPr>
          <w:noProof/>
          <w:color w:val="000000"/>
        </w:rPr>
        <w:t xml:space="preserve">, </w:t>
      </w:r>
      <w:hyperlink w:anchor="_ENREF_284" w:tooltip="Nagura, 2007 #23" w:history="1">
        <w:r w:rsidR="004A784D">
          <w:rPr>
            <w:noProof/>
            <w:color w:val="000000"/>
          </w:rPr>
          <w:t>Nagura, 2007</w:t>
        </w:r>
      </w:hyperlink>
      <w:r w:rsidR="006F41FE">
        <w:rPr>
          <w:noProof/>
          <w:color w:val="000000"/>
        </w:rPr>
        <w:t>)</w:t>
      </w:r>
      <w:r w:rsidRPr="001A6261">
        <w:rPr>
          <w:color w:val="000000"/>
        </w:rPr>
        <w:fldChar w:fldCharType="end"/>
      </w:r>
      <w:r w:rsidRPr="001A6261">
        <w:rPr>
          <w:color w:val="000000"/>
        </w:rPr>
        <w:t xml:space="preserve">.  </w:t>
      </w:r>
    </w:p>
    <w:p w:rsidR="00856253"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In this study, we have applied proteomic procedure to study the pre therapeutic protein expression pattern in the serum samples of newly diagnosed multiple myeloma patients. Our aims were to identify differentially expressed proteins correlating with response. </w:t>
      </w:r>
    </w:p>
    <w:p w:rsidR="00B61503" w:rsidRDefault="00B61503" w:rsidP="00057B42">
      <w:pPr>
        <w:spacing w:before="240" w:line="360" w:lineRule="auto"/>
        <w:jc w:val="both"/>
        <w:rPr>
          <w:color w:val="000000"/>
        </w:rPr>
      </w:pPr>
      <w:r w:rsidRPr="001A6261">
        <w:rPr>
          <w:color w:val="000000"/>
        </w:rPr>
        <w:lastRenderedPageBreak/>
        <w:t xml:space="preserve">n this study we used ELISA to </w:t>
      </w:r>
      <w:r>
        <w:rPr>
          <w:color w:val="000000"/>
        </w:rPr>
        <w:t>validate the</w:t>
      </w:r>
      <w:r w:rsidRPr="001A6261">
        <w:rPr>
          <w:color w:val="000000"/>
        </w:rPr>
        <w:t xml:space="preserve"> level</w:t>
      </w:r>
      <w:r>
        <w:rPr>
          <w:color w:val="000000"/>
        </w:rPr>
        <w:t>s</w:t>
      </w:r>
      <w:r w:rsidRPr="001A6261">
        <w:rPr>
          <w:color w:val="000000"/>
        </w:rPr>
        <w:t xml:space="preserve"> of the 6 </w:t>
      </w:r>
      <w:r>
        <w:rPr>
          <w:color w:val="000000"/>
        </w:rPr>
        <w:t>potential</w:t>
      </w:r>
      <w:r w:rsidRPr="001A6261">
        <w:rPr>
          <w:color w:val="000000"/>
        </w:rPr>
        <w:t xml:space="preserve"> </w:t>
      </w:r>
      <w:r>
        <w:rPr>
          <w:color w:val="000000"/>
        </w:rPr>
        <w:t xml:space="preserve">bio </w:t>
      </w:r>
      <w:r w:rsidRPr="001A6261">
        <w:rPr>
          <w:color w:val="000000"/>
        </w:rPr>
        <w:t>marker proteins in serum from thal</w:t>
      </w:r>
      <w:r>
        <w:rPr>
          <w:color w:val="000000"/>
        </w:rPr>
        <w:t>idomide sensitive and resistant MM</w:t>
      </w:r>
      <w:r w:rsidRPr="001A6261">
        <w:rPr>
          <w:color w:val="000000"/>
        </w:rPr>
        <w:t xml:space="preserve"> patients. </w:t>
      </w:r>
      <w:r>
        <w:rPr>
          <w:color w:val="000000"/>
        </w:rPr>
        <w:t>F</w:t>
      </w:r>
      <w:r w:rsidRPr="001A6261">
        <w:rPr>
          <w:color w:val="000000"/>
        </w:rPr>
        <w:t>ive proteins were identified</w:t>
      </w:r>
      <w:r>
        <w:rPr>
          <w:color w:val="000000"/>
        </w:rPr>
        <w:t>;</w:t>
      </w:r>
      <w:r w:rsidRPr="001A6261">
        <w:rPr>
          <w:color w:val="000000"/>
        </w:rPr>
        <w:t xml:space="preserve"> ZAG, VDB, SAA, B2M and Hp with statistically different concentrations between responders and non-responders. The ELISA </w:t>
      </w:r>
      <w:r>
        <w:rPr>
          <w:color w:val="000000"/>
        </w:rPr>
        <w:t xml:space="preserve">values </w:t>
      </w:r>
      <w:r w:rsidRPr="001A6261">
        <w:rPr>
          <w:color w:val="000000"/>
        </w:rPr>
        <w:t xml:space="preserve">did not showed </w:t>
      </w:r>
      <w:r>
        <w:rPr>
          <w:color w:val="000000"/>
        </w:rPr>
        <w:t xml:space="preserve">a </w:t>
      </w:r>
      <w:r w:rsidRPr="001A6261">
        <w:rPr>
          <w:color w:val="000000"/>
        </w:rPr>
        <w:t xml:space="preserve">statistically significance difference in </w:t>
      </w:r>
      <w:r>
        <w:rPr>
          <w:color w:val="000000"/>
        </w:rPr>
        <w:t>abundance level</w:t>
      </w:r>
      <w:r w:rsidRPr="001A6261">
        <w:rPr>
          <w:color w:val="000000"/>
        </w:rPr>
        <w:t xml:space="preserve"> of TYR in </w:t>
      </w:r>
      <w:r>
        <w:rPr>
          <w:color w:val="000000"/>
        </w:rPr>
        <w:t xml:space="preserve">the serum samples from </w:t>
      </w:r>
      <w:r w:rsidRPr="001A6261">
        <w:rPr>
          <w:color w:val="000000"/>
        </w:rPr>
        <w:t xml:space="preserve">responders </w:t>
      </w:r>
      <w:r>
        <w:rPr>
          <w:color w:val="000000"/>
        </w:rPr>
        <w:t>and</w:t>
      </w:r>
      <w:r w:rsidRPr="001A6261">
        <w:rPr>
          <w:color w:val="000000"/>
        </w:rPr>
        <w:t xml:space="preserve"> non-responders to thalidomide</w:t>
      </w:r>
      <w:r>
        <w:rPr>
          <w:color w:val="000000"/>
        </w:rPr>
        <w:t>.</w:t>
      </w:r>
    </w:p>
    <w:p w:rsidR="00B61503" w:rsidRDefault="00B61503" w:rsidP="00057B42">
      <w:pPr>
        <w:spacing w:before="240" w:line="360" w:lineRule="auto"/>
        <w:jc w:val="both"/>
        <w:rPr>
          <w:color w:val="000000"/>
        </w:rPr>
      </w:pPr>
    </w:p>
    <w:p w:rsidR="00B61503" w:rsidRPr="00B933E7" w:rsidRDefault="00B61503" w:rsidP="00057B42">
      <w:pPr>
        <w:spacing w:line="360" w:lineRule="auto"/>
      </w:pPr>
    </w:p>
    <w:p w:rsidR="00856253" w:rsidRDefault="00B61503" w:rsidP="00645687">
      <w:pPr>
        <w:pStyle w:val="Heading2"/>
        <w:numPr>
          <w:ilvl w:val="2"/>
          <w:numId w:val="19"/>
        </w:numPr>
      </w:pPr>
      <w:r>
        <w:br w:type="page"/>
      </w:r>
      <w:r w:rsidRPr="009569A4">
        <w:lastRenderedPageBreak/>
        <w:t xml:space="preserve">  </w:t>
      </w:r>
      <w:bookmarkStart w:id="1907" w:name="_Toc302582442"/>
      <w:r>
        <w:tab/>
      </w:r>
      <w:bookmarkStart w:id="1908" w:name="_Toc305690092"/>
      <w:bookmarkStart w:id="1909" w:name="_Toc306570784"/>
      <w:bookmarkStart w:id="1910" w:name="_Toc307067844"/>
      <w:bookmarkStart w:id="1911" w:name="_Toc312169411"/>
      <w:bookmarkStart w:id="1912" w:name="_Toc312172338"/>
      <w:bookmarkStart w:id="1913" w:name="_Toc312257887"/>
      <w:r w:rsidRPr="009569A4">
        <w:t>A literature search of proteins biomarkers and myeloma</w:t>
      </w:r>
      <w:bookmarkEnd w:id="1907"/>
      <w:bookmarkEnd w:id="1908"/>
      <w:bookmarkEnd w:id="1909"/>
      <w:bookmarkEnd w:id="1910"/>
      <w:bookmarkEnd w:id="1911"/>
      <w:bookmarkEnd w:id="1912"/>
      <w:bookmarkEnd w:id="1913"/>
    </w:p>
    <w:p w:rsidR="00B61503" w:rsidRDefault="008E71E8" w:rsidP="00696D44">
      <w:pPr>
        <w:spacing w:before="240" w:line="360" w:lineRule="auto"/>
        <w:jc w:val="both"/>
        <w:rPr>
          <w:color w:val="000000"/>
        </w:rPr>
      </w:pPr>
      <w:r>
        <w:rPr>
          <w:color w:val="000000"/>
        </w:rPr>
        <w:t>We expected that</w:t>
      </w:r>
      <w:r w:rsidR="00B61503" w:rsidRPr="001A6261">
        <w:rPr>
          <w:color w:val="000000"/>
        </w:rPr>
        <w:t xml:space="preserve"> the differentially expressed proteins identified in this study</w:t>
      </w:r>
      <w:r w:rsidR="00B61503">
        <w:rPr>
          <w:color w:val="000000"/>
        </w:rPr>
        <w:t xml:space="preserve"> which have known association with other tumour</w:t>
      </w:r>
      <w:r w:rsidR="00B61503" w:rsidRPr="001A6261">
        <w:rPr>
          <w:color w:val="000000"/>
        </w:rPr>
        <w:t xml:space="preserve"> may </w:t>
      </w:r>
      <w:r w:rsidR="00B61503">
        <w:rPr>
          <w:color w:val="000000"/>
        </w:rPr>
        <w:t xml:space="preserve">also </w:t>
      </w:r>
      <w:r w:rsidR="00B61503" w:rsidRPr="001A6261">
        <w:rPr>
          <w:color w:val="000000"/>
        </w:rPr>
        <w:t xml:space="preserve">have known functions associated with the progression </w:t>
      </w:r>
      <w:r w:rsidR="008423FB">
        <w:rPr>
          <w:color w:val="000000"/>
        </w:rPr>
        <w:t>and response to anti-</w:t>
      </w:r>
      <w:r w:rsidR="00B61503">
        <w:rPr>
          <w:color w:val="000000"/>
        </w:rPr>
        <w:t xml:space="preserve">myeloma therapy including thalidomide. </w:t>
      </w:r>
      <w:r w:rsidR="00B61503" w:rsidRPr="001A6261">
        <w:rPr>
          <w:color w:val="000000"/>
        </w:rPr>
        <w:t xml:space="preserve">Thus, these proteins may provide mechanistic information and improve our understanding of the mechanism of action of thalidomide. </w:t>
      </w:r>
      <w:r w:rsidR="00B61503">
        <w:rPr>
          <w:color w:val="000000"/>
        </w:rPr>
        <w:t>ZAG, SAA, Hp, TYR and VDB</w:t>
      </w:r>
      <w:r w:rsidR="00B61503" w:rsidRPr="001A6261">
        <w:rPr>
          <w:color w:val="000000"/>
        </w:rPr>
        <w:t xml:space="preserve"> as described below can affect</w:t>
      </w:r>
      <w:r w:rsidR="00B61503">
        <w:rPr>
          <w:color w:val="000000"/>
        </w:rPr>
        <w:t xml:space="preserve"> immune system </w:t>
      </w:r>
      <w:r w:rsidR="0010315E">
        <w:rPr>
          <w:color w:val="000000"/>
        </w:rPr>
        <w:t>and</w:t>
      </w:r>
      <w:r w:rsidR="00B61503">
        <w:rPr>
          <w:color w:val="000000"/>
        </w:rPr>
        <w:t xml:space="preserve"> inflammatory response which also</w:t>
      </w:r>
      <w:r w:rsidR="00B61503" w:rsidRPr="001A6261">
        <w:rPr>
          <w:color w:val="000000"/>
        </w:rPr>
        <w:t xml:space="preserve"> implicated in the pathogenesis of cancer.</w:t>
      </w:r>
      <w:r w:rsidR="00B61503">
        <w:rPr>
          <w:color w:val="000000"/>
        </w:rPr>
        <w:t xml:space="preserve"> These </w:t>
      </w:r>
      <w:r w:rsidR="00B61503" w:rsidRPr="006D1BB9">
        <w:rPr>
          <w:color w:val="000000"/>
        </w:rPr>
        <w:t xml:space="preserve">protein signature might </w:t>
      </w:r>
      <w:r w:rsidR="00B61503">
        <w:rPr>
          <w:color w:val="000000"/>
        </w:rPr>
        <w:t xml:space="preserve">also </w:t>
      </w:r>
      <w:r w:rsidR="00B61503" w:rsidRPr="006D1BB9">
        <w:rPr>
          <w:color w:val="000000"/>
        </w:rPr>
        <w:t xml:space="preserve">closely related to disease status and corresponding physiologic response of </w:t>
      </w:r>
      <w:r w:rsidR="00B61503">
        <w:rPr>
          <w:color w:val="000000"/>
        </w:rPr>
        <w:t xml:space="preserve">MM </w:t>
      </w:r>
      <w:r w:rsidR="00B61503" w:rsidRPr="006D1BB9">
        <w:rPr>
          <w:color w:val="000000"/>
        </w:rPr>
        <w:t>patients</w:t>
      </w:r>
      <w:r w:rsidR="00B61503">
        <w:rPr>
          <w:color w:val="000000"/>
        </w:rPr>
        <w:t>.</w:t>
      </w:r>
    </w:p>
    <w:p w:rsidR="00740A6F" w:rsidRDefault="00740A6F" w:rsidP="00057B42">
      <w:pPr>
        <w:spacing w:line="360" w:lineRule="auto"/>
        <w:jc w:val="both"/>
        <w:rPr>
          <w:color w:val="000000"/>
        </w:rPr>
      </w:pPr>
    </w:p>
    <w:p w:rsidR="00856253" w:rsidRDefault="00B61503" w:rsidP="00057B42">
      <w:pPr>
        <w:spacing w:line="360" w:lineRule="auto"/>
        <w:jc w:val="both"/>
        <w:rPr>
          <w:color w:val="000000"/>
        </w:rPr>
      </w:pPr>
      <w:r w:rsidRPr="00691D2C">
        <w:rPr>
          <w:color w:val="000000"/>
        </w:rPr>
        <w:t>The outcome of chemotherapy can be influenced by the host immune system at multiple levels.</w:t>
      </w:r>
      <w:r>
        <w:rPr>
          <w:color w:val="000000"/>
        </w:rPr>
        <w:t xml:space="preserve"> </w:t>
      </w:r>
      <w:r w:rsidRPr="00691D2C">
        <w:rPr>
          <w:color w:val="000000"/>
        </w:rPr>
        <w:t>Chemotherapy can kill cancer cells by causing them to elicit an immune response or alternatively, by increasing</w:t>
      </w:r>
      <w:r>
        <w:rPr>
          <w:color w:val="000000"/>
        </w:rPr>
        <w:t xml:space="preserve"> </w:t>
      </w:r>
      <w:r w:rsidRPr="00691D2C">
        <w:rPr>
          <w:color w:val="000000"/>
        </w:rPr>
        <w:t>their susceptibility to immune attack</w:t>
      </w:r>
      <w:r>
        <w:rPr>
          <w:color w:val="000000"/>
        </w:rPr>
        <w:t xml:space="preserve"> </w:t>
      </w:r>
      <w:r>
        <w:rPr>
          <w:color w:val="000000"/>
        </w:rPr>
        <w:fldChar w:fldCharType="begin">
          <w:fldData xml:space="preserve">PEVuZE5vdGU+PENpdGU+PEF1dGhvcj5aaXR2b2dlbDwvQXV0aG9yPjxZZWFyPjIwMTE8L1llYXI+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</w:fldData>
        </w:fldChar>
      </w:r>
      <w:r w:rsidR="006F41FE">
        <w:rPr>
          <w:color w:val="000000"/>
        </w:rPr>
        <w:instrText xml:space="preserve"> ADDIN EN.CITE </w:instrText>
      </w:r>
      <w:r w:rsidR="006F41FE">
        <w:rPr>
          <w:color w:val="000000"/>
        </w:rPr>
        <w:fldChar w:fldCharType="begin">
          <w:fldData xml:space="preserve">PEVuZE5vdGU+PENpdGU+PEF1dGhvcj5aaXR2b2dlbDwvQXV0aG9yPjxZZWFyPjIwMTE8L1llYXI+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</w:fldData>
        </w:fldChar>
      </w:r>
      <w:r w:rsidR="006F41FE">
        <w:rPr>
          <w:color w:val="000000"/>
        </w:rPr>
        <w:instrText xml:space="preserve"> ADDIN EN.CITE.DATA </w:instrText>
      </w:r>
      <w:r w:rsidR="006F41FE">
        <w:rPr>
          <w:color w:val="000000"/>
        </w:rPr>
      </w:r>
      <w:r w:rsidR="006F41FE">
        <w:rPr>
          <w:color w:val="000000"/>
        </w:rPr>
        <w:fldChar w:fldCharType="end"/>
      </w:r>
      <w:r>
        <w:rPr>
          <w:color w:val="000000"/>
        </w:rPr>
      </w:r>
      <w:r>
        <w:rPr>
          <w:color w:val="000000"/>
        </w:rPr>
        <w:fldChar w:fldCharType="separate"/>
      </w:r>
      <w:r w:rsidR="006F41FE">
        <w:rPr>
          <w:noProof/>
          <w:color w:val="000000"/>
        </w:rPr>
        <w:t>(</w:t>
      </w:r>
      <w:hyperlink w:anchor="_ENREF_475" w:tooltip="Zitvogel, 2011 #4890" w:history="1">
        <w:r w:rsidR="004A784D">
          <w:rPr>
            <w:noProof/>
            <w:color w:val="000000"/>
          </w:rPr>
          <w:t>Zitvogel et al., 2011</w:t>
        </w:r>
      </w:hyperlink>
      <w:r w:rsidR="006F41FE">
        <w:rPr>
          <w:noProof/>
          <w:color w:val="000000"/>
        </w:rPr>
        <w:t xml:space="preserve">, </w:t>
      </w:r>
      <w:hyperlink w:anchor="_ENREF_72" w:tooltip="Chew, 2010 #4897" w:history="1">
        <w:r w:rsidR="004A784D">
          <w:rPr>
            <w:noProof/>
            <w:color w:val="000000"/>
          </w:rPr>
          <w:t>Chew et al., 2010</w:t>
        </w:r>
      </w:hyperlink>
      <w:r w:rsidR="006F41FE">
        <w:rPr>
          <w:noProof/>
          <w:color w:val="000000"/>
        </w:rPr>
        <w:t>)</w:t>
      </w:r>
      <w:r>
        <w:rPr>
          <w:color w:val="000000"/>
        </w:rPr>
        <w:fldChar w:fldCharType="end"/>
      </w:r>
      <w:r>
        <w:rPr>
          <w:color w:val="000000"/>
        </w:rPr>
        <w:t xml:space="preserve">. </w:t>
      </w:r>
      <w:r w:rsidRPr="001A6261">
        <w:rPr>
          <w:color w:val="000000"/>
        </w:rPr>
        <w:t xml:space="preserve"> Several prospective studies have investigated the link of biomarkers of inflammation with cancer incidence and mortality. One prospective cohort study was performed in postmenopausal women who were free of cancer at baseline and were enrolled in the Women’s Health Initiative (Margolis et al. 2007). </w:t>
      </w:r>
    </w:p>
    <w:p w:rsidR="00856253" w:rsidRDefault="00856253"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The </w:t>
      </w:r>
      <w:r>
        <w:rPr>
          <w:color w:val="000000"/>
        </w:rPr>
        <w:t xml:space="preserve">end-point of this study </w:t>
      </w:r>
      <w:r w:rsidRPr="001A6261">
        <w:rPr>
          <w:color w:val="000000"/>
        </w:rPr>
        <w:t xml:space="preserve">was occurrence </w:t>
      </w:r>
      <w:r>
        <w:rPr>
          <w:color w:val="000000"/>
        </w:rPr>
        <w:t xml:space="preserve">of </w:t>
      </w:r>
      <w:r w:rsidRPr="001A6261">
        <w:rPr>
          <w:color w:val="000000"/>
        </w:rPr>
        <w:t xml:space="preserve">invasive breast, colorectal, endometrial, and lung cancer. In multivariate models, there was a graded association of level of inflammation such as high WBC count with </w:t>
      </w:r>
      <w:r>
        <w:rPr>
          <w:color w:val="000000"/>
        </w:rPr>
        <w:t xml:space="preserve">higher </w:t>
      </w:r>
      <w:r w:rsidRPr="001A6261">
        <w:rPr>
          <w:color w:val="000000"/>
        </w:rPr>
        <w:t>incidence o</w:t>
      </w:r>
      <w:r>
        <w:rPr>
          <w:color w:val="000000"/>
        </w:rPr>
        <w:t>f all four types of cancer. The author concluded that</w:t>
      </w:r>
      <w:r w:rsidRPr="001A6261">
        <w:rPr>
          <w:color w:val="000000"/>
        </w:rPr>
        <w:t xml:space="preserve"> postmenopausal women with higher inflammatory markers have a</w:t>
      </w:r>
      <w:r>
        <w:rPr>
          <w:color w:val="000000"/>
        </w:rPr>
        <w:t>n</w:t>
      </w:r>
      <w:r w:rsidRPr="001A6261">
        <w:rPr>
          <w:color w:val="000000"/>
        </w:rPr>
        <w:t xml:space="preserve"> </w:t>
      </w:r>
      <w:r>
        <w:rPr>
          <w:color w:val="000000"/>
        </w:rPr>
        <w:t xml:space="preserve">independent </w:t>
      </w:r>
      <w:r w:rsidRPr="001A6261">
        <w:rPr>
          <w:color w:val="000000"/>
        </w:rPr>
        <w:t>higher risk of incident invasive breast, colorectal, endometrial, and lung cancer, in addition to a higher risk overall cancer mortality</w:t>
      </w:r>
      <w:r w:rsidR="008423FB">
        <w:rPr>
          <w:color w:val="000000"/>
        </w:rPr>
        <w:t xml:space="preserve"> </w:t>
      </w:r>
      <w:r w:rsidR="008423FB">
        <w:rPr>
          <w:color w:val="000000"/>
        </w:rPr>
        <w:fldChar w:fldCharType="begin">
          <w:fldData xml:space="preserve">PEVuZE5vdGU+PENpdGU+PEF1dGhvcj5DbGVuZGVuZW48L0F1dGhvcj48WWVhcj4yMDExPC9ZZWFy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</w:fldData>
        </w:fldChar>
      </w:r>
      <w:r w:rsidR="008423FB">
        <w:rPr>
          <w:color w:val="000000"/>
        </w:rPr>
        <w:instrText xml:space="preserve"> ADDIN EN.CITE </w:instrText>
      </w:r>
      <w:r w:rsidR="008423FB">
        <w:rPr>
          <w:color w:val="000000"/>
        </w:rPr>
        <w:fldChar w:fldCharType="begin">
          <w:fldData xml:space="preserve">PEVuZE5vdGU+PENpdGU+PEF1dGhvcj5DbGVuZGVuZW48L0F1dGhvcj48WWVhcj4yMDExPC9ZZWFy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</w:fldData>
        </w:fldChar>
      </w:r>
      <w:r w:rsidR="008423FB">
        <w:rPr>
          <w:color w:val="000000"/>
        </w:rPr>
        <w:instrText xml:space="preserve"> ADDIN EN.CITE.DATA </w:instrText>
      </w:r>
      <w:r w:rsidR="008423FB">
        <w:rPr>
          <w:color w:val="000000"/>
        </w:rPr>
      </w:r>
      <w:r w:rsidR="008423FB">
        <w:rPr>
          <w:color w:val="000000"/>
        </w:rPr>
        <w:fldChar w:fldCharType="end"/>
      </w:r>
      <w:r w:rsidR="008423FB">
        <w:rPr>
          <w:color w:val="000000"/>
        </w:rPr>
      </w:r>
      <w:r w:rsidR="008423FB">
        <w:rPr>
          <w:color w:val="000000"/>
        </w:rPr>
        <w:fldChar w:fldCharType="separate"/>
      </w:r>
      <w:r w:rsidR="008423FB">
        <w:rPr>
          <w:noProof/>
          <w:color w:val="000000"/>
        </w:rPr>
        <w:t>(</w:t>
      </w:r>
      <w:hyperlink w:anchor="_ENREF_78" w:tooltip="Clendenen, 2011 #6034" w:history="1">
        <w:r w:rsidR="004A784D">
          <w:rPr>
            <w:noProof/>
            <w:color w:val="000000"/>
          </w:rPr>
          <w:t>Clendenen et al., 2011</w:t>
        </w:r>
      </w:hyperlink>
      <w:r w:rsidR="008423FB">
        <w:rPr>
          <w:noProof/>
          <w:color w:val="000000"/>
        </w:rPr>
        <w:t xml:space="preserve">, </w:t>
      </w:r>
      <w:hyperlink w:anchor="_ENREF_128" w:tooltip="Friedenreich, 2011 #6036" w:history="1">
        <w:r w:rsidR="004A784D">
          <w:rPr>
            <w:noProof/>
            <w:color w:val="000000"/>
          </w:rPr>
          <w:t>Friedenreich et al., 2011</w:t>
        </w:r>
      </w:hyperlink>
      <w:r w:rsidR="008423FB">
        <w:rPr>
          <w:noProof/>
          <w:color w:val="000000"/>
        </w:rPr>
        <w:t>)</w:t>
      </w:r>
      <w:r w:rsidR="008423FB">
        <w:rPr>
          <w:color w:val="000000"/>
        </w:rPr>
        <w:fldChar w:fldCharType="end"/>
      </w:r>
      <w:r w:rsidRPr="001A6261">
        <w:rPr>
          <w:color w:val="000000"/>
        </w:rPr>
        <w:t>.</w:t>
      </w:r>
    </w:p>
    <w:p w:rsidR="00856253" w:rsidRDefault="00856253" w:rsidP="00057B42">
      <w:pPr>
        <w:spacing w:line="360" w:lineRule="auto"/>
        <w:jc w:val="both"/>
        <w:rPr>
          <w:color w:val="000000"/>
          <w:lang w:val="en"/>
        </w:rPr>
      </w:pPr>
    </w:p>
    <w:p w:rsidR="00B61503" w:rsidRPr="006D1BB9" w:rsidRDefault="00B61503" w:rsidP="00057B42">
      <w:pPr>
        <w:spacing w:line="360" w:lineRule="auto"/>
        <w:jc w:val="both"/>
        <w:rPr>
          <w:color w:val="000000"/>
        </w:rPr>
      </w:pPr>
      <w:r w:rsidRPr="006D1BB9">
        <w:rPr>
          <w:color w:val="000000"/>
          <w:lang w:val="en"/>
        </w:rPr>
        <w:t>In general, cancer patients with metastatic disease become catabolic due to high-energy-consuming tumors and have loss of appetite, resulting in disturbed lipid metabolism, acute phase response, nutrient losses and altered hepatic protein production</w:t>
      </w:r>
      <w:r w:rsidR="008423FB">
        <w:rPr>
          <w:color w:val="000000"/>
          <w:lang w:val="en"/>
        </w:rPr>
        <w:t xml:space="preserve"> </w:t>
      </w:r>
      <w:r w:rsidR="008423FB">
        <w:rPr>
          <w:color w:val="000000"/>
          <w:lang w:val="en"/>
        </w:rPr>
        <w:fldChar w:fldCharType="begin"/>
      </w:r>
      <w:r w:rsidR="008423FB">
        <w:rPr>
          <w:color w:val="000000"/>
          <w:lang w:val="en"/>
        </w:rPr>
        <w:instrText xml:space="preserve"> ADDIN EN.CITE &lt;EndNote&gt;&lt;Cite&gt;&lt;Author&gt;Kesisis&lt;/Author&gt;&lt;Year&gt;2010&lt;/Year&gt;&lt;RecNum&gt;5794&lt;/RecNum&gt;&lt;DisplayText&gt;(Kesisis et al., 2010)&lt;/DisplayText&gt;&lt;record&gt;&lt;rec-number&gt;5794&lt;/rec-number&gt;&lt;foreign-keys&gt;&lt;key app="EN" db-id="zf0awxsaczrdd3eft5qvw9wrtxxawdfrvw2a"&gt;5794&lt;/key&gt;&lt;/foreign-keys&gt;&lt;ref-type name="Journal Article"&gt;17&lt;/ref-type&gt;&lt;contributors&gt;&lt;authors&gt;&lt;author&gt;Kesisis, G.&lt;/author&gt;&lt;author&gt;Kontovinis, L. F.&lt;/author&gt;&lt;author&gt;Gennatas, K.&lt;/author&gt;&lt;author&gt;Kortsaris, A. H.&lt;/author&gt;&lt;/authors&gt;&lt;/contributors&gt;&lt;auth-address&gt;Applied Molecular Oncology Laboratory, Theagenion Cancer Hospital, Thessaloniki, Greece. gkesisis@gmail.com&lt;/auth-address&gt;&lt;titles&gt;&lt;title&gt;Biological markers in breast cancer prognosis and treatment&lt;/title&gt;&lt;secondary-title&gt;J BUON&lt;/secondary-title&gt;&lt;/titles&gt;&lt;periodical&gt;&lt;full-title&gt;J BUON&lt;/full-title&gt;&lt;/periodical&gt;&lt;pages&gt;447-54&lt;/pages&gt;&lt;volume&gt;15&lt;/volume&gt;&lt;number&gt;3&lt;/number&gt;&lt;edition&gt;2010/10/14&lt;/edition&gt;&lt;keywords&gt;&lt;keyword&gt;Breast Neoplasms/diagnosis/mortality/*therapy&lt;/keyword&gt;&lt;keyword&gt;Carcinoembryonic Antigen/blood&lt;/keyword&gt;&lt;keyword&gt;Female&lt;/keyword&gt;&lt;keyword&gt;Humans&lt;/keyword&gt;&lt;keyword&gt;Mucin-1/blood&lt;/keyword&gt;&lt;keyword&gt;Oligonucleotide Array Sequence Analysis&lt;/keyword&gt;&lt;keyword&gt;Prognosis&lt;/keyword&gt;&lt;keyword&gt;Receptor, erbB-2/analysis&lt;/keyword&gt;&lt;keyword&gt;Receptors, Estrogen/analysis&lt;/keyword&gt;&lt;keyword&gt;Receptors, Progesterone/analysis&lt;/keyword&gt;&lt;keyword&gt;Tumor Markers, Biological/*analysis&lt;/keyword&gt;&lt;/keywords&gt;&lt;dates&gt;&lt;year&gt;2010&lt;/year&gt;&lt;pub-dates&gt;&lt;date&gt;Jul-Sep&lt;/date&gt;&lt;/pub-dates&gt;&lt;/dates&gt;&lt;isbn&gt;1107-0625 (Print)&amp;#xD;1107-0625 (Linking)&lt;/isbn&gt;&lt;accession-num&gt;20941809&lt;/accession-num&gt;&lt;urls&gt;&lt;related-urls&gt;&lt;url&gt;http://www.ncbi.nlm.nih.gov/pubmed/20941809&lt;/url&gt;&lt;/related-urls&gt;&lt;/urls&gt;&lt;language&gt;eng&lt;/language&gt;&lt;/record&gt;&lt;/Cite&gt;&lt;/EndNote&gt;</w:instrText>
      </w:r>
      <w:r w:rsidR="008423FB">
        <w:rPr>
          <w:color w:val="000000"/>
          <w:lang w:val="en"/>
        </w:rPr>
        <w:fldChar w:fldCharType="separate"/>
      </w:r>
      <w:r w:rsidR="008423FB">
        <w:rPr>
          <w:noProof/>
          <w:color w:val="000000"/>
          <w:lang w:val="en"/>
        </w:rPr>
        <w:t>(</w:t>
      </w:r>
      <w:hyperlink w:anchor="_ENREF_208" w:tooltip="Kesisis, 2010 #5794" w:history="1">
        <w:r w:rsidR="004A784D">
          <w:rPr>
            <w:noProof/>
            <w:color w:val="000000"/>
            <w:lang w:val="en"/>
          </w:rPr>
          <w:t>Kesisis et al., 2010</w:t>
        </w:r>
      </w:hyperlink>
      <w:r w:rsidR="008423FB">
        <w:rPr>
          <w:noProof/>
          <w:color w:val="000000"/>
          <w:lang w:val="en"/>
        </w:rPr>
        <w:t>)</w:t>
      </w:r>
      <w:r w:rsidR="008423FB">
        <w:rPr>
          <w:color w:val="000000"/>
          <w:lang w:val="en"/>
        </w:rPr>
        <w:fldChar w:fldCharType="end"/>
      </w:r>
      <w:r w:rsidRPr="006D1BB9">
        <w:rPr>
          <w:color w:val="000000"/>
          <w:lang w:val="en"/>
        </w:rPr>
        <w:t>. Consequently, lipid and protein spectra will change.</w:t>
      </w:r>
      <w:r w:rsidR="00696D44">
        <w:rPr>
          <w:color w:val="000000"/>
          <w:lang w:val="en"/>
        </w:rPr>
        <w:t xml:space="preserve"> </w:t>
      </w:r>
      <w:r w:rsidRPr="006D1BB9">
        <w:rPr>
          <w:color w:val="000000"/>
          <w:lang w:val="en"/>
        </w:rPr>
        <w:t xml:space="preserve">It is therefore tempting to speculate that these SAA, ZAG </w:t>
      </w:r>
      <w:r>
        <w:rPr>
          <w:color w:val="000000"/>
          <w:lang w:val="en"/>
        </w:rPr>
        <w:t xml:space="preserve">with </w:t>
      </w:r>
      <w:r w:rsidRPr="001A6261">
        <w:rPr>
          <w:color w:val="000000"/>
        </w:rPr>
        <w:t xml:space="preserve">lipid mobilization </w:t>
      </w:r>
      <w:r>
        <w:rPr>
          <w:color w:val="000000"/>
        </w:rPr>
        <w:lastRenderedPageBreak/>
        <w:t xml:space="preserve">properties </w:t>
      </w:r>
      <w:r w:rsidRPr="006D1BB9">
        <w:rPr>
          <w:color w:val="000000"/>
          <w:lang w:val="en"/>
        </w:rPr>
        <w:t>might also predict prognosis advanced malignancies</w:t>
      </w:r>
      <w:r w:rsidR="008423FB">
        <w:rPr>
          <w:color w:val="000000"/>
          <w:lang w:val="en"/>
        </w:rPr>
        <w:t xml:space="preserve"> </w:t>
      </w:r>
      <w:r w:rsidR="008423FB">
        <w:rPr>
          <w:color w:val="000000"/>
          <w:lang w:val="en"/>
        </w:rPr>
        <w:fldChar w:fldCharType="begin">
          <w:fldData xml:space="preserve">PEVuZE5vdGU+PENpdGU+PEF1dGhvcj5Tb2xvbW9uPC9BdXRob3I+PFllYXI+MjAxMTwvWWVhcj48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</w:fldData>
        </w:fldChar>
      </w:r>
      <w:r w:rsidR="00F42146">
        <w:rPr>
          <w:color w:val="000000"/>
          <w:lang w:val="en"/>
        </w:rPr>
        <w:instrText xml:space="preserve"> ADDIN EN.CITE </w:instrText>
      </w:r>
      <w:r w:rsidR="00F42146">
        <w:rPr>
          <w:color w:val="000000"/>
          <w:lang w:val="en"/>
        </w:rPr>
        <w:fldChar w:fldCharType="begin">
          <w:fldData xml:space="preserve">PEVuZE5vdGU+PENpdGU+PEF1dGhvcj5Tb2xvbW9uPC9BdXRob3I+PFllYXI+MjAxMTwvWWVhcj48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</w:fldData>
        </w:fldChar>
      </w:r>
      <w:r w:rsidR="00F42146">
        <w:rPr>
          <w:color w:val="000000"/>
          <w:lang w:val="en"/>
        </w:rPr>
        <w:instrText xml:space="preserve"> ADDIN EN.CITE.DATA </w:instrText>
      </w:r>
      <w:r w:rsidR="00F42146">
        <w:rPr>
          <w:color w:val="000000"/>
          <w:lang w:val="en"/>
        </w:rPr>
      </w:r>
      <w:r w:rsidR="00F42146">
        <w:rPr>
          <w:color w:val="000000"/>
          <w:lang w:val="en"/>
        </w:rPr>
        <w:fldChar w:fldCharType="end"/>
      </w:r>
      <w:r w:rsidR="008423FB">
        <w:rPr>
          <w:color w:val="000000"/>
          <w:lang w:val="en"/>
        </w:rPr>
      </w:r>
      <w:r w:rsidR="008423FB">
        <w:rPr>
          <w:color w:val="000000"/>
          <w:lang w:val="en"/>
        </w:rPr>
        <w:fldChar w:fldCharType="separate"/>
      </w:r>
      <w:r w:rsidR="00F42146">
        <w:rPr>
          <w:noProof/>
          <w:color w:val="000000"/>
          <w:lang w:val="en"/>
        </w:rPr>
        <w:t>(</w:t>
      </w:r>
      <w:hyperlink w:anchor="_ENREF_396" w:tooltip="Solomon, 2011 #6118" w:history="1">
        <w:r w:rsidR="004A784D">
          <w:rPr>
            <w:noProof/>
            <w:color w:val="000000"/>
            <w:lang w:val="en"/>
          </w:rPr>
          <w:t>Solomon and Freeman, 2011</w:t>
        </w:r>
      </w:hyperlink>
      <w:r w:rsidR="00F42146">
        <w:rPr>
          <w:noProof/>
          <w:color w:val="000000"/>
          <w:lang w:val="en"/>
        </w:rPr>
        <w:t xml:space="preserve">, </w:t>
      </w:r>
      <w:hyperlink w:anchor="_ENREF_77" w:tooltip="Clarke, 2011 #6129" w:history="1">
        <w:r w:rsidR="004A784D">
          <w:rPr>
            <w:noProof/>
            <w:color w:val="000000"/>
            <w:lang w:val="en"/>
          </w:rPr>
          <w:t>Clarke et al., 2011</w:t>
        </w:r>
      </w:hyperlink>
      <w:r w:rsidR="00F42146">
        <w:rPr>
          <w:noProof/>
          <w:color w:val="000000"/>
          <w:lang w:val="en"/>
        </w:rPr>
        <w:t xml:space="preserve">, </w:t>
      </w:r>
      <w:hyperlink w:anchor="_ENREF_342" w:tooltip="Retrosi, 2011 #6135" w:history="1">
        <w:r w:rsidR="004A784D">
          <w:rPr>
            <w:noProof/>
            <w:color w:val="000000"/>
            <w:lang w:val="en"/>
          </w:rPr>
          <w:t>Retrosi et al., 2011</w:t>
        </w:r>
      </w:hyperlink>
      <w:r w:rsidR="00F42146">
        <w:rPr>
          <w:noProof/>
          <w:color w:val="000000"/>
          <w:lang w:val="en"/>
        </w:rPr>
        <w:t>)</w:t>
      </w:r>
      <w:r w:rsidR="008423FB">
        <w:rPr>
          <w:color w:val="000000"/>
          <w:lang w:val="en"/>
        </w:rPr>
        <w:fldChar w:fldCharType="end"/>
      </w:r>
      <w:r w:rsidRPr="006D1BB9">
        <w:rPr>
          <w:color w:val="000000"/>
          <w:lang w:val="en"/>
        </w:rPr>
        <w:t>.</w:t>
      </w:r>
    </w:p>
    <w:p w:rsidR="00740A6F" w:rsidRDefault="00740A6F"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The mechanism of action of thalidomide and its analogues is mediated through modulation of the cells of the microenvironment, anti-inflammatory and immunomodulatory effects.  These include down-regulation of stromal cell adhesion molecules, inhibition of secretion of angiogenic and survival growth factors, pleiotropic immunomodulatory effects including inhibition of tumour necrosis factor -alpha secretion, stimulation of IL2 and </w:t>
      </w:r>
      <w:r w:rsidRPr="001A6261">
        <w:rPr>
          <w:rStyle w:val="Emphasis"/>
          <w:i w:val="0"/>
          <w:color w:val="000000"/>
        </w:rPr>
        <w:t>Interferon-gamma</w:t>
      </w:r>
      <w:r w:rsidRPr="001A6261">
        <w:rPr>
          <w:color w:val="000000"/>
        </w:rPr>
        <w:t xml:space="preserve">. Cellular targets include lymphocytes, monocytes, and NK cells. </w:t>
      </w:r>
      <w:r w:rsidRPr="004E0C50">
        <w:rPr>
          <w:color w:val="000000"/>
        </w:rPr>
        <w:t xml:space="preserve">Interestingly, </w:t>
      </w:r>
      <w:r>
        <w:rPr>
          <w:color w:val="000000"/>
        </w:rPr>
        <w:t>three</w:t>
      </w:r>
      <w:r w:rsidRPr="004E0C50">
        <w:rPr>
          <w:color w:val="000000"/>
        </w:rPr>
        <w:t xml:space="preserve"> of the five</w:t>
      </w:r>
      <w:r>
        <w:rPr>
          <w:color w:val="000000"/>
        </w:rPr>
        <w:t xml:space="preserve"> </w:t>
      </w:r>
      <w:r w:rsidRPr="004E0C50">
        <w:rPr>
          <w:color w:val="000000"/>
        </w:rPr>
        <w:t>proteins with increased concentration in non-responders to</w:t>
      </w:r>
      <w:r>
        <w:rPr>
          <w:color w:val="000000"/>
        </w:rPr>
        <w:t xml:space="preserve"> </w:t>
      </w:r>
      <w:r w:rsidRPr="004E0C50">
        <w:rPr>
          <w:color w:val="000000"/>
        </w:rPr>
        <w:t>thalidomide are acute phase reactants. However, Hp and</w:t>
      </w:r>
      <w:r>
        <w:rPr>
          <w:color w:val="000000"/>
        </w:rPr>
        <w:t xml:space="preserve"> </w:t>
      </w:r>
      <w:r w:rsidRPr="004E0C50">
        <w:rPr>
          <w:color w:val="000000"/>
        </w:rPr>
        <w:t>CRP, two significant acute phase proteins, were not found to</w:t>
      </w:r>
      <w:r>
        <w:rPr>
          <w:color w:val="000000"/>
        </w:rPr>
        <w:t xml:space="preserve"> </w:t>
      </w:r>
      <w:r w:rsidRPr="004E0C50">
        <w:rPr>
          <w:color w:val="000000"/>
        </w:rPr>
        <w:t>be of higher abundance in the non-responder group so it is</w:t>
      </w:r>
      <w:r>
        <w:rPr>
          <w:color w:val="000000"/>
        </w:rPr>
        <w:t xml:space="preserve"> </w:t>
      </w:r>
      <w:r w:rsidRPr="004E0C50">
        <w:rPr>
          <w:color w:val="000000"/>
        </w:rPr>
        <w:t>unclear if the response is related to acute phase or immune</w:t>
      </w:r>
      <w:r>
        <w:rPr>
          <w:color w:val="000000"/>
        </w:rPr>
        <w:t xml:space="preserve"> </w:t>
      </w:r>
      <w:r w:rsidRPr="004E0C50">
        <w:rPr>
          <w:color w:val="000000"/>
        </w:rPr>
        <w:t>response.</w:t>
      </w:r>
      <w:r>
        <w:rPr>
          <w:color w:val="000000"/>
        </w:rPr>
        <w:t xml:space="preserve"> However, </w:t>
      </w:r>
      <w:r>
        <w:rPr>
          <w:bCs/>
          <w:color w:val="000000"/>
        </w:rPr>
        <w:t>i</w:t>
      </w:r>
      <w:r w:rsidRPr="001A6261">
        <w:rPr>
          <w:bCs/>
          <w:color w:val="000000"/>
        </w:rPr>
        <w:t xml:space="preserve">t appears that </w:t>
      </w:r>
      <w:r w:rsidRPr="006F4D2B">
        <w:rPr>
          <w:bCs/>
          <w:i/>
          <w:color w:val="000000"/>
        </w:rPr>
        <w:t>in vivo</w:t>
      </w:r>
      <w:r w:rsidRPr="001A6261">
        <w:rPr>
          <w:bCs/>
          <w:color w:val="000000"/>
        </w:rPr>
        <w:t xml:space="preserve"> the MM patients with a</w:t>
      </w:r>
      <w:r>
        <w:rPr>
          <w:bCs/>
          <w:color w:val="000000"/>
        </w:rPr>
        <w:t>n</w:t>
      </w:r>
      <w:r w:rsidRPr="001A6261">
        <w:rPr>
          <w:bCs/>
          <w:color w:val="000000"/>
        </w:rPr>
        <w:t xml:space="preserve"> </w:t>
      </w:r>
      <w:r>
        <w:rPr>
          <w:bCs/>
          <w:color w:val="000000"/>
        </w:rPr>
        <w:t>activated</w:t>
      </w:r>
      <w:r w:rsidRPr="001A6261">
        <w:rPr>
          <w:bCs/>
          <w:color w:val="000000"/>
        </w:rPr>
        <w:t xml:space="preserve"> immune system seem to benefit less from thalidomide based therapy</w:t>
      </w:r>
      <w:r w:rsidR="008E71E8">
        <w:rPr>
          <w:bCs/>
          <w:color w:val="000000"/>
        </w:rPr>
        <w:t xml:space="preserve"> </w:t>
      </w:r>
      <w:r w:rsidR="008E71E8" w:rsidRPr="001A6261">
        <w:t xml:space="preserve"> </w:t>
      </w:r>
      <w:r w:rsidR="008E71E8" w:rsidRPr="001A6261">
        <w:fldChar w:fldCharType="begin">
          <w:fldData xml:space="preserve">PEVuZE5vdGU+PENpdGU+PEF1dGhvcj5TemU8L0F1dGhvcj48WWVhcj4yMDA2PC9ZZWFyPjxSZWNO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</w:fldData>
        </w:fldChar>
      </w:r>
      <w:r w:rsidR="008E71E8">
        <w:instrText xml:space="preserve"> ADDIN EN.CITE </w:instrText>
      </w:r>
      <w:r w:rsidR="008E71E8">
        <w:fldChar w:fldCharType="begin">
          <w:fldData xml:space="preserve">PEVuZE5vdGU+PENpdGU+PEF1dGhvcj5TemU8L0F1dGhvcj48WWVhcj4yMDA2PC9ZZWFyPjxSZWNO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</w:fldData>
        </w:fldChar>
      </w:r>
      <w:r w:rsidR="008E71E8">
        <w:instrText xml:space="preserve"> ADDIN EN.CITE.DATA </w:instrText>
      </w:r>
      <w:r w:rsidR="008E71E8">
        <w:fldChar w:fldCharType="end"/>
      </w:r>
      <w:r w:rsidR="008E71E8" w:rsidRPr="001A6261">
        <w:fldChar w:fldCharType="separate"/>
      </w:r>
      <w:r w:rsidR="008E71E8">
        <w:rPr>
          <w:noProof/>
        </w:rPr>
        <w:t>(</w:t>
      </w:r>
      <w:hyperlink w:anchor="_ENREF_408" w:tooltip="Sze, 2006 #4924" w:history="1">
        <w:r w:rsidR="004A784D">
          <w:rPr>
            <w:noProof/>
          </w:rPr>
          <w:t>Sze et al., 2006</w:t>
        </w:r>
      </w:hyperlink>
      <w:r w:rsidR="008E71E8">
        <w:rPr>
          <w:noProof/>
        </w:rPr>
        <w:t xml:space="preserve">, </w:t>
      </w:r>
      <w:hyperlink w:anchor="_ENREF_313" w:tooltip="Palumbo, 2008 #5005" w:history="1">
        <w:r w:rsidR="004A784D">
          <w:rPr>
            <w:noProof/>
          </w:rPr>
          <w:t>Palumbo et al., 2008b</w:t>
        </w:r>
      </w:hyperlink>
      <w:r w:rsidR="008E71E8">
        <w:rPr>
          <w:noProof/>
        </w:rPr>
        <w:t xml:space="preserve">, </w:t>
      </w:r>
      <w:hyperlink w:anchor="_ENREF_21" w:tooltip="Anderson, 2005 #6" w:history="1">
        <w:r w:rsidR="004A784D">
          <w:rPr>
            <w:noProof/>
          </w:rPr>
          <w:t>Anderson, 2005</w:t>
        </w:r>
      </w:hyperlink>
      <w:r w:rsidR="008E71E8">
        <w:rPr>
          <w:noProof/>
        </w:rPr>
        <w:t xml:space="preserve">, </w:t>
      </w:r>
      <w:hyperlink w:anchor="_ENREF_457" w:tooltip="Yasui, 2005 #3979" w:history="1">
        <w:r w:rsidR="004A784D">
          <w:rPr>
            <w:noProof/>
          </w:rPr>
          <w:t>Yasui et al., 2005</w:t>
        </w:r>
      </w:hyperlink>
      <w:r w:rsidR="008E71E8">
        <w:rPr>
          <w:noProof/>
        </w:rPr>
        <w:t xml:space="preserve">, </w:t>
      </w:r>
      <w:hyperlink w:anchor="_ENREF_147" w:tooltip="Gockel, 2004 #1" w:history="1">
        <w:r w:rsidR="004A784D">
          <w:rPr>
            <w:noProof/>
          </w:rPr>
          <w:t>Gockel et al., 2004</w:t>
        </w:r>
      </w:hyperlink>
      <w:r w:rsidR="008E71E8">
        <w:rPr>
          <w:noProof/>
        </w:rPr>
        <w:t xml:space="preserve">, </w:t>
      </w:r>
      <w:hyperlink w:anchor="_ENREF_428" w:tooltip="Vallet, 2008 #8" w:history="1">
        <w:r w:rsidR="004A784D">
          <w:rPr>
            <w:noProof/>
          </w:rPr>
          <w:t>Vallet et al., 2008</w:t>
        </w:r>
      </w:hyperlink>
      <w:r w:rsidR="008E71E8">
        <w:rPr>
          <w:noProof/>
        </w:rPr>
        <w:t>)</w:t>
      </w:r>
      <w:r w:rsidR="008E71E8" w:rsidRPr="001A6261">
        <w:fldChar w:fldCharType="end"/>
      </w:r>
      <w:r w:rsidRPr="001A6261">
        <w:rPr>
          <w:bCs/>
          <w:color w:val="000000"/>
        </w:rPr>
        <w:t xml:space="preserve">. </w:t>
      </w:r>
    </w:p>
    <w:p w:rsidR="00B61503" w:rsidRDefault="00B61503" w:rsidP="00645687">
      <w:pPr>
        <w:pStyle w:val="Heading2"/>
        <w:numPr>
          <w:ilvl w:val="3"/>
          <w:numId w:val="19"/>
        </w:numPr>
      </w:pPr>
      <w:r w:rsidRPr="001A6261">
        <w:rPr>
          <w:sz w:val="24"/>
          <w:szCs w:val="24"/>
        </w:rPr>
        <w:br w:type="page"/>
      </w:r>
      <w:bookmarkStart w:id="1914" w:name="_Toc302582443"/>
      <w:bookmarkStart w:id="1915" w:name="_Toc305690093"/>
      <w:bookmarkStart w:id="1916" w:name="_Toc306570785"/>
      <w:bookmarkStart w:id="1917" w:name="_Toc307067845"/>
      <w:bookmarkStart w:id="1918" w:name="_Toc312169412"/>
      <w:bookmarkStart w:id="1919" w:name="_Toc312172339"/>
      <w:bookmarkStart w:id="1920" w:name="_Toc312257888"/>
      <w:r w:rsidRPr="009569A4">
        <w:lastRenderedPageBreak/>
        <w:t>Zinc alpha 2-glycoprotein (ZAG)</w:t>
      </w:r>
      <w:bookmarkEnd w:id="1914"/>
      <w:bookmarkEnd w:id="1915"/>
      <w:bookmarkEnd w:id="1916"/>
      <w:bookmarkEnd w:id="1917"/>
      <w:bookmarkEnd w:id="1918"/>
      <w:bookmarkEnd w:id="1919"/>
      <w:bookmarkEnd w:id="1920"/>
    </w:p>
    <w:p w:rsidR="00856253" w:rsidRDefault="00B61503" w:rsidP="00000025">
      <w:pPr>
        <w:spacing w:before="240" w:line="360" w:lineRule="auto"/>
        <w:jc w:val="both"/>
        <w:rPr>
          <w:color w:val="000000"/>
        </w:rPr>
      </w:pPr>
      <w:r>
        <w:rPr>
          <w:color w:val="000000"/>
        </w:rPr>
        <w:t xml:space="preserve">ZAG, </w:t>
      </w:r>
      <w:r w:rsidRPr="001A6261">
        <w:rPr>
          <w:color w:val="000000"/>
        </w:rPr>
        <w:t xml:space="preserve">a soluble 41kDa glycoprotein belonging to the immunoglobulin protein family </w:t>
      </w:r>
      <w:r w:rsidR="009A0512">
        <w:rPr>
          <w:color w:val="000000"/>
        </w:rPr>
        <w:t>is involve</w:t>
      </w:r>
      <w:r>
        <w:rPr>
          <w:color w:val="000000"/>
        </w:rPr>
        <w:t xml:space="preserve"> in</w:t>
      </w:r>
      <w:r w:rsidRPr="001A6261">
        <w:rPr>
          <w:color w:val="000000"/>
        </w:rPr>
        <w:t xml:space="preserve"> many important </w:t>
      </w:r>
      <w:r>
        <w:rPr>
          <w:color w:val="000000"/>
        </w:rPr>
        <w:t xml:space="preserve">body </w:t>
      </w:r>
      <w:r w:rsidRPr="001A6261">
        <w:rPr>
          <w:color w:val="000000"/>
        </w:rPr>
        <w:t>functions including fer</w:t>
      </w:r>
      <w:r>
        <w:rPr>
          <w:color w:val="000000"/>
        </w:rPr>
        <w:t xml:space="preserve">tilization, </w:t>
      </w:r>
      <w:r w:rsidRPr="001A6261">
        <w:rPr>
          <w:color w:val="000000"/>
        </w:rPr>
        <w:t xml:space="preserve">lipid mobilization and </w:t>
      </w:r>
      <w:r>
        <w:rPr>
          <w:color w:val="000000"/>
        </w:rPr>
        <w:t>weight loss secondary to</w:t>
      </w:r>
      <w:r w:rsidRPr="001A6261">
        <w:rPr>
          <w:color w:val="000000"/>
        </w:rPr>
        <w:t xml:space="preserve"> cancers. After the discovery of this molecule, during the last 5 decades, various studies have been documented on its structure and functions, but still, it is considered as a protein with an unknown function. Its expression </w:t>
      </w:r>
      <w:r w:rsidR="00F42146">
        <w:rPr>
          <w:color w:val="000000"/>
        </w:rPr>
        <w:t>is regulated by glucocorticoids</w:t>
      </w:r>
      <w:r w:rsidR="00F42146" w:rsidRPr="00F42146">
        <w:rPr>
          <w:color w:val="000000"/>
        </w:rPr>
        <w:t xml:space="preserve"> </w:t>
      </w:r>
      <w:r w:rsidR="00F42146">
        <w:rPr>
          <w:color w:val="000000"/>
        </w:rPr>
        <w:fldChar w:fldCharType="begin">
          <w:fldData xml:space="preserve">PEVuZE5vdGU+PENpdGU+PEF1dGhvcj5IYXNzYW48L0F1dGhvcj48WWVhcj4yMDA4PC9ZZWFyPjxS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</w:fldData>
        </w:fldChar>
      </w:r>
      <w:r w:rsidR="00F42146">
        <w:rPr>
          <w:color w:val="000000"/>
        </w:rPr>
        <w:instrText xml:space="preserve"> ADDIN EN.CITE </w:instrText>
      </w:r>
      <w:r w:rsidR="00F42146">
        <w:rPr>
          <w:color w:val="000000"/>
        </w:rPr>
        <w:fldChar w:fldCharType="begin">
          <w:fldData xml:space="preserve">PEVuZE5vdGU+PENpdGU+PEF1dGhvcj5IYXNzYW48L0F1dGhvcj48WWVhcj4yMDA4PC9ZZWFyPjxS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</w:fldData>
        </w:fldChar>
      </w:r>
      <w:r w:rsidR="00F42146">
        <w:rPr>
          <w:color w:val="000000"/>
        </w:rPr>
        <w:instrText xml:space="preserve"> ADDIN EN.CITE.DATA </w:instrText>
      </w:r>
      <w:r w:rsidR="00F42146">
        <w:rPr>
          <w:color w:val="000000"/>
        </w:rPr>
      </w:r>
      <w:r w:rsidR="00F42146">
        <w:rPr>
          <w:color w:val="000000"/>
        </w:rPr>
        <w:fldChar w:fldCharType="end"/>
      </w:r>
      <w:r w:rsidR="00F42146">
        <w:rPr>
          <w:color w:val="000000"/>
        </w:rPr>
      </w:r>
      <w:r w:rsidR="00F42146">
        <w:rPr>
          <w:color w:val="000000"/>
        </w:rPr>
        <w:fldChar w:fldCharType="separate"/>
      </w:r>
      <w:r w:rsidR="00F42146">
        <w:rPr>
          <w:noProof/>
          <w:color w:val="000000"/>
        </w:rPr>
        <w:t>(</w:t>
      </w:r>
      <w:hyperlink w:anchor="_ENREF_167" w:tooltip="Hassan, 2008 #6284" w:history="1">
        <w:r w:rsidR="004A784D">
          <w:rPr>
            <w:noProof/>
            <w:color w:val="000000"/>
          </w:rPr>
          <w:t>Hassan et al., 2008</w:t>
        </w:r>
      </w:hyperlink>
      <w:r w:rsidR="00F42146">
        <w:rPr>
          <w:noProof/>
          <w:color w:val="000000"/>
        </w:rPr>
        <w:t xml:space="preserve">, </w:t>
      </w:r>
      <w:hyperlink w:anchor="_ENREF_419" w:tooltip="Tisdale, 2010 #6269" w:history="1">
        <w:r w:rsidR="004A784D">
          <w:rPr>
            <w:noProof/>
            <w:color w:val="000000"/>
          </w:rPr>
          <w:t>Tisdale, 2010</w:t>
        </w:r>
      </w:hyperlink>
      <w:r w:rsidR="00F42146">
        <w:rPr>
          <w:noProof/>
          <w:color w:val="000000"/>
        </w:rPr>
        <w:t xml:space="preserve">, </w:t>
      </w:r>
      <w:hyperlink w:anchor="_ENREF_358" w:tooltip="Russell, 2005 #6314" w:history="1">
        <w:r w:rsidR="004A784D">
          <w:rPr>
            <w:noProof/>
            <w:color w:val="000000"/>
          </w:rPr>
          <w:t>Russell and Tisdale, 2005</w:t>
        </w:r>
      </w:hyperlink>
      <w:r w:rsidR="00F42146">
        <w:rPr>
          <w:noProof/>
          <w:color w:val="000000"/>
        </w:rPr>
        <w:t>)</w:t>
      </w:r>
      <w:r w:rsidR="00F42146">
        <w:rPr>
          <w:color w:val="000000"/>
        </w:rPr>
        <w:fldChar w:fldCharType="end"/>
      </w:r>
      <w:r w:rsidRPr="001A6261">
        <w:rPr>
          <w:color w:val="000000"/>
        </w:rPr>
        <w:t xml:space="preserve"> </w:t>
      </w:r>
    </w:p>
    <w:p w:rsidR="00856253" w:rsidRDefault="00856253" w:rsidP="00057B42">
      <w:pPr>
        <w:spacing w:line="360" w:lineRule="auto"/>
        <w:jc w:val="both"/>
        <w:rPr>
          <w:color w:val="000000"/>
        </w:rPr>
      </w:pPr>
    </w:p>
    <w:p w:rsidR="00CA48C1" w:rsidRDefault="00B61503" w:rsidP="00057B42">
      <w:pPr>
        <w:spacing w:line="360" w:lineRule="auto"/>
        <w:jc w:val="both"/>
        <w:rPr>
          <w:color w:val="000000"/>
        </w:rPr>
      </w:pPr>
      <w:r w:rsidRPr="001A6261">
        <w:rPr>
          <w:color w:val="000000"/>
        </w:rPr>
        <w:t xml:space="preserve">Due to its high sequence homology with lipid-mobilizing factor and high expression in cancer cachexia, it is considered as a novel adipokine. </w:t>
      </w:r>
      <w:r>
        <w:rPr>
          <w:color w:val="000000"/>
        </w:rPr>
        <w:t>ZAG</w:t>
      </w:r>
      <w:r w:rsidRPr="001A6261">
        <w:rPr>
          <w:color w:val="000000"/>
        </w:rPr>
        <w:t xml:space="preserve"> structural organization and </w:t>
      </w:r>
      <w:r>
        <w:rPr>
          <w:color w:val="000000"/>
        </w:rPr>
        <w:t xml:space="preserve">biochemical structural </w:t>
      </w:r>
      <w:r w:rsidRPr="001A6261">
        <w:rPr>
          <w:color w:val="000000"/>
        </w:rPr>
        <w:t xml:space="preserve">fold is similar to MHC class I antigen-presenting molecule; hence, ZAG may have a role in the manifestation of the immune response which can </w:t>
      </w:r>
      <w:r>
        <w:rPr>
          <w:color w:val="000000"/>
        </w:rPr>
        <w:t>influence</w:t>
      </w:r>
      <w:r w:rsidRPr="001A6261">
        <w:rPr>
          <w:color w:val="000000"/>
        </w:rPr>
        <w:t xml:space="preserve"> response to immune modulator</w:t>
      </w:r>
      <w:r>
        <w:rPr>
          <w:color w:val="000000"/>
        </w:rPr>
        <w:t>y</w:t>
      </w:r>
      <w:r w:rsidR="00042F0A">
        <w:rPr>
          <w:color w:val="000000"/>
        </w:rPr>
        <w:t xml:space="preserve"> anti-myeloma therapies such as</w:t>
      </w:r>
      <w:r w:rsidRPr="001A6261">
        <w:rPr>
          <w:color w:val="000000"/>
        </w:rPr>
        <w:t xml:space="preserve"> thalidomide. ZAG is found in wide variety of body fluids such as serum, sweat, and seminal and breast cyst fluids</w:t>
      </w:r>
      <w:r w:rsidR="00A225EB">
        <w:rPr>
          <w:color w:val="000000"/>
        </w:rPr>
        <w:t xml:space="preserve"> </w:t>
      </w:r>
      <w:r w:rsidR="00F42146">
        <w:rPr>
          <w:color w:val="000000"/>
        </w:rPr>
        <w:fldChar w:fldCharType="begin">
          <w:fldData xml:space="preserve">PEVuZE5vdGU+PENpdGU+PEF1dGhvcj5BYmR1bC1SYWhtYW48L0F1dGhvcj48WWVhcj4yMDA3PC9Z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</w:fldData>
        </w:fldChar>
      </w:r>
      <w:r w:rsidR="00F42146">
        <w:rPr>
          <w:color w:val="000000"/>
        </w:rPr>
        <w:instrText xml:space="preserve"> ADDIN EN.CITE </w:instrText>
      </w:r>
      <w:r w:rsidR="00F42146">
        <w:rPr>
          <w:color w:val="000000"/>
        </w:rPr>
        <w:fldChar w:fldCharType="begin">
          <w:fldData xml:space="preserve">PEVuZE5vdGU+PENpdGU+PEF1dGhvcj5BYmR1bC1SYWhtYW48L0F1dGhvcj48WWVhcj4yMDA3PC9Z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</w:fldData>
        </w:fldChar>
      </w:r>
      <w:r w:rsidR="00F42146">
        <w:rPr>
          <w:color w:val="000000"/>
        </w:rPr>
        <w:instrText xml:space="preserve"> ADDIN EN.CITE.DATA </w:instrText>
      </w:r>
      <w:r w:rsidR="00F42146">
        <w:rPr>
          <w:color w:val="000000"/>
        </w:rPr>
      </w:r>
      <w:r w:rsidR="00F42146">
        <w:rPr>
          <w:color w:val="000000"/>
        </w:rPr>
        <w:fldChar w:fldCharType="end"/>
      </w:r>
      <w:r w:rsidR="00F42146">
        <w:rPr>
          <w:color w:val="000000"/>
        </w:rPr>
      </w:r>
      <w:r w:rsidR="00F42146">
        <w:rPr>
          <w:color w:val="000000"/>
        </w:rPr>
        <w:fldChar w:fldCharType="separate"/>
      </w:r>
      <w:r w:rsidR="00F42146">
        <w:rPr>
          <w:noProof/>
          <w:color w:val="000000"/>
        </w:rPr>
        <w:t>(</w:t>
      </w:r>
      <w:hyperlink w:anchor="_ENREF_2" w:tooltip="Abdul-Rahman, 2007 #6290" w:history="1">
        <w:r w:rsidR="004A784D">
          <w:rPr>
            <w:noProof/>
            <w:color w:val="000000"/>
          </w:rPr>
          <w:t>Abdul-Rahman et al., 2007</w:t>
        </w:r>
      </w:hyperlink>
      <w:r w:rsidR="00F42146">
        <w:rPr>
          <w:noProof/>
          <w:color w:val="000000"/>
        </w:rPr>
        <w:t xml:space="preserve">, </w:t>
      </w:r>
      <w:hyperlink w:anchor="_ENREF_170" w:tooltip="Henshall, 2006 #6295" w:history="1">
        <w:r w:rsidR="004A784D">
          <w:rPr>
            <w:noProof/>
            <w:color w:val="000000"/>
          </w:rPr>
          <w:t>Henshall et al., 2006</w:t>
        </w:r>
      </w:hyperlink>
      <w:r w:rsidR="00F42146">
        <w:rPr>
          <w:noProof/>
          <w:color w:val="000000"/>
        </w:rPr>
        <w:t>)</w:t>
      </w:r>
      <w:r w:rsidR="00F42146">
        <w:rPr>
          <w:color w:val="000000"/>
        </w:rPr>
        <w:fldChar w:fldCharType="end"/>
      </w:r>
      <w:r w:rsidR="00A225EB">
        <w:rPr>
          <w:color w:val="000000"/>
        </w:rPr>
        <w:t>.</w:t>
      </w:r>
    </w:p>
    <w:p w:rsidR="00CA48C1" w:rsidRDefault="00CA48C1"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There are several </w:t>
      </w:r>
      <w:r>
        <w:rPr>
          <w:color w:val="000000"/>
        </w:rPr>
        <w:t>other</w:t>
      </w:r>
      <w:r w:rsidRPr="001A6261">
        <w:rPr>
          <w:color w:val="000000"/>
        </w:rPr>
        <w:t xml:space="preserve"> functions that are attributed to ZAG, such </w:t>
      </w:r>
      <w:r w:rsidR="001C253B">
        <w:rPr>
          <w:color w:val="000000"/>
        </w:rPr>
        <w:t>as delaying tumor proliferation</w:t>
      </w:r>
      <w:r w:rsidRPr="001A6261">
        <w:rPr>
          <w:color w:val="000000"/>
        </w:rPr>
        <w:t xml:space="preserve"> </w:t>
      </w:r>
      <w:r w:rsidRPr="001A6261">
        <w:rPr>
          <w:color w:val="000000"/>
        </w:rPr>
        <w:fldChar w:fldCharType="begin">
          <w:fldData xml:space="preserve">PEVuZE5vdGU+PENpdGU+PEF1dGhvcj5IYXNzYW48L0F1dGhvcj48WWVhcj4yMDA4PC9ZZWFyPjxS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</w:fldData>
        </w:fldChar>
      </w:r>
      <w:r w:rsidR="00F42146">
        <w:rPr>
          <w:color w:val="000000"/>
        </w:rPr>
        <w:instrText xml:space="preserve"> ADDIN EN.CITE </w:instrText>
      </w:r>
      <w:r w:rsidR="00F42146">
        <w:rPr>
          <w:color w:val="000000"/>
        </w:rPr>
        <w:fldChar w:fldCharType="begin">
          <w:fldData xml:space="preserve">PEVuZE5vdGU+PENpdGU+PEF1dGhvcj5IYXNzYW48L0F1dGhvcj48WWVhcj4yMDA4PC9ZZWFyPjxS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</w:fldData>
        </w:fldChar>
      </w:r>
      <w:r w:rsidR="00F42146">
        <w:rPr>
          <w:color w:val="000000"/>
        </w:rPr>
        <w:instrText xml:space="preserve"> ADDIN EN.CITE.DATA </w:instrText>
      </w:r>
      <w:r w:rsidR="00F42146">
        <w:rPr>
          <w:color w:val="000000"/>
        </w:rPr>
      </w:r>
      <w:r w:rsidR="00F42146">
        <w:rPr>
          <w:color w:val="000000"/>
        </w:rPr>
        <w:fldChar w:fldCharType="end"/>
      </w:r>
      <w:r w:rsidRPr="001A6261">
        <w:rPr>
          <w:color w:val="000000"/>
        </w:rPr>
      </w:r>
      <w:r w:rsidRPr="001A6261">
        <w:rPr>
          <w:color w:val="000000"/>
        </w:rPr>
        <w:fldChar w:fldCharType="separate"/>
      </w:r>
      <w:r w:rsidR="006F41FE">
        <w:rPr>
          <w:noProof/>
          <w:color w:val="000000"/>
        </w:rPr>
        <w:t>(</w:t>
      </w:r>
      <w:hyperlink w:anchor="_ENREF_167" w:tooltip="Hassan, 2008 #6284" w:history="1">
        <w:r w:rsidR="004A784D">
          <w:rPr>
            <w:noProof/>
            <w:color w:val="000000"/>
          </w:rPr>
          <w:t>Hassan et al., 2008</w:t>
        </w:r>
      </w:hyperlink>
      <w:r w:rsidR="006F41FE">
        <w:rPr>
          <w:noProof/>
          <w:color w:val="000000"/>
        </w:rPr>
        <w:t xml:space="preserve">, </w:t>
      </w:r>
      <w:hyperlink w:anchor="_ENREF_33" w:tooltip="Bao, 2005 #6316" w:history="1">
        <w:r w:rsidR="004A784D">
          <w:rPr>
            <w:noProof/>
            <w:color w:val="000000"/>
          </w:rPr>
          <w:t>Bao et al., 2005</w:t>
        </w:r>
      </w:hyperlink>
      <w:r w:rsidR="006F41FE">
        <w:rPr>
          <w:noProof/>
          <w:color w:val="000000"/>
        </w:rPr>
        <w:t>)</w:t>
      </w:r>
      <w:r w:rsidRPr="001A6261">
        <w:rPr>
          <w:color w:val="000000"/>
        </w:rPr>
        <w:fldChar w:fldCharType="end"/>
      </w:r>
      <w:r w:rsidRPr="001A6261">
        <w:rPr>
          <w:color w:val="000000"/>
        </w:rPr>
        <w:t xml:space="preserve">. The function of ZAG </w:t>
      </w:r>
      <w:r>
        <w:rPr>
          <w:color w:val="000000"/>
        </w:rPr>
        <w:t>in MM</w:t>
      </w:r>
      <w:r w:rsidRPr="001A6261">
        <w:rPr>
          <w:color w:val="000000"/>
        </w:rPr>
        <w:t xml:space="preserve"> remains </w:t>
      </w:r>
      <w:r>
        <w:rPr>
          <w:color w:val="000000"/>
        </w:rPr>
        <w:t>unknow</w:t>
      </w:r>
      <w:r w:rsidR="009A0512">
        <w:rPr>
          <w:color w:val="000000"/>
        </w:rPr>
        <w:t>n, but its serum level is altered</w:t>
      </w:r>
      <w:r w:rsidR="001C253B">
        <w:rPr>
          <w:color w:val="000000"/>
        </w:rPr>
        <w:t xml:space="preserve"> in many tumours</w:t>
      </w:r>
      <w:r w:rsidRPr="001A6261">
        <w:rPr>
          <w:color w:val="000000"/>
        </w:rPr>
        <w:t xml:space="preserve"> </w:t>
      </w:r>
      <w:r>
        <w:rPr>
          <w:color w:val="000000"/>
        </w:rPr>
        <w:fldChar w:fldCharType="begin">
          <w:fldData xml:space="preserve">PEVuZE5vdGU+PENpdGU+PEF1dGhvcj5IZW5zaGFsbDwvQXV0aG9yPjxZZWFyPjIwMDY8L1llYXI+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</w:fldData>
        </w:fldChar>
      </w:r>
      <w:r w:rsidR="00F42146">
        <w:rPr>
          <w:color w:val="000000"/>
        </w:rPr>
        <w:instrText xml:space="preserve"> ADDIN EN.CITE </w:instrText>
      </w:r>
      <w:r w:rsidR="00F42146">
        <w:rPr>
          <w:color w:val="000000"/>
        </w:rPr>
        <w:fldChar w:fldCharType="begin">
          <w:fldData xml:space="preserve">PEVuZE5vdGU+PENpdGU+PEF1dGhvcj5IZW5zaGFsbDwvQXV0aG9yPjxZZWFyPjIwMDY8L1llYXI+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</w:fldData>
        </w:fldChar>
      </w:r>
      <w:r w:rsidR="00F42146">
        <w:rPr>
          <w:color w:val="000000"/>
        </w:rPr>
        <w:instrText xml:space="preserve"> ADDIN EN.CITE.DATA </w:instrText>
      </w:r>
      <w:r w:rsidR="00F42146">
        <w:rPr>
          <w:color w:val="000000"/>
        </w:rPr>
      </w:r>
      <w:r w:rsidR="00F42146">
        <w:rPr>
          <w:color w:val="000000"/>
        </w:rPr>
        <w:fldChar w:fldCharType="end"/>
      </w:r>
      <w:r>
        <w:rPr>
          <w:color w:val="000000"/>
        </w:rPr>
      </w:r>
      <w:r>
        <w:rPr>
          <w:color w:val="000000"/>
        </w:rPr>
        <w:fldChar w:fldCharType="separate"/>
      </w:r>
      <w:r w:rsidR="006F41FE">
        <w:rPr>
          <w:noProof/>
          <w:color w:val="000000"/>
        </w:rPr>
        <w:t>(</w:t>
      </w:r>
      <w:hyperlink w:anchor="_ENREF_170" w:tooltip="Henshall, 2006 #6295" w:history="1">
        <w:r w:rsidR="004A784D">
          <w:rPr>
            <w:noProof/>
            <w:color w:val="000000"/>
          </w:rPr>
          <w:t>Henshall et al., 2006</w:t>
        </w:r>
      </w:hyperlink>
      <w:r w:rsidR="006F41FE">
        <w:rPr>
          <w:noProof/>
          <w:color w:val="000000"/>
        </w:rPr>
        <w:t xml:space="preserve">, </w:t>
      </w:r>
      <w:hyperlink w:anchor="_ENREF_198" w:tooltip="Kallberg, 2010 #4867" w:history="1">
        <w:r w:rsidR="004A784D">
          <w:rPr>
            <w:noProof/>
            <w:color w:val="000000"/>
          </w:rPr>
          <w:t>Kallberg and Lu, 2010</w:t>
        </w:r>
      </w:hyperlink>
      <w:r w:rsidR="006F41FE">
        <w:rPr>
          <w:noProof/>
          <w:color w:val="000000"/>
        </w:rPr>
        <w:t>)</w:t>
      </w:r>
      <w:r>
        <w:rPr>
          <w:color w:val="000000"/>
        </w:rPr>
        <w:fldChar w:fldCharType="end"/>
      </w:r>
      <w:r w:rsidRPr="001A6261">
        <w:rPr>
          <w:color w:val="000000"/>
        </w:rPr>
        <w:t>.</w:t>
      </w:r>
      <w:r>
        <w:rPr>
          <w:color w:val="000000"/>
        </w:rPr>
        <w:t xml:space="preserve"> </w:t>
      </w:r>
      <w:r w:rsidRPr="001A6261">
        <w:rPr>
          <w:color w:val="000000"/>
        </w:rPr>
        <w:t xml:space="preserve">Many studies have demonstrated that ZAG is over expressed in certain human malignant tumours and thus may serve as a potential cancer biomarker </w:t>
      </w:r>
      <w:r w:rsidRPr="001A6261">
        <w:rPr>
          <w:color w:val="000000"/>
        </w:rPr>
        <w:fldChar w:fldCharType="begin">
          <w:fldData xml:space="preserve">PEVuZE5vdGU+PENpdGU+PEF1dGhvcj5EZXNjYXplYXVkPC9BdXRob3I+PFllYXI+MjAwNjwvWWVh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==
</w:fldData>
        </w:fldChar>
      </w:r>
      <w:r w:rsidR="00F42146">
        <w:rPr>
          <w:color w:val="000000"/>
        </w:rPr>
        <w:instrText xml:space="preserve"> ADDIN EN.CITE </w:instrText>
      </w:r>
      <w:r w:rsidR="00F42146">
        <w:rPr>
          <w:color w:val="000000"/>
        </w:rPr>
        <w:fldChar w:fldCharType="begin">
          <w:fldData xml:space="preserve">PEVuZE5vdGU+PENpdGU+PEF1dGhvcj5EZXNjYXplYXVkPC9BdXRob3I+PFllYXI+MjAwNjwvWWVh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==
</w:fldData>
        </w:fldChar>
      </w:r>
      <w:r w:rsidR="00F42146">
        <w:rPr>
          <w:color w:val="000000"/>
        </w:rPr>
        <w:instrText xml:space="preserve"> ADDIN EN.CITE.DATA </w:instrText>
      </w:r>
      <w:r w:rsidR="00F42146">
        <w:rPr>
          <w:color w:val="000000"/>
        </w:rPr>
      </w:r>
      <w:r w:rsidR="00F42146">
        <w:rPr>
          <w:color w:val="000000"/>
        </w:rPr>
        <w:fldChar w:fldCharType="end"/>
      </w:r>
      <w:r w:rsidRPr="001A6261">
        <w:rPr>
          <w:color w:val="000000"/>
        </w:rPr>
      </w:r>
      <w:r w:rsidRPr="001A6261">
        <w:rPr>
          <w:color w:val="000000"/>
        </w:rPr>
        <w:fldChar w:fldCharType="separate"/>
      </w:r>
      <w:r w:rsidR="006F41FE">
        <w:rPr>
          <w:noProof/>
          <w:color w:val="000000"/>
        </w:rPr>
        <w:t>(</w:t>
      </w:r>
      <w:hyperlink w:anchor="_ENREF_100" w:tooltip="Descazeaud, 2006 #6302" w:history="1">
        <w:r w:rsidR="004A784D">
          <w:rPr>
            <w:noProof/>
            <w:color w:val="000000"/>
          </w:rPr>
          <w:t>Descazeaud et al., 2006</w:t>
        </w:r>
      </w:hyperlink>
      <w:r w:rsidR="006F41FE">
        <w:rPr>
          <w:noProof/>
          <w:color w:val="000000"/>
        </w:rPr>
        <w:t xml:space="preserve">, </w:t>
      </w:r>
      <w:hyperlink w:anchor="_ENREF_159" w:tooltip="Hale, 2001 #6356" w:history="1">
        <w:r w:rsidR="004A784D">
          <w:rPr>
            <w:noProof/>
            <w:color w:val="000000"/>
          </w:rPr>
          <w:t>Hale et al., 2001</w:t>
        </w:r>
      </w:hyperlink>
      <w:r w:rsidR="006F41FE">
        <w:rPr>
          <w:noProof/>
          <w:color w:val="000000"/>
        </w:rPr>
        <w:t>)</w:t>
      </w:r>
      <w:r w:rsidRPr="001A6261">
        <w:rPr>
          <w:color w:val="000000"/>
        </w:rPr>
        <w:fldChar w:fldCharType="end"/>
      </w:r>
      <w:r w:rsidRPr="001A6261">
        <w:rPr>
          <w:color w:val="000000"/>
        </w:rPr>
        <w:t xml:space="preserve">. However, ZAG is nonspecific and </w:t>
      </w:r>
      <w:r>
        <w:rPr>
          <w:color w:val="000000"/>
        </w:rPr>
        <w:t>serum level</w:t>
      </w:r>
      <w:r w:rsidR="00042F0A">
        <w:rPr>
          <w:color w:val="000000"/>
        </w:rPr>
        <w:t>s change</w:t>
      </w:r>
      <w:r w:rsidRPr="001A6261">
        <w:rPr>
          <w:color w:val="000000"/>
        </w:rPr>
        <w:t xml:space="preserve"> in </w:t>
      </w:r>
      <w:r>
        <w:rPr>
          <w:color w:val="000000"/>
        </w:rPr>
        <w:t>many</w:t>
      </w:r>
      <w:r w:rsidRPr="001A6261">
        <w:rPr>
          <w:color w:val="000000"/>
        </w:rPr>
        <w:t xml:space="preserve"> cancers </w:t>
      </w:r>
      <w:r w:rsidRPr="001A6261">
        <w:rPr>
          <w:color w:val="000000"/>
        </w:rPr>
        <w:fldChar w:fldCharType="begin"/>
      </w:r>
      <w:r w:rsidR="006F41FE">
        <w:rPr>
          <w:color w:val="000000"/>
        </w:rPr>
        <w:instrText xml:space="preserve"> ADDIN EN.CITE &lt;EndNote&gt;&lt;Cite&gt;&lt;Author&gt;Olofsson&lt;/Author&gt;&lt;RecNum&gt;1&lt;/RecNum&gt;&lt;DisplayText&gt;(Olofsson et al.)&lt;/DisplayText&gt;&lt;record&gt;&lt;rec-number&gt;1&lt;/rec-number&gt;&lt;ref-type name="Journal Article"&gt;17&lt;/ref-type&gt;&lt;contributors&gt;&lt;authors&gt;&lt;author&gt;Olofsson, L. E.&lt;/author&gt;&lt;author&gt;Olsson, B.&lt;/author&gt;&lt;author&gt;Lystig, T.&lt;/author&gt;&lt;author&gt;Jacobson, P.&lt;/author&gt;&lt;author&gt;Jernas, M.&lt;/author&gt;&lt;author&gt;Sjoholm, K.&lt;/author&gt;&lt;author&gt;Gummesson, A.&lt;/author&gt;&lt;author&gt;Sjostrom, L.&lt;/author&gt;&lt;author&gt;Eriksson, P.&lt;/author&gt;&lt;author&gt;Hamsten, A.&lt;/author&gt;&lt;author&gt;Hale, L. P.&lt;/author&gt;&lt;author&gt;Thelle, D. S.&lt;/author&gt;&lt;author&gt;Carlsson, B.&lt;/author&gt;&lt;author&gt;Carlsson, L. M.&lt;/author&gt;&lt;/authors&gt;&lt;/contributors&gt;&lt;auth-address&gt;The Sahlgrenska Center for Cardiovascular and Metabolic Research, Department of Molecular and Clinical Medicine, Sahlgrenska Academy at University of Gothenburg, 413 45 Gothenburg, Sweden.&lt;/auth-address&gt;&lt;titles&gt;&lt;title&gt;Preliminary report: Zn-alpha2-glycoprotein genotype and serum levels are associated with serum lipids&lt;/title&gt;&lt;secondary-title&gt;Metabolism&lt;/secondary-title&gt;&lt;/titles&gt;&lt;periodical&gt;&lt;full-title&gt;Metabolism&lt;/full-title&gt;&lt;/periodical&gt;&lt;dates&gt;&lt;pub-dates&gt;&lt;date&gt;Jan 11&lt;/date&gt;&lt;/pub-dates&gt;&lt;/dates&gt;&lt;accession-num&gt;20070991&lt;/accession-num&gt;&lt;urls&gt;&lt;related-urls&gt;&lt;url&gt;http://www.ncbi.nlm.nih.gov/entrez/query.fcgi?cmd=Retrieve&amp;amp;db=PubMed&amp;amp;dopt=Citation&amp;amp;list_uids=20070991 &lt;/url&gt;&lt;/related-urls&gt;&lt;/urls&gt;&lt;/record&gt;&lt;/Cite&gt;&lt;/EndNote&gt;</w:instrText>
      </w:r>
      <w:r w:rsidRPr="001A6261">
        <w:rPr>
          <w:color w:val="000000"/>
        </w:rPr>
        <w:fldChar w:fldCharType="separate"/>
      </w:r>
      <w:r w:rsidR="006F41FE">
        <w:rPr>
          <w:noProof/>
          <w:color w:val="000000"/>
        </w:rPr>
        <w:t>(</w:t>
      </w:r>
      <w:hyperlink w:anchor="_ENREF_301" w:tooltip="Olofsson,  #1" w:history="1">
        <w:r w:rsidR="004A784D">
          <w:rPr>
            <w:noProof/>
            <w:color w:val="000000"/>
          </w:rPr>
          <w:t>Olofsson et al.</w:t>
        </w:r>
      </w:hyperlink>
      <w:r w:rsidR="006F41FE">
        <w:rPr>
          <w:noProof/>
          <w:color w:val="000000"/>
        </w:rPr>
        <w:t>)</w:t>
      </w:r>
      <w:r w:rsidRPr="001A6261">
        <w:rPr>
          <w:color w:val="000000"/>
        </w:rPr>
        <w:fldChar w:fldCharType="end"/>
      </w:r>
      <w:r w:rsidRPr="001A6261">
        <w:rPr>
          <w:color w:val="000000"/>
        </w:rPr>
        <w:t xml:space="preserve"> including, bladder, breast cancer and </w:t>
      </w:r>
      <w:r>
        <w:rPr>
          <w:color w:val="000000"/>
        </w:rPr>
        <w:t xml:space="preserve">progressive </w:t>
      </w:r>
      <w:r w:rsidRPr="001A6261">
        <w:rPr>
          <w:color w:val="000000"/>
        </w:rPr>
        <w:t xml:space="preserve">prostate cancer </w:t>
      </w:r>
      <w:r w:rsidRPr="001A6261">
        <w:rPr>
          <w:color w:val="000000"/>
        </w:rPr>
        <w:fldChar w:fldCharType="begin"/>
      </w:r>
      <w:r w:rsidR="00930156">
        <w:rPr>
          <w:color w:val="000000"/>
        </w:rPr>
        <w:instrText xml:space="preserve"> ADDIN EN.CITE &lt;EndNote&gt;&lt;Cite&gt;&lt;Author&gt;Byrne&lt;/Author&gt;&lt;Year&gt;2009&lt;/Year&gt;&lt;RecNum&gt;5256&lt;/RecNum&gt;&lt;DisplayText&gt;(Byrne et al., 2009)&lt;/DisplayText&gt;&lt;record&gt;&lt;rec-number&gt;5256&lt;/rec-number&gt;&lt;foreign-keys&gt;&lt;key app="EN" db-id="zf0awxsaczrdd3eft5qvw9wrtxxawdfrvw2a"&gt;5256&lt;/key&gt;&lt;/foreign-keys&gt;&lt;ref-type name="Journal Article"&gt;17&lt;/ref-type&gt;&lt;contributors&gt;&lt;authors&gt;&lt;author&gt;Byrne, J. C.&lt;/author&gt;&lt;author&gt;Downes, M. R.&lt;/author&gt;&lt;author&gt;O&amp;apos;Donoghue, N.&lt;/author&gt;&lt;author&gt;O&amp;apos;Keane, C.&lt;/author&gt;&lt;author&gt;O&amp;apos;Neill, A.&lt;/author&gt;&lt;author&gt;Fan, Y.&lt;/author&gt;&lt;author&gt;Fitzpatrick, J. M.&lt;/author&gt;&lt;author&gt;Dunn, M.&lt;/author&gt;&lt;author&gt;Watson, R. W.&lt;/author&gt;&lt;/authors&gt;&lt;/contributors&gt;&lt;titles&gt;&lt;title&gt;2D-DIGE as a strategy to identify serum markers for the progression of prostate cancer&lt;/title&gt;&lt;secondary-title&gt;J Proteome Res&lt;/secondary-title&gt;&lt;/titles&gt;&lt;periodical&gt;&lt;full-title&gt;J Proteome Res&lt;/full-title&gt;&lt;/periodical&gt;&lt;pages&gt;942-57&lt;/pages&gt;&lt;volume&gt;8&lt;/volume&gt;&lt;number&gt;2&lt;/number&gt;&lt;edition&gt;2008/12/20&lt;/edition&gt;&lt;keywords&gt;&lt;keyword&gt;Biological Markers/*analysis&lt;/keyword&gt;&lt;keyword&gt;Disease Progression&lt;/keyword&gt;&lt;keyword&gt;Electrophoresis, Gel, Two-Dimensional/*methods&lt;/keyword&gt;&lt;keyword&gt;Fluorescent Dyes/metabolism&lt;/keyword&gt;&lt;keyword&gt;Humans&lt;/keyword&gt;&lt;keyword&gt;Male&lt;/keyword&gt;&lt;keyword&gt;Prostatic Neoplasms/*blood/*diagnosis/pathology&lt;/keyword&gt;&lt;keyword&gt;ROC Curve&lt;/keyword&gt;&lt;/keywords&gt;&lt;dates&gt;&lt;year&gt;2009&lt;/year&gt;&lt;pub-dates&gt;&lt;date&gt;Feb&lt;/date&gt;&lt;/pub-dates&gt;&lt;/dates&gt;&lt;isbn&gt;1535-3893 (Print)&amp;#xD;1535-3893 (Linking)&lt;/isbn&gt;&lt;accession-num&gt;19093873&lt;/accession-num&gt;&lt;urls&gt;&lt;related-urls&gt;&lt;url&gt;http://www.ncbi.nlm.nih.gov/pubmed/19093873&lt;/url&gt;&lt;/related-urls&gt;&lt;/urls&gt;&lt;electronic-resource-num&gt;10.1021/pr800570s&amp;#xD;10.1021/pr800570s [pii]&lt;/electronic-resource-num&gt;&lt;language&gt;eng&lt;/language&gt;&lt;/record&gt;&lt;/Cite&gt;&lt;/EndNote&gt;</w:instrText>
      </w:r>
      <w:r w:rsidRPr="001A6261">
        <w:rPr>
          <w:color w:val="000000"/>
        </w:rPr>
        <w:fldChar w:fldCharType="separate"/>
      </w:r>
      <w:r w:rsidR="006F41FE">
        <w:rPr>
          <w:noProof/>
          <w:color w:val="000000"/>
        </w:rPr>
        <w:t>(</w:t>
      </w:r>
      <w:hyperlink w:anchor="_ENREF_61" w:tooltip="Byrne, 2009 #5256" w:history="1">
        <w:r w:rsidR="004A784D">
          <w:rPr>
            <w:noProof/>
            <w:color w:val="000000"/>
          </w:rPr>
          <w:t>Byrne et al., 2009</w:t>
        </w:r>
      </w:hyperlink>
      <w:r w:rsidR="006F41FE">
        <w:rPr>
          <w:noProof/>
          <w:color w:val="000000"/>
        </w:rPr>
        <w:t>)</w:t>
      </w:r>
      <w:r w:rsidRPr="001A6261">
        <w:rPr>
          <w:color w:val="000000"/>
        </w:rPr>
        <w:fldChar w:fldCharType="end"/>
      </w:r>
      <w:r w:rsidRPr="001A6261">
        <w:rPr>
          <w:color w:val="000000"/>
        </w:rPr>
        <w:t xml:space="preserve">. </w:t>
      </w:r>
      <w:r w:rsidR="00042F0A">
        <w:rPr>
          <w:color w:val="000000"/>
        </w:rPr>
        <w:t>Studies</w:t>
      </w:r>
      <w:r w:rsidR="009A0512">
        <w:rPr>
          <w:color w:val="000000"/>
        </w:rPr>
        <w:t xml:space="preserve"> </w:t>
      </w:r>
      <w:r w:rsidR="00042F0A">
        <w:rPr>
          <w:color w:val="000000"/>
        </w:rPr>
        <w:t>have</w:t>
      </w:r>
      <w:r w:rsidR="009A0512">
        <w:rPr>
          <w:color w:val="000000"/>
        </w:rPr>
        <w:t xml:space="preserve"> shown that</w:t>
      </w:r>
      <w:r w:rsidR="00042F0A">
        <w:rPr>
          <w:color w:val="000000"/>
        </w:rPr>
        <w:t xml:space="preserve">, </w:t>
      </w:r>
      <w:r w:rsidRPr="001A6261">
        <w:rPr>
          <w:color w:val="000000"/>
        </w:rPr>
        <w:t xml:space="preserve">controlling ZAG activity could be beneficial in the management of cancers and cachexia-induced conditions </w:t>
      </w:r>
      <w:r w:rsidRPr="001A6261">
        <w:rPr>
          <w:color w:val="000000"/>
        </w:rPr>
        <w:fldChar w:fldCharType="begin"/>
      </w:r>
      <w:r w:rsidR="006F41FE">
        <w:rPr>
          <w:color w:val="000000"/>
        </w:rPr>
        <w:instrText xml:space="preserve"> ADDIN EN.CITE &lt;EndNote&gt;&lt;Cite&gt;&lt;Author&gt;Felix&lt;/Author&gt;&lt;Year&gt;2011&lt;/Year&gt;&lt;RecNum&gt;1061&lt;/RecNum&gt;&lt;DisplayText&gt;(Felix et al., 2011)&lt;/DisplayText&gt;&lt;record&gt;&lt;rec-number&gt;1061&lt;/rec-number&gt;&lt;foreign-keys&gt;&lt;key app="EN" db-id="zf0awxsaczrdd3eft5qvw9wrtxxawdfrvw2a"&gt;1061&lt;/key&gt;&lt;/foreign-keys&gt;&lt;ref-type name="Journal Article"&gt;17&lt;/ref-type&gt;&lt;contributors&gt;&lt;authors&gt;&lt;author&gt;Felix, K.&lt;/author&gt;&lt;author&gt;Fakelman, F.&lt;/author&gt;&lt;author&gt;Hartmann, D.&lt;/author&gt;&lt;author&gt;Giese, N. A.&lt;/author&gt;&lt;author&gt;Gaida, M. M.&lt;/author&gt;&lt;author&gt;Schnolzer, M.&lt;/author&gt;&lt;author&gt;Flad, T.&lt;/author&gt;&lt;author&gt;Buchler, M. W.&lt;/author&gt;&lt;author&gt;Werner, J.&lt;/author&gt;&lt;/authors&gt;&lt;/contributors&gt;&lt;auth-address&gt;Department of General Surgery, University of Heidelberg, Germany. klaus.felix@med.uni-heidelberg.de&lt;/auth-address&gt;&lt;titles&gt;&lt;title&gt;Identification of serum proteins involved in pancreatic cancer cachexia&lt;/title&gt;&lt;secondary-title&gt;Life Sci&lt;/secondary-title&gt;&lt;/titles&gt;&lt;periodical&gt;&lt;full-title&gt;Life Sci&lt;/full-title&gt;&lt;/periodical&gt;&lt;pages&gt;218-25&lt;/pages&gt;&lt;volume&gt;88&lt;/volume&gt;&lt;number&gt;5-6&lt;/number&gt;&lt;edition&gt;2010/11/26&lt;/edition&gt;&lt;keywords&gt;&lt;keyword&gt;Adult&lt;/keyword&gt;&lt;keyword&gt;Aged&lt;/keyword&gt;&lt;keyword&gt;Biological Markers/*blood&lt;/keyword&gt;&lt;keyword&gt;Blood Proteins/isolation &amp;amp; purification/*metabolism&lt;/keyword&gt;&lt;keyword&gt;Cachexia/*blood/*complications/metabolism&lt;/keyword&gt;&lt;keyword&gt;Databases, Protein&lt;/keyword&gt;&lt;keyword&gt;Enzyme-Linked Immunosorbent Assay&lt;/keyword&gt;&lt;keyword&gt;Female&lt;/keyword&gt;&lt;keyword&gt;Humans&lt;/keyword&gt;&lt;keyword&gt;Immunohistochemistry&lt;/keyword&gt;&lt;keyword&gt;Male&lt;/keyword&gt;&lt;keyword&gt;Middle Aged&lt;/keyword&gt;&lt;keyword&gt;Pancreatic Neoplasms/*complications&lt;/keyword&gt;&lt;/keywords&gt;&lt;dates&gt;&lt;year&gt;2011&lt;/year&gt;&lt;pub-dates&gt;&lt;date&gt;Jan 31&lt;/date&gt;&lt;/pub-dates&gt;&lt;/dates&gt;&lt;isbn&gt;1879-0631 (Electronic)&amp;#xD;0024-3205 (Linking)&lt;/isbn&gt;&lt;accession-num&gt;21094171&lt;/accession-num&gt;&lt;urls&gt;&lt;related-urls&gt;&lt;url&gt;http://www.ncbi.nlm.nih.gov/pubmed/21094171&lt;/url&gt;&lt;/related-urls&gt;&lt;/urls&gt;&lt;electronic-resource-num&gt;S0024-3205(10)00517-5 [pii]&amp;#xD;10.1016/j.lfs.2010.11.011&lt;/electronic-resource-num&gt;&lt;language&gt;eng&lt;/language&gt;&lt;/record&gt;&lt;/Cite&gt;&lt;/EndNote&gt;</w:instrText>
      </w:r>
      <w:r w:rsidRPr="001A6261">
        <w:rPr>
          <w:color w:val="000000"/>
        </w:rPr>
        <w:fldChar w:fldCharType="separate"/>
      </w:r>
      <w:r w:rsidR="006F41FE">
        <w:rPr>
          <w:noProof/>
          <w:color w:val="000000"/>
        </w:rPr>
        <w:t>(</w:t>
      </w:r>
      <w:hyperlink w:anchor="_ENREF_121" w:tooltip="Felix, 2011 #1061" w:history="1">
        <w:r w:rsidR="004A784D">
          <w:rPr>
            <w:noProof/>
            <w:color w:val="000000"/>
          </w:rPr>
          <w:t>Felix et al., 2011</w:t>
        </w:r>
      </w:hyperlink>
      <w:r w:rsidR="006F41FE">
        <w:rPr>
          <w:noProof/>
          <w:color w:val="000000"/>
        </w:rPr>
        <w:t>)</w:t>
      </w:r>
      <w:r w:rsidRPr="001A6261">
        <w:rPr>
          <w:color w:val="000000"/>
        </w:rPr>
        <w:fldChar w:fldCharType="end"/>
      </w:r>
      <w:r w:rsidRPr="001A6261">
        <w:rPr>
          <w:color w:val="000000"/>
        </w:rPr>
        <w:t>.</w:t>
      </w:r>
      <w:r w:rsidR="004A7DE2">
        <w:rPr>
          <w:color w:val="000000"/>
        </w:rPr>
        <w:t xml:space="preserve"> </w:t>
      </w:r>
    </w:p>
    <w:p w:rsidR="00856253" w:rsidRPr="001A6261" w:rsidRDefault="00856253" w:rsidP="00057B42">
      <w:pPr>
        <w:spacing w:line="360" w:lineRule="auto"/>
        <w:jc w:val="both"/>
        <w:rPr>
          <w:color w:val="000000"/>
        </w:rPr>
      </w:pPr>
    </w:p>
    <w:p w:rsidR="00B61503" w:rsidRPr="001A6261" w:rsidRDefault="00042F0A" w:rsidP="00057B42">
      <w:pPr>
        <w:spacing w:line="360" w:lineRule="auto"/>
        <w:jc w:val="both"/>
        <w:rPr>
          <w:color w:val="000000"/>
        </w:rPr>
      </w:pPr>
      <w:r>
        <w:rPr>
          <w:color w:val="000000"/>
        </w:rPr>
        <w:t>ZAG</w:t>
      </w:r>
      <w:r w:rsidR="00B61503" w:rsidRPr="001A6261">
        <w:rPr>
          <w:color w:val="000000"/>
        </w:rPr>
        <w:t xml:space="preserve"> </w:t>
      </w:r>
      <w:r w:rsidR="004A7DE2">
        <w:rPr>
          <w:color w:val="000000"/>
        </w:rPr>
        <w:t xml:space="preserve">can acts as a </w:t>
      </w:r>
      <w:r w:rsidR="004A7DE2" w:rsidRPr="001A6261">
        <w:rPr>
          <w:color w:val="000000"/>
        </w:rPr>
        <w:t>lipid mobilizing</w:t>
      </w:r>
      <w:r w:rsidR="004A7DE2">
        <w:rPr>
          <w:color w:val="000000"/>
        </w:rPr>
        <w:t xml:space="preserve"> factor </w:t>
      </w:r>
      <w:r w:rsidR="00B61503" w:rsidRPr="001A6261">
        <w:rPr>
          <w:color w:val="000000"/>
        </w:rPr>
        <w:t>to stimulate lipolysis leading to severe weight loss (cachexia) in the patient with cancers</w:t>
      </w:r>
      <w:r w:rsidR="00B61503">
        <w:rPr>
          <w:color w:val="000000"/>
        </w:rPr>
        <w:t>.</w:t>
      </w:r>
      <w:r w:rsidR="00B61503" w:rsidRPr="001A6261">
        <w:rPr>
          <w:color w:val="000000"/>
        </w:rPr>
        <w:t xml:space="preserve"> The role of ZAG in cancer cachexia is also associated with its ability to directly influence expression of </w:t>
      </w:r>
      <w:r w:rsidR="00B61503" w:rsidRPr="001A6261">
        <w:rPr>
          <w:color w:val="000000"/>
        </w:rPr>
        <w:lastRenderedPageBreak/>
        <w:t>uncoupling proteins, which are implicated in th</w:t>
      </w:r>
      <w:r w:rsidR="00B61503">
        <w:rPr>
          <w:color w:val="000000"/>
        </w:rPr>
        <w:t xml:space="preserve">e regulation of energy balance </w:t>
      </w:r>
      <w:r w:rsidR="00B61503" w:rsidRPr="001A6261">
        <w:rPr>
          <w:color w:val="000000"/>
        </w:rPr>
        <w:fldChar w:fldCharType="begin">
          <w:fldData xml:space="preserve">PEVuZE5vdGU+PENpdGU+PEF1dGhvcj5LYW1vc2hpZGE8L0F1dGhvcj48WWVhcj4yMDA2PC9ZZWFy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</w:fldData>
        </w:fldChar>
      </w:r>
      <w:r w:rsidR="00F42146">
        <w:rPr>
          <w:color w:val="000000"/>
        </w:rPr>
        <w:instrText xml:space="preserve"> ADDIN EN.CITE </w:instrText>
      </w:r>
      <w:r w:rsidR="00F42146">
        <w:rPr>
          <w:color w:val="000000"/>
        </w:rPr>
        <w:fldChar w:fldCharType="begin">
          <w:fldData xml:space="preserve">PEVuZE5vdGU+PENpdGU+PEF1dGhvcj5LYW1vc2hpZGE8L0F1dGhvcj48WWVhcj4yMDA2PC9ZZWFy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</w:fldData>
        </w:fldChar>
      </w:r>
      <w:r w:rsidR="00F42146">
        <w:rPr>
          <w:color w:val="000000"/>
        </w:rPr>
        <w:instrText xml:space="preserve"> ADDIN EN.CITE.DATA </w:instrText>
      </w:r>
      <w:r w:rsidR="00F42146">
        <w:rPr>
          <w:color w:val="000000"/>
        </w:rPr>
      </w:r>
      <w:r w:rsidR="00F42146">
        <w:rPr>
          <w:color w:val="000000"/>
        </w:rPr>
        <w:fldChar w:fldCharType="end"/>
      </w:r>
      <w:r w:rsidR="00B61503" w:rsidRPr="001A6261">
        <w:rPr>
          <w:color w:val="000000"/>
        </w:rPr>
      </w:r>
      <w:r w:rsidR="00B61503" w:rsidRPr="001A6261">
        <w:rPr>
          <w:color w:val="000000"/>
        </w:rPr>
        <w:fldChar w:fldCharType="separate"/>
      </w:r>
      <w:r w:rsidR="006F41FE">
        <w:rPr>
          <w:noProof/>
          <w:color w:val="000000"/>
        </w:rPr>
        <w:t>(</w:t>
      </w:r>
      <w:hyperlink w:anchor="_ENREF_200" w:tooltip="Kamoshida, 2006 #6293" w:history="1">
        <w:r w:rsidR="004A784D">
          <w:rPr>
            <w:noProof/>
            <w:color w:val="000000"/>
          </w:rPr>
          <w:t>Kamoshida et al., 2006</w:t>
        </w:r>
      </w:hyperlink>
      <w:r w:rsidR="006F41FE">
        <w:rPr>
          <w:noProof/>
          <w:color w:val="000000"/>
        </w:rPr>
        <w:t xml:space="preserve">, </w:t>
      </w:r>
      <w:hyperlink w:anchor="_ENREF_45" w:tooltip="Bing, 2004 #6330" w:history="1">
        <w:r w:rsidR="004A784D">
          <w:rPr>
            <w:noProof/>
            <w:color w:val="000000"/>
          </w:rPr>
          <w:t>Bing et al., 2004</w:t>
        </w:r>
      </w:hyperlink>
      <w:r w:rsidR="006F41FE">
        <w:rPr>
          <w:noProof/>
          <w:color w:val="000000"/>
        </w:rPr>
        <w:t>)</w:t>
      </w:r>
      <w:r w:rsidR="00B61503" w:rsidRPr="001A6261">
        <w:rPr>
          <w:color w:val="000000"/>
        </w:rPr>
        <w:fldChar w:fldCharType="end"/>
      </w:r>
      <w:r w:rsidR="00B61503" w:rsidRPr="001A6261">
        <w:rPr>
          <w:color w:val="000000"/>
        </w:rPr>
        <w:t xml:space="preserve">. </w:t>
      </w:r>
    </w:p>
    <w:p w:rsidR="00740A6F" w:rsidRDefault="00740A6F" w:rsidP="00057B42">
      <w:pPr>
        <w:spacing w:line="360" w:lineRule="auto"/>
        <w:jc w:val="both"/>
        <w:rPr>
          <w:color w:val="000000"/>
        </w:rPr>
      </w:pPr>
    </w:p>
    <w:p w:rsidR="00B61503" w:rsidRDefault="00B61503" w:rsidP="00057B42">
      <w:pPr>
        <w:spacing w:line="360" w:lineRule="auto"/>
        <w:jc w:val="both"/>
        <w:rPr>
          <w:color w:val="000000"/>
        </w:rPr>
      </w:pPr>
      <w:r>
        <w:rPr>
          <w:color w:val="000000"/>
        </w:rPr>
        <w:t xml:space="preserve">Several other </w:t>
      </w:r>
      <w:r w:rsidRPr="001A6261">
        <w:rPr>
          <w:color w:val="000000"/>
        </w:rPr>
        <w:t>functions such as regulation of melanin production, and metastasis</w:t>
      </w:r>
      <w:r>
        <w:rPr>
          <w:color w:val="000000"/>
        </w:rPr>
        <w:t xml:space="preserve"> are also attributed to ZAG</w:t>
      </w:r>
      <w:r w:rsidRPr="001A6261">
        <w:rPr>
          <w:color w:val="000000"/>
        </w:rPr>
        <w:t xml:space="preserve">. </w:t>
      </w:r>
      <w:r>
        <w:rPr>
          <w:color w:val="000000"/>
        </w:rPr>
        <w:t>It</w:t>
      </w:r>
      <w:r w:rsidRPr="001A6261">
        <w:rPr>
          <w:color w:val="000000"/>
        </w:rPr>
        <w:t xml:space="preserve"> may be considered as a multidisciplinary functional protein. There are many recent </w:t>
      </w:r>
      <w:r>
        <w:rPr>
          <w:color w:val="000000"/>
        </w:rPr>
        <w:t>articles</w:t>
      </w:r>
      <w:r w:rsidRPr="001A6261">
        <w:rPr>
          <w:color w:val="000000"/>
        </w:rPr>
        <w:t xml:space="preserve"> dealing with genetic, biochemical, and functional aspects for this protein</w:t>
      </w:r>
      <w:r>
        <w:rPr>
          <w:color w:val="000000"/>
        </w:rPr>
        <w:t xml:space="preserve"> </w:t>
      </w:r>
      <w:r>
        <w:rPr>
          <w:color w:val="000000"/>
        </w:rPr>
        <w:fldChar w:fldCharType="begin">
          <w:fldData xml:space="preserve">PEVuZE5vdGU+PENpdGU+PEF1dGhvcj5CeWVybGV5PC9BdXRob3I+PFllYXI+MjAxMDwvWWVhcj48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</w:fldData>
        </w:fldChar>
      </w:r>
      <w:r w:rsidR="006F41FE">
        <w:rPr>
          <w:color w:val="000000"/>
        </w:rPr>
        <w:instrText xml:space="preserve"> ADDIN EN.CITE </w:instrText>
      </w:r>
      <w:r w:rsidR="006F41FE">
        <w:rPr>
          <w:color w:val="000000"/>
        </w:rPr>
        <w:fldChar w:fldCharType="begin">
          <w:fldData xml:space="preserve">PEVuZE5vdGU+PENpdGU+PEF1dGhvcj5CeWVybGV5PC9BdXRob3I+PFllYXI+MjAxMDwvWWVhcj48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Pr>
          <w:color w:val="000000"/>
        </w:rPr>
      </w:r>
      <w:r>
        <w:rPr>
          <w:color w:val="000000"/>
        </w:rPr>
        <w:fldChar w:fldCharType="separate"/>
      </w:r>
      <w:r w:rsidR="006F41FE">
        <w:rPr>
          <w:noProof/>
          <w:color w:val="000000"/>
        </w:rPr>
        <w:t>(</w:t>
      </w:r>
      <w:hyperlink w:anchor="_ENREF_60" w:tooltip="Byerley, 2010 #4889" w:history="1">
        <w:r w:rsidR="004A784D">
          <w:rPr>
            <w:noProof/>
            <w:color w:val="000000"/>
          </w:rPr>
          <w:t>Byerley et al., 2010</w:t>
        </w:r>
      </w:hyperlink>
      <w:r w:rsidR="006F41FE">
        <w:rPr>
          <w:noProof/>
          <w:color w:val="000000"/>
        </w:rPr>
        <w:t>)</w:t>
      </w:r>
      <w:r>
        <w:rPr>
          <w:color w:val="000000"/>
        </w:rPr>
        <w:fldChar w:fldCharType="end"/>
      </w:r>
      <w:r w:rsidRPr="001A6261">
        <w:rPr>
          <w:color w:val="000000"/>
        </w:rPr>
        <w:t xml:space="preserve">. Many questions, however, are still unanswered about its functional </w:t>
      </w:r>
      <w:r>
        <w:rPr>
          <w:color w:val="000000"/>
        </w:rPr>
        <w:t xml:space="preserve">interaction with myeloma cells </w:t>
      </w:r>
      <w:r w:rsidRPr="001A6261">
        <w:rPr>
          <w:color w:val="000000"/>
        </w:rPr>
        <w:t xml:space="preserve">and </w:t>
      </w:r>
      <w:r>
        <w:rPr>
          <w:color w:val="000000"/>
        </w:rPr>
        <w:t xml:space="preserve">its </w:t>
      </w:r>
      <w:r w:rsidRPr="001A6261">
        <w:rPr>
          <w:color w:val="000000"/>
        </w:rPr>
        <w:t xml:space="preserve">roles in </w:t>
      </w:r>
      <w:r>
        <w:rPr>
          <w:color w:val="000000"/>
        </w:rPr>
        <w:t>MM patients serum.</w:t>
      </w:r>
      <w:r w:rsidRPr="001A6261">
        <w:rPr>
          <w:color w:val="000000"/>
        </w:rPr>
        <w:t xml:space="preserve"> </w:t>
      </w:r>
    </w:p>
    <w:p w:rsidR="00740A6F" w:rsidRDefault="00740A6F" w:rsidP="00057B42">
      <w:pPr>
        <w:spacing w:line="360" w:lineRule="auto"/>
        <w:jc w:val="both"/>
        <w:rPr>
          <w:color w:val="000000"/>
        </w:rPr>
      </w:pPr>
    </w:p>
    <w:p w:rsidR="00856253" w:rsidRDefault="00B61503" w:rsidP="00057B42">
      <w:pPr>
        <w:spacing w:line="360" w:lineRule="auto"/>
        <w:jc w:val="both"/>
        <w:rPr>
          <w:color w:val="000000"/>
        </w:rPr>
      </w:pPr>
      <w:r w:rsidRPr="001A6261">
        <w:rPr>
          <w:color w:val="000000"/>
        </w:rPr>
        <w:t>Various proposed roles of ZAG in</w:t>
      </w:r>
      <w:r>
        <w:rPr>
          <w:color w:val="000000"/>
        </w:rPr>
        <w:t xml:space="preserve"> the</w:t>
      </w:r>
      <w:r w:rsidRPr="001A6261">
        <w:rPr>
          <w:color w:val="000000"/>
        </w:rPr>
        <w:t xml:space="preserve"> human body are supported by its structural fu</w:t>
      </w:r>
      <w:r w:rsidR="00042F0A">
        <w:rPr>
          <w:color w:val="000000"/>
        </w:rPr>
        <w:t>nctional relationship. ZAG is</w:t>
      </w:r>
      <w:r w:rsidRPr="001A6261">
        <w:rPr>
          <w:color w:val="000000"/>
        </w:rPr>
        <w:t xml:space="preserve"> a member of </w:t>
      </w:r>
      <w:r w:rsidR="00042F0A">
        <w:rPr>
          <w:color w:val="000000"/>
        </w:rPr>
        <w:t xml:space="preserve">the </w:t>
      </w:r>
      <w:r w:rsidRPr="001A6261">
        <w:rPr>
          <w:color w:val="000000"/>
        </w:rPr>
        <w:t>immunoglobulin</w:t>
      </w:r>
      <w:r w:rsidR="00042F0A">
        <w:rPr>
          <w:color w:val="000000"/>
        </w:rPr>
        <w:t xml:space="preserve"> families,</w:t>
      </w:r>
      <w:r w:rsidRPr="001A6261">
        <w:rPr>
          <w:color w:val="000000"/>
        </w:rPr>
        <w:t xml:space="preserve"> therefore ZAG may have a role in the expression of the immune response hence higher expression level in non-responders may contribute to the resistance to thalidomide based therapy.</w:t>
      </w:r>
      <w:r>
        <w:rPr>
          <w:color w:val="000000"/>
        </w:rPr>
        <w:t xml:space="preserve"> </w:t>
      </w:r>
      <w:r w:rsidRPr="001A6261">
        <w:rPr>
          <w:color w:val="000000"/>
        </w:rPr>
        <w:t xml:space="preserve"> </w:t>
      </w:r>
      <w:r w:rsidRPr="001A6261">
        <w:rPr>
          <w:color w:val="000000"/>
          <w:lang w:val="en-GB"/>
        </w:rPr>
        <w:t xml:space="preserve">Our 2D-DIGE data </w:t>
      </w:r>
      <w:r w:rsidRPr="00225402">
        <w:rPr>
          <w:color w:val="000000"/>
          <w:lang w:val="en-GB"/>
        </w:rPr>
        <w:t>and ELISA analysis showed that ZAG had a 1.48 (</w:t>
      </w:r>
      <w:r w:rsidR="0010315E" w:rsidRPr="0010315E">
        <w:rPr>
          <w:i/>
          <w:color w:val="000000"/>
          <w:lang w:val="en-GB"/>
        </w:rPr>
        <w:t>p=</w:t>
      </w:r>
      <w:r w:rsidRPr="00225402">
        <w:rPr>
          <w:color w:val="000000"/>
          <w:lang w:val="en-GB"/>
        </w:rPr>
        <w:t xml:space="preserve"> 0.0000022) (Figure </w:t>
      </w:r>
      <w:r w:rsidR="00984205">
        <w:rPr>
          <w:color w:val="000000"/>
          <w:lang w:val="en-GB"/>
        </w:rPr>
        <w:t>3-38 and Table 3-6</w:t>
      </w:r>
      <w:r w:rsidRPr="00225402">
        <w:rPr>
          <w:color w:val="000000"/>
          <w:lang w:val="en-GB"/>
        </w:rPr>
        <w:t>) and a 1.27 (</w:t>
      </w:r>
      <w:r w:rsidR="0010315E" w:rsidRPr="0010315E">
        <w:rPr>
          <w:i/>
          <w:color w:val="000000"/>
          <w:lang w:val="en-GB"/>
        </w:rPr>
        <w:t>p=</w:t>
      </w:r>
      <w:r w:rsidRPr="00225402">
        <w:rPr>
          <w:color w:val="000000"/>
          <w:lang w:val="en-GB"/>
        </w:rPr>
        <w:t>0.00398) fold increase in abundance levels in non-responders compared to responders, respectively</w:t>
      </w:r>
      <w:r>
        <w:rPr>
          <w:color w:val="000000"/>
          <w:lang w:val="en-GB"/>
        </w:rPr>
        <w:t xml:space="preserve">. </w:t>
      </w:r>
      <w:r w:rsidRPr="001A6261">
        <w:rPr>
          <w:color w:val="000000"/>
          <w:lang w:val="en-GB"/>
        </w:rPr>
        <w:t>Although ZAG is not a specific marker for multiple myeloma</w:t>
      </w:r>
      <w:r>
        <w:rPr>
          <w:color w:val="000000"/>
          <w:lang w:val="en-GB"/>
        </w:rPr>
        <w:t>,</w:t>
      </w:r>
      <w:r w:rsidRPr="001A6261">
        <w:rPr>
          <w:color w:val="000000"/>
          <w:lang w:val="en-GB"/>
        </w:rPr>
        <w:t xml:space="preserve"> the exact mechanism by which ZAG actively participates in the thalidomide resistance is still </w:t>
      </w:r>
      <w:r>
        <w:rPr>
          <w:color w:val="000000"/>
          <w:lang w:val="en-GB"/>
        </w:rPr>
        <w:t xml:space="preserve">not known. </w:t>
      </w:r>
      <w:r w:rsidRPr="001A6261">
        <w:rPr>
          <w:color w:val="000000"/>
        </w:rPr>
        <w:t xml:space="preserve">In human adipocytes, ZAG expression is regulated particularly through TNFalpha and the gamma nuclear receptor </w:t>
      </w:r>
      <w:r w:rsidRPr="001A6261">
        <w:rPr>
          <w:noProof/>
          <w:color w:val="000000"/>
        </w:rPr>
        <w:t>(</w:t>
      </w:r>
      <w:hyperlink w:anchor="_ENREF_8" w:tooltip="Bing, 2004 #1089" w:history="1">
        <w:r w:rsidRPr="001A6261">
          <w:rPr>
            <w:noProof/>
            <w:color w:val="000000"/>
          </w:rPr>
          <w:t>Bing, Bao et al. 2004</w:t>
        </w:r>
      </w:hyperlink>
      <w:r w:rsidRPr="001A6261">
        <w:rPr>
          <w:noProof/>
          <w:color w:val="000000"/>
        </w:rPr>
        <w:t xml:space="preserve">). </w:t>
      </w:r>
      <w:r w:rsidRPr="001A6261">
        <w:rPr>
          <w:color w:val="000000"/>
        </w:rPr>
        <w:t>TNFalpha leads to a dose-dependent decrease in the serum level of ZAG</w:t>
      </w:r>
      <w:r w:rsidRPr="001A6261">
        <w:rPr>
          <w:noProof/>
          <w:color w:val="000000"/>
        </w:rPr>
        <w:t>. Thalid</w:t>
      </w:r>
      <w:r>
        <w:rPr>
          <w:noProof/>
          <w:color w:val="000000"/>
        </w:rPr>
        <w:t>omide als</w:t>
      </w:r>
      <w:r w:rsidRPr="001A6261">
        <w:rPr>
          <w:noProof/>
          <w:color w:val="000000"/>
        </w:rPr>
        <w:t xml:space="preserve">o inhibit secretion of </w:t>
      </w:r>
      <w:r w:rsidRPr="001A6261">
        <w:rPr>
          <w:color w:val="000000"/>
        </w:rPr>
        <w:t xml:space="preserve">TNFalpha from monocytes. </w:t>
      </w:r>
    </w:p>
    <w:p w:rsidR="00984205" w:rsidRDefault="00984205" w:rsidP="00057B42">
      <w:pPr>
        <w:spacing w:line="360" w:lineRule="auto"/>
        <w:jc w:val="both"/>
        <w:rPr>
          <w:color w:val="000000"/>
          <w:lang w:val="en-GB"/>
        </w:rPr>
      </w:pPr>
    </w:p>
    <w:p w:rsidR="00B61503" w:rsidRDefault="00B61503" w:rsidP="00057B42">
      <w:pPr>
        <w:spacing w:line="360" w:lineRule="auto"/>
        <w:jc w:val="both"/>
        <w:rPr>
          <w:color w:val="000000"/>
          <w:lang w:val="en-GB"/>
        </w:rPr>
      </w:pPr>
      <w:r w:rsidRPr="001A6261">
        <w:rPr>
          <w:color w:val="000000"/>
          <w:lang w:val="en-GB"/>
        </w:rPr>
        <w:t>Our data suggest it is valuable biomarker to detect sensitivity to thalidomide.</w:t>
      </w:r>
      <w:r>
        <w:rPr>
          <w:color w:val="000000"/>
          <w:lang w:val="en-GB"/>
        </w:rPr>
        <w:t xml:space="preserve"> </w:t>
      </w:r>
      <w:r w:rsidRPr="001A6261">
        <w:rPr>
          <w:color w:val="000000"/>
          <w:lang w:val="en-GB"/>
        </w:rPr>
        <w:t xml:space="preserve">ROC curve was generated from ELISA data for ZAG which showed AUC of 0.70 </w:t>
      </w:r>
      <w:r>
        <w:rPr>
          <w:color w:val="000000"/>
          <w:lang w:val="en-GB"/>
        </w:rPr>
        <w:t>with sensitivity of 86.4 of and specificity of 69.0 and</w:t>
      </w:r>
      <w:r w:rsidRPr="007D3E03">
        <w:rPr>
          <w:color w:val="000000"/>
          <w:lang w:val="en-GB"/>
        </w:rPr>
        <w:t xml:space="preserve"> </w:t>
      </w:r>
      <w:r w:rsidR="0010315E" w:rsidRPr="0010315E">
        <w:rPr>
          <w:i/>
          <w:color w:val="000000"/>
          <w:lang w:val="en-GB"/>
        </w:rPr>
        <w:t>p=</w:t>
      </w:r>
      <w:r w:rsidRPr="007D3E03">
        <w:rPr>
          <w:color w:val="000000"/>
          <w:lang w:val="en-GB"/>
        </w:rPr>
        <w:t>0.0002</w:t>
      </w:r>
      <w:r>
        <w:rPr>
          <w:color w:val="000000"/>
          <w:lang w:val="en-GB"/>
        </w:rPr>
        <w:t xml:space="preserve"> </w:t>
      </w:r>
      <w:r w:rsidRPr="007D3E03">
        <w:rPr>
          <w:color w:val="000000"/>
          <w:lang w:val="en-GB"/>
        </w:rPr>
        <w:t>as an individual protein, demonstrating an acceptable predicting power for the response to thalidomide based regimen</w:t>
      </w:r>
      <w:r w:rsidR="00984205">
        <w:rPr>
          <w:color w:val="000000"/>
          <w:lang w:val="en-GB"/>
        </w:rPr>
        <w:t>.</w:t>
      </w:r>
      <w:r w:rsidRPr="007D3E03">
        <w:rPr>
          <w:color w:val="000000"/>
          <w:lang w:val="en-GB"/>
        </w:rPr>
        <w:t xml:space="preserve"> </w:t>
      </w:r>
    </w:p>
    <w:p w:rsidR="00B61503" w:rsidRDefault="00B61503" w:rsidP="00057B42">
      <w:pPr>
        <w:spacing w:line="360" w:lineRule="auto"/>
        <w:jc w:val="both"/>
        <w:rPr>
          <w:color w:val="000000"/>
          <w:lang w:val="en-GB"/>
        </w:rPr>
      </w:pPr>
    </w:p>
    <w:p w:rsidR="00B61503" w:rsidRPr="001A6261" w:rsidRDefault="00B61503" w:rsidP="00057B42">
      <w:pPr>
        <w:spacing w:line="360" w:lineRule="auto"/>
        <w:jc w:val="both"/>
        <w:rPr>
          <w:color w:val="000000"/>
        </w:rPr>
      </w:pPr>
    </w:p>
    <w:p w:rsidR="00B61503" w:rsidRPr="001A6261" w:rsidRDefault="00B61503" w:rsidP="00057B42">
      <w:pPr>
        <w:spacing w:line="360" w:lineRule="auto"/>
        <w:jc w:val="both"/>
        <w:rPr>
          <w:color w:val="000000"/>
        </w:rPr>
      </w:pPr>
    </w:p>
    <w:p w:rsidR="00B61503" w:rsidRDefault="00B61503" w:rsidP="00645687">
      <w:pPr>
        <w:pStyle w:val="Heading2"/>
        <w:numPr>
          <w:ilvl w:val="3"/>
          <w:numId w:val="19"/>
        </w:numPr>
        <w:rPr>
          <w:lang w:val="en-US"/>
        </w:rPr>
      </w:pPr>
      <w:bookmarkStart w:id="1921" w:name="_Toc302582444"/>
      <w:bookmarkStart w:id="1922" w:name="_Toc305690094"/>
      <w:bookmarkStart w:id="1923" w:name="_Toc306570786"/>
      <w:bookmarkStart w:id="1924" w:name="_Toc307067846"/>
      <w:bookmarkStart w:id="1925" w:name="_Toc312169413"/>
      <w:bookmarkStart w:id="1926" w:name="_Toc312172340"/>
      <w:bookmarkStart w:id="1927" w:name="_Toc312257889"/>
      <w:r w:rsidRPr="009569A4">
        <w:rPr>
          <w:lang w:val="en-US"/>
        </w:rPr>
        <w:lastRenderedPageBreak/>
        <w:t>Serum Amyloid A protein (SAA)</w:t>
      </w:r>
      <w:bookmarkEnd w:id="1921"/>
      <w:bookmarkEnd w:id="1922"/>
      <w:bookmarkEnd w:id="1923"/>
      <w:bookmarkEnd w:id="1924"/>
      <w:bookmarkEnd w:id="1925"/>
      <w:bookmarkEnd w:id="1926"/>
      <w:bookmarkEnd w:id="1927"/>
    </w:p>
    <w:p w:rsidR="00B61503" w:rsidRPr="001A6261" w:rsidRDefault="00B61503" w:rsidP="00000025">
      <w:pPr>
        <w:spacing w:before="240" w:line="360" w:lineRule="auto"/>
        <w:jc w:val="both"/>
        <w:rPr>
          <w:color w:val="000000"/>
        </w:rPr>
      </w:pPr>
      <w:r w:rsidRPr="001A6261">
        <w:rPr>
          <w:color w:val="000000"/>
        </w:rPr>
        <w:t xml:space="preserve">SAA is a precursor of the AA protein, which is unrelated to any immunoglobulin. SAA is predominantly associated with high-density lipoprotein (HDL) in plasma, with different isoforms being unequally expressed constitutively and in response to inflammatory stimuli. The human SAA gene family maps to chromosome 11. SAA are secreted during the acute phase of inflammation and synthesized primarily in the liver in response to an inflammatory cytokines </w:t>
      </w:r>
      <w:r>
        <w:rPr>
          <w:color w:val="000000"/>
        </w:rPr>
        <w:t xml:space="preserve">released by activated monocytes and </w:t>
      </w:r>
      <w:r w:rsidRPr="001A6261">
        <w:rPr>
          <w:color w:val="000000"/>
        </w:rPr>
        <w:t xml:space="preserve">macrophages </w:t>
      </w:r>
      <w:r w:rsidRPr="001A6261">
        <w:rPr>
          <w:color w:val="000000"/>
        </w:rPr>
        <w:fldChar w:fldCharType="begin">
          <w:fldData xml:space="preserve">PEVuZE5vdGU+PENpdGU+PEF1dGhvcj5MZWU8L0F1dGhvcj48WWVhcj4yMDA2PC9ZZWFyPjxSZWNO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</w:fldData>
        </w:fldChar>
      </w:r>
      <w:r w:rsidR="006F41FE">
        <w:rPr>
          <w:color w:val="000000"/>
        </w:rPr>
        <w:instrText xml:space="preserve"> ADDIN EN.CITE </w:instrText>
      </w:r>
      <w:r w:rsidR="006F41FE">
        <w:rPr>
          <w:color w:val="000000"/>
        </w:rPr>
        <w:fldChar w:fldCharType="begin">
          <w:fldData xml:space="preserve">PEVuZE5vdGU+PENpdGU+PEF1dGhvcj5MZWU8L0F1dGhvcj48WWVhcj4yMDA2PC9ZZWFyPjxSZWNO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239" w:tooltip="Lee, 2006 #3" w:history="1">
        <w:r w:rsidR="004A784D">
          <w:rPr>
            <w:noProof/>
            <w:color w:val="000000"/>
          </w:rPr>
          <w:t>Lee et al., 2006</w:t>
        </w:r>
      </w:hyperlink>
      <w:r w:rsidR="006F41FE">
        <w:rPr>
          <w:noProof/>
          <w:color w:val="000000"/>
        </w:rPr>
        <w:t xml:space="preserve">, </w:t>
      </w:r>
      <w:hyperlink w:anchor="_ENREF_160" w:tooltip="Han, 2007 #2" w:history="1">
        <w:r w:rsidR="004A784D">
          <w:rPr>
            <w:noProof/>
            <w:color w:val="000000"/>
          </w:rPr>
          <w:t>Han et al., 2007</w:t>
        </w:r>
      </w:hyperlink>
      <w:r w:rsidR="006F41FE">
        <w:rPr>
          <w:noProof/>
          <w:color w:val="000000"/>
        </w:rPr>
        <w:t>)</w:t>
      </w:r>
      <w:r w:rsidRPr="001A6261">
        <w:rPr>
          <w:color w:val="000000"/>
        </w:rPr>
        <w:fldChar w:fldCharType="end"/>
      </w:r>
      <w:r w:rsidRPr="001A6261">
        <w:rPr>
          <w:color w:val="000000"/>
        </w:rPr>
        <w:t xml:space="preserve">. </w:t>
      </w:r>
    </w:p>
    <w:p w:rsidR="00CA48C1" w:rsidRDefault="00CA48C1" w:rsidP="00057B42">
      <w:pPr>
        <w:spacing w:line="360" w:lineRule="auto"/>
        <w:jc w:val="both"/>
        <w:rPr>
          <w:color w:val="000000"/>
        </w:rPr>
      </w:pPr>
    </w:p>
    <w:p w:rsidR="00B61503" w:rsidRPr="001A6261" w:rsidRDefault="00984205" w:rsidP="00057B42">
      <w:pPr>
        <w:spacing w:line="360" w:lineRule="auto"/>
        <w:jc w:val="both"/>
        <w:rPr>
          <w:color w:val="000000"/>
        </w:rPr>
      </w:pPr>
      <w:r>
        <w:rPr>
          <w:color w:val="000000"/>
        </w:rPr>
        <w:t xml:space="preserve">At present the </w:t>
      </w:r>
      <w:r w:rsidR="00B61503" w:rsidRPr="001A6261">
        <w:rPr>
          <w:color w:val="000000"/>
        </w:rPr>
        <w:t xml:space="preserve">biological function </w:t>
      </w:r>
      <w:r>
        <w:rPr>
          <w:color w:val="000000"/>
        </w:rPr>
        <w:t xml:space="preserve">of SAA </w:t>
      </w:r>
      <w:r w:rsidR="00B61503" w:rsidRPr="001A6261">
        <w:rPr>
          <w:color w:val="000000"/>
        </w:rPr>
        <w:t xml:space="preserve">is unclear and is not considered as a cancer specific </w:t>
      </w:r>
      <w:r w:rsidR="00720963">
        <w:rPr>
          <w:color w:val="000000"/>
        </w:rPr>
        <w:t>biomarker</w:t>
      </w:r>
      <w:r w:rsidR="00B61503" w:rsidRPr="001A6261">
        <w:rPr>
          <w:color w:val="000000"/>
        </w:rPr>
        <w:t xml:space="preserve"> per se, however, high levels of SAA were found in patients with various neoplastic diseases</w:t>
      </w:r>
      <w:r w:rsidR="00B61503">
        <w:rPr>
          <w:color w:val="000000"/>
        </w:rPr>
        <w:t xml:space="preserve">. </w:t>
      </w:r>
      <w:r w:rsidR="00B61503" w:rsidRPr="001A6261">
        <w:rPr>
          <w:color w:val="000000"/>
        </w:rPr>
        <w:t xml:space="preserve">Although SAA is not a specific marker for any particular illness, </w:t>
      </w:r>
      <w:r w:rsidR="00B61503">
        <w:rPr>
          <w:color w:val="000000"/>
          <w:lang w:val="en-GB"/>
        </w:rPr>
        <w:t>p</w:t>
      </w:r>
      <w:r w:rsidR="00B61503" w:rsidRPr="001A6261">
        <w:rPr>
          <w:color w:val="000000"/>
          <w:lang w:val="en-GB"/>
        </w:rPr>
        <w:t xml:space="preserve">atients with carcinoma of the lung and bowel had much higher levels than patients with carcinoma of the breast. </w:t>
      </w:r>
      <w:r w:rsidR="00B61503" w:rsidRPr="001A6261">
        <w:rPr>
          <w:color w:val="000000"/>
        </w:rPr>
        <w:t>Due to its characteristic pattern of change in malignant diseases and its high sensitivity, it represents a useful biochemical parameter for the assessment of the activity of the disease</w:t>
      </w:r>
      <w:r w:rsidR="00B61503" w:rsidRPr="00074566">
        <w:rPr>
          <w:color w:val="000000"/>
        </w:rPr>
        <w:t xml:space="preserve"> </w:t>
      </w:r>
      <w:r w:rsidR="00B61503">
        <w:rPr>
          <w:color w:val="000000"/>
        </w:rPr>
        <w:fldChar w:fldCharType="begin">
          <w:fldData xml:space="preserve">PEVuZE5vdGU+PENpdGU+PEF1dGhvcj5CaW91bGFjLVNhZ2U8L0F1dGhvcj48WWVhcj4yMDEwPC9Z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</w:fldData>
        </w:fldChar>
      </w:r>
      <w:r w:rsidR="006F41FE">
        <w:rPr>
          <w:color w:val="000000"/>
        </w:rPr>
        <w:instrText xml:space="preserve"> ADDIN EN.CITE </w:instrText>
      </w:r>
      <w:r w:rsidR="006F41FE">
        <w:rPr>
          <w:color w:val="000000"/>
        </w:rPr>
        <w:fldChar w:fldCharType="begin">
          <w:fldData xml:space="preserve">PEVuZE5vdGU+PENpdGU+PEF1dGhvcj5CaW91bGFjLVNhZ2U8L0F1dGhvcj48WWVhcj4yMDEwPC9Z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</w:fldData>
        </w:fldChar>
      </w:r>
      <w:r w:rsidR="006F41FE">
        <w:rPr>
          <w:color w:val="000000"/>
        </w:rPr>
        <w:instrText xml:space="preserve"> ADDIN EN.CITE.DATA </w:instrText>
      </w:r>
      <w:r w:rsidR="006F41FE">
        <w:rPr>
          <w:color w:val="000000"/>
        </w:rPr>
      </w:r>
      <w:r w:rsidR="006F41FE">
        <w:rPr>
          <w:color w:val="000000"/>
        </w:rPr>
        <w:fldChar w:fldCharType="end"/>
      </w:r>
      <w:r w:rsidR="00B61503">
        <w:rPr>
          <w:color w:val="000000"/>
        </w:rPr>
      </w:r>
      <w:r w:rsidR="00B61503">
        <w:rPr>
          <w:color w:val="000000"/>
        </w:rPr>
        <w:fldChar w:fldCharType="separate"/>
      </w:r>
      <w:r w:rsidR="006F41FE">
        <w:rPr>
          <w:noProof/>
          <w:color w:val="000000"/>
        </w:rPr>
        <w:t>(</w:t>
      </w:r>
      <w:hyperlink w:anchor="_ENREF_46" w:tooltip="Bioulac-Sage, 2010 #4922" w:history="1">
        <w:r w:rsidR="004A784D">
          <w:rPr>
            <w:noProof/>
            <w:color w:val="000000"/>
          </w:rPr>
          <w:t>Bioulac-Sage et al., 2010</w:t>
        </w:r>
      </w:hyperlink>
      <w:r w:rsidR="006F41FE">
        <w:rPr>
          <w:noProof/>
          <w:color w:val="000000"/>
        </w:rPr>
        <w:t xml:space="preserve">, </w:t>
      </w:r>
      <w:hyperlink w:anchor="_ENREF_399" w:tooltip="Sreseli, 2010 #4923" w:history="1">
        <w:r w:rsidR="004A784D">
          <w:rPr>
            <w:noProof/>
            <w:color w:val="000000"/>
          </w:rPr>
          <w:t>Sreseli et al., 2010</w:t>
        </w:r>
      </w:hyperlink>
      <w:r w:rsidR="006F41FE">
        <w:rPr>
          <w:noProof/>
          <w:color w:val="000000"/>
        </w:rPr>
        <w:t>)</w:t>
      </w:r>
      <w:r w:rsidR="00B61503">
        <w:rPr>
          <w:color w:val="000000"/>
        </w:rPr>
        <w:fldChar w:fldCharType="end"/>
      </w:r>
      <w:r w:rsidR="00B61503" w:rsidRPr="001A6261">
        <w:rPr>
          <w:color w:val="000000"/>
        </w:rPr>
        <w:t>.</w:t>
      </w:r>
    </w:p>
    <w:p w:rsidR="00CA48C1" w:rsidRDefault="00CA48C1"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Its persistently high concentration is also a prerequisite for the development of AA</w:t>
      </w:r>
      <w:r w:rsidR="00984205">
        <w:rPr>
          <w:color w:val="000000"/>
        </w:rPr>
        <w:t>,</w:t>
      </w:r>
      <w:r w:rsidRPr="001A6261">
        <w:rPr>
          <w:color w:val="000000"/>
        </w:rPr>
        <w:t xml:space="preserve"> Amyloidosis  a systemic disorder characterized by the extracellular tissue deposition of insoluble, toxic aggregates in bundles of beta-sheet fibrillar proteins</w:t>
      </w:r>
      <w:r>
        <w:rPr>
          <w:color w:val="000000"/>
        </w:rPr>
        <w:t xml:space="preserve"> </w:t>
      </w:r>
      <w:r w:rsidRPr="001A6261">
        <w:rPr>
          <w:color w:val="000000"/>
        </w:rPr>
        <w:fldChar w:fldCharType="begin"/>
      </w:r>
      <w:r w:rsidR="006F41FE">
        <w:rPr>
          <w:color w:val="000000"/>
        </w:rPr>
        <w:instrText xml:space="preserve"> ADDIN EN.CITE &lt;EndNote&gt;&lt;Cite&gt;&lt;Author&gt;Yamada&lt;/Author&gt;&lt;Year&gt;2006&lt;/Year&gt;&lt;RecNum&gt;46&lt;/RecNum&gt;&lt;DisplayText&gt;(Yamada, 2006)&lt;/DisplayText&gt;&lt;record&gt;&lt;rec-number&gt;46&lt;/rec-number&gt;&lt;ref-type name="Journal Article"&gt;17&lt;/ref-type&gt;&lt;contributors&gt;&lt;authors&gt;&lt;author&gt;Yamada, T.&lt;/author&gt;&lt;/authors&gt;&lt;/contributors&gt;&lt;auth-address&gt;Department of Clinical Laboratory Medicine, Jichi Medical School, Shimotsuke, Tochigi 329-0498.&lt;/auth-address&gt;&lt;titles&gt;&lt;title&gt;[Serum amyloid A (SAA)--pathogenicity and implication of appearance in plasma]&lt;/title&gt;&lt;secondary-title&gt;Rinsho Byori&lt;/secondary-title&gt;&lt;/titles&gt;&lt;pages&gt;509-12&lt;/pages&gt;&lt;volume&gt;54&lt;/volume&gt;&lt;number&gt;5&lt;/number&gt;&lt;keywords&gt;&lt;keyword&gt;Amyloidosis/*metabolism&lt;/keyword&gt;&lt;keyword&gt;Humans&lt;/keyword&gt;&lt;keyword&gt;Polymorphism, Genetic&lt;/keyword&gt;&lt;keyword&gt;Serum Amyloid A Protein/*analysis/metabolism&lt;/keyword&gt;&lt;/keywords&gt;&lt;dates&gt;&lt;year&gt;2006&lt;/year&gt;&lt;pub-dates&gt;&lt;date&gt;May&lt;/date&gt;&lt;/pub-dates&gt;&lt;/dates&gt;&lt;accession-num&gt;16789422&lt;/accession-num&gt;&lt;urls&gt;&lt;related-urls&gt;&lt;url&gt;http://www.ncbi.nlm.nih.gov/entrez/query.fcgi?cmd=Retrieve&amp;amp;db=PubMed&amp;amp;dopt=Citation&amp;amp;list_uids=16789422 &lt;/url&gt;&lt;/related-urls&gt;&lt;/urls&gt;&lt;/record&gt;&lt;/Cite&gt;&lt;/EndNote&gt;</w:instrText>
      </w:r>
      <w:r w:rsidRPr="001A6261">
        <w:rPr>
          <w:color w:val="000000"/>
        </w:rPr>
        <w:fldChar w:fldCharType="separate"/>
      </w:r>
      <w:r w:rsidR="006F41FE">
        <w:rPr>
          <w:noProof/>
          <w:color w:val="000000"/>
        </w:rPr>
        <w:t>(</w:t>
      </w:r>
      <w:hyperlink w:anchor="_ENREF_452" w:tooltip="Yamada, 2006 #46" w:history="1">
        <w:r w:rsidR="004A784D">
          <w:rPr>
            <w:noProof/>
            <w:color w:val="000000"/>
          </w:rPr>
          <w:t>Yamada, 2006</w:t>
        </w:r>
      </w:hyperlink>
      <w:r w:rsidR="006F41FE">
        <w:rPr>
          <w:noProof/>
          <w:color w:val="000000"/>
        </w:rPr>
        <w:t>)</w:t>
      </w:r>
      <w:r w:rsidRPr="001A6261">
        <w:rPr>
          <w:color w:val="000000"/>
        </w:rPr>
        <w:fldChar w:fldCharType="end"/>
      </w:r>
      <w:r w:rsidR="00856253">
        <w:rPr>
          <w:color w:val="000000"/>
        </w:rPr>
        <w:t>.</w:t>
      </w:r>
    </w:p>
    <w:p w:rsidR="00856253" w:rsidRPr="001A6261" w:rsidRDefault="00856253" w:rsidP="00057B42">
      <w:pPr>
        <w:spacing w:line="360" w:lineRule="auto"/>
        <w:jc w:val="both"/>
        <w:rPr>
          <w:color w:val="000000"/>
        </w:rPr>
      </w:pPr>
    </w:p>
    <w:p w:rsidR="00B61503" w:rsidRPr="001A6261" w:rsidRDefault="00B61503" w:rsidP="00057B42">
      <w:pPr>
        <w:spacing w:line="360" w:lineRule="auto"/>
        <w:jc w:val="both"/>
        <w:rPr>
          <w:color w:val="000000"/>
          <w:lang w:val="en-GB"/>
        </w:rPr>
      </w:pPr>
      <w:r w:rsidRPr="001A6261">
        <w:rPr>
          <w:color w:val="000000"/>
        </w:rPr>
        <w:t>AA Amyloidosis is a potentially life-threatening disorder caused by the deposition of insoluble proteins in various tissues, which commonly results in organ dysfunction or failure</w:t>
      </w:r>
      <w:r w:rsidR="00984205">
        <w:rPr>
          <w:color w:val="000000"/>
        </w:rPr>
        <w:t xml:space="preserve"> </w:t>
      </w:r>
      <w:r w:rsidRPr="001A6261">
        <w:rPr>
          <w:color w:val="000000"/>
        </w:rPr>
        <w:fldChar w:fldCharType="begin"/>
      </w:r>
      <w:r w:rsidR="006F41FE">
        <w:rPr>
          <w:color w:val="000000"/>
        </w:rPr>
        <w:instrText xml:space="preserve"> ADDIN EN.CITE &lt;EndNote&gt;&lt;Cite&gt;&lt;Author&gt;Bestard Matamoros&lt;/Author&gt;&lt;Year&gt;2008&lt;/Year&gt;&lt;RecNum&gt;9&lt;/RecNum&gt;&lt;DisplayText&gt;(Bestard Matamoros et al., 2008)&lt;/DisplayText&gt;&lt;record&gt;&lt;rec-number&gt;9&lt;/rec-number&gt;&lt;ref-type name="Journal Article"&gt;17&lt;/ref-type&gt;&lt;contributors&gt;&lt;authors&gt;&lt;author&gt;Bestard Matamoros, O.&lt;/author&gt;&lt;author&gt;Poveda Monje, R.&lt;/author&gt;&lt;author&gt;Ibernon Vilaro, M.&lt;/author&gt;&lt;author&gt;Carrera Plans, M.&lt;/author&gt;&lt;author&gt;Grinyo Boira, J. M.&lt;/author&gt;&lt;/authors&gt;&lt;/contributors&gt;&lt;auth-address&gt;Hospital de Bellvitge, Hospitalet de Llobregat, Barcelona. 35830obm@comb.es&lt;/auth-address&gt;&lt;titles&gt;&lt;title&gt;[Systemic AA amyloidosis induced by benign neoplasms]&lt;/title&gt;&lt;secondary-title&gt;Nefrologia&lt;/secondary-title&gt;&lt;/titles&gt;&lt;periodical&gt;&lt;full-title&gt;Nefrologia&lt;/full-title&gt;&lt;/periodical&gt;&lt;pages&gt;93-8&lt;/pages&gt;&lt;volume&gt;28&lt;/volume&gt;&lt;number&gt;1&lt;/number&gt;&lt;keywords&gt;&lt;keyword&gt;Adult&lt;/keyword&gt;&lt;keyword&gt;Amyloidosis/*etiology&lt;/keyword&gt;&lt;keyword&gt;Female&lt;/keyword&gt;&lt;keyword&gt;Humans&lt;/keyword&gt;&lt;keyword&gt;Neoplasms/*complications&lt;/keyword&gt;&lt;/keywords&gt;&lt;dates&gt;&lt;year&gt;2008&lt;/year&gt;&lt;/dates&gt;&lt;orig-pub&gt;Amiloidosis secundaria (AA) asociada a tumoraciones benignas.&lt;/orig-pub&gt;&lt;accession-num&gt;18336138&lt;/accession-num&gt;&lt;urls&gt;&lt;related-urls&gt;&lt;url&gt;http://www.ncbi.nlm.nih.gov/entrez/query.fcgi?cmd=Retrieve&amp;amp;db=PubMed&amp;amp;dopt=Citation&amp;amp;list_uids=18336138 &lt;/url&gt;&lt;/related-urls&gt;&lt;/urls&gt;&lt;/record&gt;&lt;/Cite&gt;&lt;/EndNote&gt;</w:instrText>
      </w:r>
      <w:r w:rsidRPr="001A6261">
        <w:rPr>
          <w:color w:val="000000"/>
        </w:rPr>
        <w:fldChar w:fldCharType="separate"/>
      </w:r>
      <w:r w:rsidR="006F41FE">
        <w:rPr>
          <w:noProof/>
          <w:color w:val="000000"/>
        </w:rPr>
        <w:t>(</w:t>
      </w:r>
      <w:hyperlink w:anchor="_ENREF_42" w:tooltip="Bestard Matamoros, 2008 #9" w:history="1">
        <w:r w:rsidR="004A784D">
          <w:rPr>
            <w:noProof/>
            <w:color w:val="000000"/>
          </w:rPr>
          <w:t>Bestard Matamoros et al., 2008</w:t>
        </w:r>
      </w:hyperlink>
      <w:r w:rsidR="006F41FE">
        <w:rPr>
          <w:noProof/>
          <w:color w:val="000000"/>
        </w:rPr>
        <w:t>)</w:t>
      </w:r>
      <w:r w:rsidRPr="001A6261">
        <w:rPr>
          <w:color w:val="000000"/>
        </w:rPr>
        <w:fldChar w:fldCharType="end"/>
      </w:r>
      <w:r w:rsidRPr="001A6261">
        <w:rPr>
          <w:color w:val="000000"/>
        </w:rPr>
        <w:t xml:space="preserve">. </w:t>
      </w:r>
      <w:r w:rsidRPr="00027788">
        <w:rPr>
          <w:color w:val="000000"/>
          <w:lang w:val="en-GB"/>
        </w:rPr>
        <w:t xml:space="preserve">Our 2D-DIGE data and ELISA analysis showed that </w:t>
      </w:r>
      <w:r>
        <w:rPr>
          <w:color w:val="000000"/>
          <w:lang w:val="en-GB"/>
        </w:rPr>
        <w:t>SAA</w:t>
      </w:r>
      <w:r w:rsidRPr="00027788">
        <w:rPr>
          <w:color w:val="000000"/>
          <w:lang w:val="en-GB"/>
        </w:rPr>
        <w:t xml:space="preserve"> had a 3.01 (</w:t>
      </w:r>
      <w:r w:rsidR="0010315E" w:rsidRPr="0010315E">
        <w:rPr>
          <w:i/>
          <w:color w:val="000000"/>
          <w:lang w:val="en-GB"/>
        </w:rPr>
        <w:t>p=</w:t>
      </w:r>
      <w:r w:rsidRPr="00027788">
        <w:rPr>
          <w:color w:val="000000"/>
          <w:lang w:val="en-GB"/>
        </w:rPr>
        <w:t>0.006) and a 3.80 (</w:t>
      </w:r>
      <w:r w:rsidR="0010315E" w:rsidRPr="0010315E">
        <w:rPr>
          <w:i/>
          <w:color w:val="000000"/>
          <w:lang w:val="en-GB"/>
        </w:rPr>
        <w:t>p=</w:t>
      </w:r>
      <w:r w:rsidRPr="00027788">
        <w:rPr>
          <w:color w:val="000000"/>
          <w:lang w:val="en-GB"/>
        </w:rPr>
        <w:t>0.00016) fold increase in abundance levels in non-responders compared to responders, re</w:t>
      </w:r>
      <w:r w:rsidR="000D641E">
        <w:rPr>
          <w:color w:val="000000"/>
          <w:lang w:val="en-GB"/>
        </w:rPr>
        <w:t>spectively (</w:t>
      </w:r>
      <w:r w:rsidR="00984205" w:rsidRPr="00225402">
        <w:rPr>
          <w:color w:val="000000"/>
          <w:lang w:val="en-GB"/>
        </w:rPr>
        <w:t xml:space="preserve">Figure </w:t>
      </w:r>
      <w:r w:rsidR="00984205">
        <w:rPr>
          <w:color w:val="000000"/>
          <w:lang w:val="en-GB"/>
        </w:rPr>
        <w:t>3-38 and Table 3-6</w:t>
      </w:r>
      <w:r w:rsidRPr="00027788">
        <w:rPr>
          <w:color w:val="000000"/>
          <w:lang w:val="en-GB"/>
        </w:rPr>
        <w:t>).</w:t>
      </w:r>
      <w:r>
        <w:rPr>
          <w:color w:val="000000"/>
          <w:lang w:val="en-GB"/>
        </w:rPr>
        <w:t xml:space="preserve"> </w:t>
      </w:r>
      <w:r w:rsidRPr="007D3E03">
        <w:rPr>
          <w:color w:val="000000"/>
          <w:lang w:val="en-GB"/>
        </w:rPr>
        <w:t>The ROC curve was calculated for SAA from the ELISA data showed a</w:t>
      </w:r>
      <w:r w:rsidR="008D148E">
        <w:rPr>
          <w:color w:val="000000"/>
          <w:lang w:val="en-GB"/>
        </w:rPr>
        <w:t>n AUC of 0.79</w:t>
      </w:r>
      <w:r w:rsidRPr="007D3E03">
        <w:rPr>
          <w:color w:val="000000"/>
          <w:lang w:val="en-GB"/>
        </w:rPr>
        <w:t xml:space="preserve"> with sensitivity of 77.3 of and specificity of 79.3 and </w:t>
      </w:r>
      <w:r w:rsidR="0010315E" w:rsidRPr="0010315E">
        <w:rPr>
          <w:i/>
          <w:color w:val="000000"/>
          <w:lang w:val="en-GB"/>
        </w:rPr>
        <w:t>p=</w:t>
      </w:r>
      <w:r w:rsidRPr="007D3E03">
        <w:rPr>
          <w:color w:val="000000"/>
          <w:lang w:val="en-GB"/>
        </w:rPr>
        <w:t>0.0001 indicating excellent discriminatory power for predicting respons</w:t>
      </w:r>
      <w:r w:rsidR="000D641E">
        <w:rPr>
          <w:color w:val="000000"/>
          <w:lang w:val="en-GB"/>
        </w:rPr>
        <w:t>e to thalidomide based regimen.</w:t>
      </w:r>
    </w:p>
    <w:p w:rsidR="00CA48C1" w:rsidRDefault="00CA48C1" w:rsidP="00057B42">
      <w:pPr>
        <w:spacing w:line="360" w:lineRule="auto"/>
        <w:jc w:val="both"/>
        <w:rPr>
          <w:color w:val="000000"/>
          <w:lang w:val="en-GB"/>
        </w:rPr>
      </w:pPr>
    </w:p>
    <w:p w:rsidR="00B61503" w:rsidRPr="001A6261" w:rsidRDefault="00B61503" w:rsidP="00057B42">
      <w:pPr>
        <w:spacing w:line="360" w:lineRule="auto"/>
        <w:jc w:val="both"/>
        <w:rPr>
          <w:color w:val="000000"/>
          <w:lang w:val="en-US"/>
        </w:rPr>
      </w:pPr>
      <w:r w:rsidRPr="001A6261">
        <w:rPr>
          <w:color w:val="000000"/>
          <w:lang w:val="en-GB"/>
        </w:rPr>
        <w:lastRenderedPageBreak/>
        <w:t xml:space="preserve">As </w:t>
      </w:r>
      <w:r>
        <w:rPr>
          <w:color w:val="000000"/>
          <w:lang w:val="en-GB"/>
        </w:rPr>
        <w:t xml:space="preserve">discussed, </w:t>
      </w:r>
      <w:r w:rsidRPr="001A6261">
        <w:rPr>
          <w:color w:val="000000"/>
          <w:lang w:val="en-GB"/>
        </w:rPr>
        <w:t>SAA is a sensitive a marker for the inflammation</w:t>
      </w:r>
      <w:r>
        <w:rPr>
          <w:color w:val="000000"/>
          <w:lang w:val="en-GB"/>
        </w:rPr>
        <w:t xml:space="preserve"> and sepsis</w:t>
      </w:r>
      <w:r w:rsidRPr="001A6261">
        <w:rPr>
          <w:color w:val="000000"/>
          <w:lang w:val="en-GB"/>
        </w:rPr>
        <w:t xml:space="preserve"> </w:t>
      </w:r>
      <w:r w:rsidRPr="001A6261">
        <w:rPr>
          <w:color w:val="000000"/>
          <w:lang w:val="en-GB"/>
        </w:rPr>
        <w:fldChar w:fldCharType="begin">
          <w:fldData xml:space="preserve">PEVuZE5vdGU+PENpdGU+PEF1dGhvcj5LYXRheWFtYTwvQXV0aG9yPjxZZWFyPjIwMDc8L1llYXI+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</w:fldData>
        </w:fldChar>
      </w:r>
      <w:r w:rsidR="006F41FE">
        <w:rPr>
          <w:color w:val="000000"/>
          <w:lang w:val="en-GB"/>
        </w:rPr>
        <w:instrText xml:space="preserve"> ADDIN EN.CITE </w:instrText>
      </w:r>
      <w:r w:rsidR="006F41FE">
        <w:rPr>
          <w:color w:val="000000"/>
          <w:lang w:val="en-GB"/>
        </w:rPr>
        <w:fldChar w:fldCharType="begin">
          <w:fldData xml:space="preserve">PEVuZE5vdGU+PENpdGU+PEF1dGhvcj5LYXRheWFtYTwvQXV0aG9yPjxZZWFyPjIwMDc8L1llYXI+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</w:fldData>
        </w:fldChar>
      </w:r>
      <w:r w:rsidR="006F41FE">
        <w:rPr>
          <w:color w:val="000000"/>
          <w:lang w:val="en-GB"/>
        </w:rPr>
        <w:instrText xml:space="preserve"> ADDIN EN.CITE.DATA </w:instrText>
      </w:r>
      <w:r w:rsidR="006F41FE">
        <w:rPr>
          <w:color w:val="000000"/>
          <w:lang w:val="en-GB"/>
        </w:rPr>
      </w:r>
      <w:r w:rsidR="006F41FE">
        <w:rPr>
          <w:color w:val="000000"/>
          <w:lang w:val="en-GB"/>
        </w:rPr>
        <w:fldChar w:fldCharType="end"/>
      </w:r>
      <w:r w:rsidRPr="001A6261">
        <w:rPr>
          <w:color w:val="000000"/>
          <w:lang w:val="en-GB"/>
        </w:rPr>
      </w:r>
      <w:r w:rsidRPr="001A6261">
        <w:rPr>
          <w:color w:val="000000"/>
          <w:lang w:val="en-GB"/>
        </w:rPr>
        <w:fldChar w:fldCharType="separate"/>
      </w:r>
      <w:r w:rsidR="006F41FE">
        <w:rPr>
          <w:noProof/>
          <w:color w:val="000000"/>
          <w:lang w:val="en-GB"/>
        </w:rPr>
        <w:t>(</w:t>
      </w:r>
      <w:hyperlink w:anchor="_ENREF_202" w:tooltip="Katayama, 2007 #3" w:history="1">
        <w:r w:rsidR="004A784D">
          <w:rPr>
            <w:noProof/>
            <w:color w:val="000000"/>
            <w:lang w:val="en-GB"/>
          </w:rPr>
          <w:t>Katayama et al., 2007</w:t>
        </w:r>
      </w:hyperlink>
      <w:r w:rsidR="006F41FE">
        <w:rPr>
          <w:noProof/>
          <w:color w:val="000000"/>
          <w:lang w:val="en-GB"/>
        </w:rPr>
        <w:t xml:space="preserve">, </w:t>
      </w:r>
      <w:hyperlink w:anchor="_ENREF_70" w:tooltip="Chan, 2011 #4919" w:history="1">
        <w:r w:rsidR="004A784D">
          <w:rPr>
            <w:noProof/>
            <w:color w:val="000000"/>
            <w:lang w:val="en-GB"/>
          </w:rPr>
          <w:t>Chan and Gu, 2011</w:t>
        </w:r>
      </w:hyperlink>
      <w:r w:rsidR="006F41FE">
        <w:rPr>
          <w:noProof/>
          <w:color w:val="000000"/>
          <w:lang w:val="en-GB"/>
        </w:rPr>
        <w:t>)</w:t>
      </w:r>
      <w:r w:rsidRPr="001A6261">
        <w:rPr>
          <w:color w:val="000000"/>
        </w:rPr>
        <w:fldChar w:fldCharType="end"/>
      </w:r>
      <w:r w:rsidRPr="001A6261">
        <w:rPr>
          <w:color w:val="000000"/>
          <w:lang w:val="en-GB"/>
        </w:rPr>
        <w:t>. Its concentration can increases in the blood during an</w:t>
      </w:r>
      <w:r w:rsidRPr="001A6261">
        <w:rPr>
          <w:color w:val="000000"/>
          <w:vertAlign w:val="superscript"/>
          <w:lang w:val="en-GB"/>
        </w:rPr>
        <w:t xml:space="preserve"> </w:t>
      </w:r>
      <w:r w:rsidRPr="001A6261">
        <w:rPr>
          <w:color w:val="000000"/>
          <w:lang w:val="en-GB"/>
        </w:rPr>
        <w:t xml:space="preserve">inflammatory response. </w:t>
      </w:r>
      <w:r w:rsidRPr="001A6261">
        <w:rPr>
          <w:color w:val="000000"/>
          <w:lang w:val="en-US"/>
        </w:rPr>
        <w:t>In this project,</w:t>
      </w:r>
      <w:r>
        <w:rPr>
          <w:color w:val="000000"/>
          <w:lang w:val="en-US"/>
        </w:rPr>
        <w:t xml:space="preserve"> of</w:t>
      </w:r>
      <w:r w:rsidRPr="001A6261">
        <w:rPr>
          <w:color w:val="000000"/>
          <w:lang w:val="en-US"/>
        </w:rPr>
        <w:t xml:space="preserve"> the 22 non-responder MM </w:t>
      </w:r>
      <w:r>
        <w:rPr>
          <w:color w:val="000000"/>
          <w:lang w:val="en-US"/>
        </w:rPr>
        <w:t>patients studied</w:t>
      </w:r>
      <w:r w:rsidRPr="001A6261">
        <w:rPr>
          <w:color w:val="000000"/>
          <w:lang w:val="en-US"/>
        </w:rPr>
        <w:t>, none have evidence of infection or fever at the time of sampling and out of 29 responder patients 1 had an infection resulting in mild fever. Therefore, the SAA elevation in the serum samples from non-responder patients appeared to be unrelated to the infection or inflammation.</w:t>
      </w:r>
    </w:p>
    <w:p w:rsidR="00B61503" w:rsidRPr="001A6261" w:rsidRDefault="00B61503" w:rsidP="00057B42">
      <w:pPr>
        <w:spacing w:line="360" w:lineRule="auto"/>
        <w:jc w:val="both"/>
        <w:rPr>
          <w:color w:val="000000"/>
        </w:rPr>
      </w:pPr>
      <w:r w:rsidRPr="001A6261">
        <w:rPr>
          <w:color w:val="000000"/>
        </w:rPr>
        <w:t xml:space="preserve"> </w:t>
      </w:r>
    </w:p>
    <w:p w:rsidR="00B61503" w:rsidRPr="001A6261" w:rsidRDefault="00B61503" w:rsidP="00057B42">
      <w:pPr>
        <w:spacing w:line="360" w:lineRule="auto"/>
        <w:jc w:val="both"/>
        <w:rPr>
          <w:color w:val="000000"/>
        </w:rPr>
      </w:pPr>
    </w:p>
    <w:p w:rsidR="00B61503" w:rsidRPr="001A6261" w:rsidRDefault="00B61503" w:rsidP="00057B42">
      <w:pPr>
        <w:spacing w:line="360" w:lineRule="auto"/>
        <w:jc w:val="both"/>
        <w:rPr>
          <w:color w:val="000000"/>
          <w:lang w:val="en-US"/>
        </w:rPr>
      </w:pPr>
    </w:p>
    <w:p w:rsidR="00B61503" w:rsidRPr="001A6261" w:rsidRDefault="00B61503" w:rsidP="00057B42">
      <w:pPr>
        <w:spacing w:line="360" w:lineRule="auto"/>
        <w:jc w:val="both"/>
        <w:rPr>
          <w:color w:val="000000"/>
          <w:lang w:val="en-US"/>
        </w:rPr>
      </w:pPr>
    </w:p>
    <w:p w:rsidR="00B61503" w:rsidRPr="001A6261" w:rsidRDefault="00B61503" w:rsidP="00057B42">
      <w:pPr>
        <w:spacing w:line="360" w:lineRule="auto"/>
        <w:jc w:val="both"/>
        <w:rPr>
          <w:color w:val="000000"/>
        </w:rPr>
      </w:pPr>
    </w:p>
    <w:p w:rsidR="00B61503" w:rsidRPr="001A6261" w:rsidRDefault="00B61503" w:rsidP="00057B42">
      <w:pPr>
        <w:spacing w:line="360" w:lineRule="auto"/>
        <w:jc w:val="both"/>
      </w:pPr>
    </w:p>
    <w:p w:rsidR="00B61503" w:rsidRPr="001A6261" w:rsidRDefault="00B61503" w:rsidP="00057B42">
      <w:pPr>
        <w:spacing w:line="360" w:lineRule="auto"/>
        <w:jc w:val="both"/>
      </w:pPr>
    </w:p>
    <w:p w:rsidR="00B61503" w:rsidRPr="001A6261" w:rsidRDefault="00B61503" w:rsidP="00057B42">
      <w:pPr>
        <w:spacing w:line="360" w:lineRule="auto"/>
        <w:jc w:val="both"/>
      </w:pPr>
    </w:p>
    <w:p w:rsidR="00B61503" w:rsidRDefault="00B61503" w:rsidP="00645687">
      <w:pPr>
        <w:pStyle w:val="Heading2"/>
        <w:numPr>
          <w:ilvl w:val="3"/>
          <w:numId w:val="19"/>
        </w:numPr>
      </w:pPr>
      <w:r w:rsidRPr="001A6261">
        <w:rPr>
          <w:rStyle w:val="Heading3Char"/>
          <w:sz w:val="24"/>
          <w:szCs w:val="24"/>
        </w:rPr>
        <w:br w:type="page"/>
      </w:r>
      <w:bookmarkStart w:id="1928" w:name="_Toc302582445"/>
      <w:bookmarkStart w:id="1929" w:name="_Toc305690095"/>
      <w:bookmarkStart w:id="1930" w:name="_Toc306570787"/>
      <w:bookmarkStart w:id="1931" w:name="_Toc307067847"/>
      <w:bookmarkStart w:id="1932" w:name="_Toc312169414"/>
      <w:bookmarkStart w:id="1933" w:name="_Toc312172341"/>
      <w:bookmarkStart w:id="1934" w:name="_Toc312257890"/>
      <w:r w:rsidRPr="009569A4">
        <w:lastRenderedPageBreak/>
        <w:t>Serum Haptoglobin (Hp)</w:t>
      </w:r>
      <w:bookmarkEnd w:id="1928"/>
      <w:bookmarkEnd w:id="1929"/>
      <w:bookmarkEnd w:id="1930"/>
      <w:bookmarkEnd w:id="1931"/>
      <w:bookmarkEnd w:id="1932"/>
      <w:bookmarkEnd w:id="1933"/>
      <w:bookmarkEnd w:id="1934"/>
    </w:p>
    <w:p w:rsidR="00B61503" w:rsidRDefault="00B61503" w:rsidP="001C253B">
      <w:pPr>
        <w:spacing w:before="240" w:line="360" w:lineRule="auto"/>
        <w:jc w:val="both"/>
        <w:rPr>
          <w:color w:val="000000"/>
        </w:rPr>
      </w:pPr>
      <w:r w:rsidRPr="001A6261">
        <w:rPr>
          <w:color w:val="000000"/>
        </w:rPr>
        <w:t>Hp is a glycoprotein with a haemoglobin-binding capacity in serum. Hp is mainly secreted by Hepatocytes in response to a variety of stimuli mainly involved as an acute phase protein in response to inflammation</w:t>
      </w:r>
      <w:r>
        <w:rPr>
          <w:color w:val="000000"/>
        </w:rPr>
        <w:t xml:space="preserve"> or injury </w:t>
      </w:r>
      <w:r w:rsidRPr="001A6261">
        <w:rPr>
          <w:color w:val="000000"/>
        </w:rPr>
        <w:t>(Dobryszycka 1997)</w:t>
      </w:r>
      <w:r>
        <w:rPr>
          <w:color w:val="000000"/>
        </w:rPr>
        <w:t>.</w:t>
      </w:r>
    </w:p>
    <w:p w:rsidR="00856253" w:rsidRPr="001A6261"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Pr>
          <w:color w:val="000000"/>
        </w:rPr>
        <w:t xml:space="preserve">Hp </w:t>
      </w:r>
      <w:r w:rsidRPr="001A6261">
        <w:rPr>
          <w:color w:val="000000"/>
        </w:rPr>
        <w:t xml:space="preserve">functions as an </w:t>
      </w:r>
      <w:r>
        <w:rPr>
          <w:color w:val="000000"/>
        </w:rPr>
        <w:t>i</w:t>
      </w:r>
      <w:r w:rsidRPr="001A6261">
        <w:rPr>
          <w:color w:val="000000"/>
        </w:rPr>
        <w:t>ron scavenger by binding fr</w:t>
      </w:r>
      <w:r>
        <w:rPr>
          <w:color w:val="000000"/>
        </w:rPr>
        <w:t xml:space="preserve">ee Haemoglobin </w:t>
      </w:r>
      <w:r w:rsidRPr="001A6261">
        <w:rPr>
          <w:color w:val="000000"/>
        </w:rPr>
        <w:t xml:space="preserve">that </w:t>
      </w:r>
      <w:r w:rsidR="00D7041F" w:rsidRPr="001A6261">
        <w:rPr>
          <w:color w:val="000000"/>
        </w:rPr>
        <w:t>forms</w:t>
      </w:r>
      <w:r w:rsidRPr="001A6261">
        <w:rPr>
          <w:color w:val="000000"/>
        </w:rPr>
        <w:t xml:space="preserve"> a stable complex with haemoglobin to aid the recycling of haemoglobin</w:t>
      </w:r>
      <w:r>
        <w:rPr>
          <w:color w:val="000000"/>
        </w:rPr>
        <w:t xml:space="preserve">’s iron. As such Hp </w:t>
      </w:r>
      <w:r w:rsidRPr="001A6261">
        <w:rPr>
          <w:color w:val="000000"/>
        </w:rPr>
        <w:t xml:space="preserve">prevents iron loss </w:t>
      </w:r>
      <w:r>
        <w:rPr>
          <w:color w:val="000000"/>
        </w:rPr>
        <w:t xml:space="preserve">from </w:t>
      </w:r>
      <w:r w:rsidR="00984205">
        <w:rPr>
          <w:color w:val="000000"/>
        </w:rPr>
        <w:t xml:space="preserve">the </w:t>
      </w:r>
      <w:r>
        <w:rPr>
          <w:color w:val="000000"/>
        </w:rPr>
        <w:t xml:space="preserve">body </w:t>
      </w:r>
      <w:r w:rsidRPr="001A6261">
        <w:rPr>
          <w:color w:val="000000"/>
        </w:rPr>
        <w:t xml:space="preserve">and </w:t>
      </w:r>
      <w:r>
        <w:rPr>
          <w:color w:val="000000"/>
        </w:rPr>
        <w:t>prevents deposition of iron in kidneys which can lead to renal dysfunction</w:t>
      </w:r>
      <w:r w:rsidRPr="001A6261">
        <w:rPr>
          <w:color w:val="000000"/>
        </w:rPr>
        <w:t xml:space="preserve">. In the </w:t>
      </w:r>
      <w:r>
        <w:rPr>
          <w:color w:val="000000"/>
        </w:rPr>
        <w:t>haematological</w:t>
      </w:r>
      <w:r w:rsidRPr="001A6261">
        <w:rPr>
          <w:color w:val="000000"/>
        </w:rPr>
        <w:t xml:space="preserve"> setting, serum Hp level is also</w:t>
      </w:r>
      <w:r>
        <w:rPr>
          <w:color w:val="000000"/>
        </w:rPr>
        <w:t xml:space="preserve"> a</w:t>
      </w:r>
      <w:r w:rsidRPr="001A6261">
        <w:rPr>
          <w:color w:val="000000"/>
        </w:rPr>
        <w:t xml:space="preserve"> well-known marker of </w:t>
      </w:r>
      <w:r>
        <w:rPr>
          <w:color w:val="000000"/>
        </w:rPr>
        <w:t xml:space="preserve">red cell </w:t>
      </w:r>
      <w:r w:rsidRPr="001A6261">
        <w:rPr>
          <w:color w:val="000000"/>
        </w:rPr>
        <w:t xml:space="preserve">haemolysis. High Hp level in plasma </w:t>
      </w:r>
      <w:r>
        <w:rPr>
          <w:color w:val="000000"/>
        </w:rPr>
        <w:t>is also</w:t>
      </w:r>
      <w:r w:rsidRPr="001A6261">
        <w:rPr>
          <w:color w:val="000000"/>
        </w:rPr>
        <w:t xml:space="preserve"> associated with an increased cardiovascular risk in obese men </w:t>
      </w:r>
      <w:r w:rsidRPr="001A6261">
        <w:rPr>
          <w:color w:val="000000"/>
        </w:rPr>
        <w:fldChar w:fldCharType="begin">
          <w:fldData xml:space="preserve">PEVuZE5vdGU+PENpdGU+PEF1dGhvcj5HdXB0YTwvQXV0aG9yPjxZZWFyPjIwMTE8L1llYXI+PFJl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</w:fldData>
        </w:fldChar>
      </w:r>
      <w:r w:rsidR="006F41FE">
        <w:rPr>
          <w:color w:val="000000"/>
        </w:rPr>
        <w:instrText xml:space="preserve"> ADDIN EN.CITE </w:instrText>
      </w:r>
      <w:r w:rsidR="006F41FE">
        <w:rPr>
          <w:color w:val="000000"/>
        </w:rPr>
        <w:fldChar w:fldCharType="begin">
          <w:fldData xml:space="preserve">PEVuZE5vdGU+PENpdGU+PEF1dGhvcj5HdXB0YTwvQXV0aG9yPjxZZWFyPjIwMTE8L1llYXI+PFJl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55" w:tooltip="Gupta, 2011 #1133" w:history="1">
        <w:r w:rsidR="004A784D">
          <w:rPr>
            <w:noProof/>
            <w:color w:val="000000"/>
          </w:rPr>
          <w:t>Gupta et al., 2011</w:t>
        </w:r>
      </w:hyperlink>
      <w:r w:rsidR="006F41FE">
        <w:rPr>
          <w:noProof/>
          <w:color w:val="000000"/>
        </w:rPr>
        <w:t xml:space="preserve">, </w:t>
      </w:r>
      <w:hyperlink w:anchor="_ENREF_5" w:tooltip="Adamsson Eryd, 2011 #1144" w:history="1">
        <w:r w:rsidR="004A784D">
          <w:rPr>
            <w:noProof/>
            <w:color w:val="000000"/>
          </w:rPr>
          <w:t>Adamsson Eryd et al., 2011</w:t>
        </w:r>
      </w:hyperlink>
      <w:r w:rsidR="006F41FE">
        <w:rPr>
          <w:noProof/>
          <w:color w:val="000000"/>
        </w:rPr>
        <w:t>)</w:t>
      </w:r>
      <w:r w:rsidRPr="001A6261">
        <w:rPr>
          <w:color w:val="000000"/>
        </w:rPr>
        <w:fldChar w:fldCharType="end"/>
      </w:r>
      <w:r w:rsidRPr="001A6261">
        <w:rPr>
          <w:color w:val="000000"/>
        </w:rPr>
        <w:t>.</w:t>
      </w:r>
    </w:p>
    <w:p w:rsidR="00CA48C1" w:rsidRDefault="00CA48C1"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Hp is al</w:t>
      </w:r>
      <w:r>
        <w:rPr>
          <w:color w:val="000000"/>
        </w:rPr>
        <w:t>so secreted by cancer cells</w:t>
      </w:r>
      <w:r w:rsidRPr="001A6261">
        <w:rPr>
          <w:color w:val="000000"/>
        </w:rPr>
        <w:t xml:space="preserve"> and intestinal tract. Besides its scavenging and inflammatory response functions, Hp has been shown to be involved in the regulati</w:t>
      </w:r>
      <w:r>
        <w:rPr>
          <w:color w:val="000000"/>
        </w:rPr>
        <w:t>on immune system in cancer</w:t>
      </w:r>
      <w:r w:rsidRPr="001A6261">
        <w:rPr>
          <w:color w:val="000000"/>
        </w:rPr>
        <w:t xml:space="preserve"> and angiogenesis </w:t>
      </w:r>
      <w:r w:rsidRPr="001A6261">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6F41FE">
        <w:rPr>
          <w:color w:val="000000"/>
        </w:rPr>
        <w:instrText xml:space="preserve"> ADDIN EN.CITE </w:instrText>
      </w:r>
      <w:r w:rsidR="006F41FE">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75" w:tooltip="Cid, 1993 #14" w:history="1">
        <w:r w:rsidR="004A784D">
          <w:rPr>
            <w:noProof/>
            <w:color w:val="000000"/>
          </w:rPr>
          <w:t>Cid et al., 1993</w:t>
        </w:r>
      </w:hyperlink>
      <w:r w:rsidR="006F41FE">
        <w:rPr>
          <w:noProof/>
          <w:color w:val="000000"/>
        </w:rPr>
        <w:t xml:space="preserve">, </w:t>
      </w:r>
      <w:hyperlink w:anchor="_ENREF_92" w:tooltip="de Kleijn, 2002 #8" w:history="1">
        <w:r w:rsidR="004A784D">
          <w:rPr>
            <w:noProof/>
            <w:color w:val="000000"/>
          </w:rPr>
          <w:t>de Kleijn et al., 2002</w:t>
        </w:r>
      </w:hyperlink>
      <w:r w:rsidR="006F41FE">
        <w:rPr>
          <w:noProof/>
          <w:color w:val="000000"/>
        </w:rPr>
        <w:t>)</w:t>
      </w:r>
      <w:r w:rsidRPr="001A6261">
        <w:rPr>
          <w:color w:val="000000"/>
        </w:rPr>
        <w:fldChar w:fldCharType="end"/>
      </w:r>
      <w:r>
        <w:rPr>
          <w:color w:val="000000"/>
        </w:rPr>
        <w:t>.</w:t>
      </w:r>
      <w:r w:rsidR="00636A88">
        <w:rPr>
          <w:color w:val="000000"/>
        </w:rPr>
        <w:t xml:space="preserve"> </w:t>
      </w:r>
    </w:p>
    <w:p w:rsidR="00CA48C1" w:rsidRDefault="00CA48C1" w:rsidP="00057B42">
      <w:pPr>
        <w:spacing w:line="360" w:lineRule="auto"/>
        <w:jc w:val="both"/>
        <w:rPr>
          <w:color w:val="000000"/>
          <w:lang w:val="en-GB"/>
        </w:rPr>
      </w:pPr>
    </w:p>
    <w:p w:rsidR="00B61503" w:rsidRDefault="00B61503" w:rsidP="00057B42">
      <w:pPr>
        <w:spacing w:line="360" w:lineRule="auto"/>
        <w:jc w:val="both"/>
        <w:rPr>
          <w:color w:val="000000"/>
          <w:lang w:val="en-GB"/>
        </w:rPr>
      </w:pPr>
      <w:r w:rsidRPr="001A6261">
        <w:rPr>
          <w:color w:val="000000"/>
          <w:lang w:val="en-GB"/>
        </w:rPr>
        <w:t xml:space="preserve">The full scope of biological functions of Hp in a variety of diseases including MM is not well understood. Active myeloma disease is significantly more common among patients with biologic evidence of inflammation, as compared with myeloma patients without biologic inflammation </w:t>
      </w:r>
      <w:r w:rsidRPr="001A6261">
        <w:rPr>
          <w:color w:val="000000"/>
          <w:lang w:val="en-GB"/>
        </w:rPr>
        <w:fldChar w:fldCharType="begin">
          <w:fldData xml:space="preserve">PEVuZE5vdGU+PENpdGU+PEF1dGhvcj5EdWJvc3Q8L0F1dGhvcj48WWVhcj4xOTkxPC9ZZWFyPjxS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</w:fldData>
        </w:fldChar>
      </w:r>
      <w:r w:rsidR="003C0ABB">
        <w:rPr>
          <w:color w:val="000000"/>
          <w:lang w:val="en-GB"/>
        </w:rPr>
        <w:instrText xml:space="preserve"> ADDIN EN.CITE </w:instrText>
      </w:r>
      <w:r w:rsidR="003C0ABB">
        <w:rPr>
          <w:color w:val="000000"/>
          <w:lang w:val="en-GB"/>
        </w:rPr>
        <w:fldChar w:fldCharType="begin">
          <w:fldData xml:space="preserve">PEVuZE5vdGU+PENpdGU+PEF1dGhvcj5EdWJvc3Q8L0F1dGhvcj48WWVhcj4xOTkxPC9ZZWFyPjxS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</w:fldData>
        </w:fldChar>
      </w:r>
      <w:r w:rsidR="003C0ABB">
        <w:rPr>
          <w:color w:val="000000"/>
          <w:lang w:val="en-GB"/>
        </w:rPr>
        <w:instrText xml:space="preserve"> ADDIN EN.CITE.DATA </w:instrText>
      </w:r>
      <w:r w:rsidR="003C0ABB">
        <w:rPr>
          <w:color w:val="000000"/>
          <w:lang w:val="en-GB"/>
        </w:rPr>
      </w:r>
      <w:r w:rsidR="003C0ABB">
        <w:rPr>
          <w:color w:val="000000"/>
          <w:lang w:val="en-GB"/>
        </w:rPr>
        <w:fldChar w:fldCharType="end"/>
      </w:r>
      <w:r w:rsidRPr="001A6261">
        <w:rPr>
          <w:color w:val="000000"/>
          <w:lang w:val="en-GB"/>
        </w:rPr>
      </w:r>
      <w:r w:rsidRPr="001A6261">
        <w:rPr>
          <w:color w:val="000000"/>
          <w:lang w:val="en-GB"/>
        </w:rPr>
        <w:fldChar w:fldCharType="separate"/>
      </w:r>
      <w:r w:rsidR="006F41FE">
        <w:rPr>
          <w:noProof/>
          <w:color w:val="000000"/>
          <w:lang w:val="en-GB"/>
        </w:rPr>
        <w:t>(</w:t>
      </w:r>
      <w:hyperlink w:anchor="_ENREF_109" w:tooltip="Dubost, 1991 #5872" w:history="1">
        <w:r w:rsidR="004A784D">
          <w:rPr>
            <w:noProof/>
            <w:color w:val="000000"/>
            <w:lang w:val="en-GB"/>
          </w:rPr>
          <w:t>Dubost et al., 1991</w:t>
        </w:r>
      </w:hyperlink>
      <w:r w:rsidR="006F41FE">
        <w:rPr>
          <w:noProof/>
          <w:color w:val="000000"/>
          <w:lang w:val="en-GB"/>
        </w:rPr>
        <w:t xml:space="preserve">, </w:t>
      </w:r>
      <w:hyperlink w:anchor="_ENREF_11" w:tooltip="Alexandrakis, 2003 #5868" w:history="1">
        <w:r w:rsidR="004A784D">
          <w:rPr>
            <w:noProof/>
            <w:color w:val="000000"/>
            <w:lang w:val="en-GB"/>
          </w:rPr>
          <w:t>Alexandrakis et al., 2003</w:t>
        </w:r>
      </w:hyperlink>
      <w:r w:rsidR="006F41FE">
        <w:rPr>
          <w:noProof/>
          <w:color w:val="000000"/>
          <w:lang w:val="en-GB"/>
        </w:rPr>
        <w:t>)</w:t>
      </w:r>
      <w:r w:rsidRPr="001A6261">
        <w:rPr>
          <w:color w:val="000000"/>
        </w:rPr>
        <w:fldChar w:fldCharType="end"/>
      </w:r>
      <w:r w:rsidRPr="001A6261">
        <w:rPr>
          <w:color w:val="000000"/>
          <w:lang w:val="en-GB"/>
        </w:rPr>
        <w:t xml:space="preserve">. Several of the acute phase proteins including Hp are believed to predict prognosis and influence survival in cancer </w:t>
      </w:r>
      <w:r w:rsidRPr="001A6261">
        <w:rPr>
          <w:color w:val="000000"/>
          <w:lang w:val="en-GB"/>
        </w:rPr>
        <w:fldChar w:fldCharType="begin">
          <w:fldData xml:space="preserve">PEVuZE5vdGU+PENpdGU+PEF1dGhvcj5NZXJsaW5pPC9BdXRob3I+PFllYXI+MTk5MzwvWWVhcj48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</w:fldData>
        </w:fldChar>
      </w:r>
      <w:r w:rsidR="00636A88">
        <w:rPr>
          <w:color w:val="000000"/>
          <w:lang w:val="en-GB"/>
        </w:rPr>
        <w:instrText xml:space="preserve"> ADDIN EN.CITE </w:instrText>
      </w:r>
      <w:r w:rsidR="00636A88">
        <w:rPr>
          <w:color w:val="000000"/>
          <w:lang w:val="en-GB"/>
        </w:rPr>
        <w:fldChar w:fldCharType="begin">
          <w:fldData xml:space="preserve">PEVuZE5vdGU+PENpdGU+PEF1dGhvcj5NZXJsaW5pPC9BdXRob3I+PFllYXI+MTk5MzwvWWVhcj48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</w:fldData>
        </w:fldChar>
      </w:r>
      <w:r w:rsidR="00636A88">
        <w:rPr>
          <w:color w:val="000000"/>
          <w:lang w:val="en-GB"/>
        </w:rPr>
        <w:instrText xml:space="preserve"> ADDIN EN.CITE.DATA </w:instrText>
      </w:r>
      <w:r w:rsidR="00636A88">
        <w:rPr>
          <w:color w:val="000000"/>
          <w:lang w:val="en-GB"/>
        </w:rPr>
      </w:r>
      <w:r w:rsidR="00636A88">
        <w:rPr>
          <w:color w:val="000000"/>
          <w:lang w:val="en-GB"/>
        </w:rPr>
        <w:fldChar w:fldCharType="end"/>
      </w:r>
      <w:r w:rsidRPr="001A6261">
        <w:rPr>
          <w:color w:val="000000"/>
          <w:lang w:val="en-GB"/>
        </w:rPr>
      </w:r>
      <w:r w:rsidRPr="001A6261">
        <w:rPr>
          <w:color w:val="000000"/>
          <w:lang w:val="en-GB"/>
        </w:rPr>
        <w:fldChar w:fldCharType="separate"/>
      </w:r>
      <w:r w:rsidR="00636A88">
        <w:rPr>
          <w:noProof/>
          <w:color w:val="000000"/>
          <w:lang w:val="en-GB"/>
        </w:rPr>
        <w:t>(</w:t>
      </w:r>
      <w:hyperlink w:anchor="_ENREF_273" w:tooltip="Merlini, 1993 #5871" w:history="1">
        <w:r w:rsidR="004A784D">
          <w:rPr>
            <w:noProof/>
            <w:color w:val="000000"/>
            <w:lang w:val="en-GB"/>
          </w:rPr>
          <w:t>Merlini et al., 1993</w:t>
        </w:r>
      </w:hyperlink>
      <w:r w:rsidR="00636A88">
        <w:rPr>
          <w:noProof/>
          <w:color w:val="000000"/>
          <w:lang w:val="en-GB"/>
        </w:rPr>
        <w:t xml:space="preserve">, </w:t>
      </w:r>
      <w:hyperlink w:anchor="_ENREF_107" w:tooltip="Dowling, 2007 #5267" w:history="1">
        <w:r w:rsidR="004A784D">
          <w:rPr>
            <w:noProof/>
            <w:color w:val="000000"/>
            <w:lang w:val="en-GB"/>
          </w:rPr>
          <w:t>Dowling et al., 2007b</w:t>
        </w:r>
      </w:hyperlink>
      <w:r w:rsidR="00636A88">
        <w:rPr>
          <w:noProof/>
          <w:color w:val="000000"/>
          <w:lang w:val="en-GB"/>
        </w:rPr>
        <w:t>)</w:t>
      </w:r>
      <w:r w:rsidRPr="001A6261">
        <w:rPr>
          <w:color w:val="000000"/>
        </w:rPr>
        <w:fldChar w:fldCharType="end"/>
      </w:r>
      <w:r w:rsidRPr="001A6261">
        <w:rPr>
          <w:color w:val="000000"/>
          <w:lang w:val="en-GB"/>
        </w:rPr>
        <w:t xml:space="preserve">. </w:t>
      </w:r>
    </w:p>
    <w:p w:rsidR="00856253" w:rsidRDefault="00B61503" w:rsidP="00057B42">
      <w:pPr>
        <w:spacing w:line="360" w:lineRule="auto"/>
        <w:jc w:val="both"/>
        <w:rPr>
          <w:color w:val="000000"/>
          <w:lang w:val="en-GB"/>
        </w:rPr>
      </w:pPr>
      <w:r>
        <w:rPr>
          <w:color w:val="000000"/>
          <w:lang w:val="en-GB"/>
        </w:rPr>
        <w:t>In this study, t</w:t>
      </w:r>
      <w:r w:rsidRPr="001A6261">
        <w:rPr>
          <w:color w:val="000000"/>
          <w:lang w:val="en-GB"/>
        </w:rPr>
        <w:t>he concentration of haptoglobin (Hp) in serum of patient responsive to thalidomide was higher as compare to non-responders.</w:t>
      </w:r>
      <w:r>
        <w:rPr>
          <w:color w:val="000000"/>
          <w:lang w:val="en-GB"/>
        </w:rPr>
        <w:t xml:space="preserve"> </w:t>
      </w:r>
      <w:r w:rsidRPr="00027788">
        <w:rPr>
          <w:color w:val="000000"/>
          <w:lang w:val="en-GB"/>
        </w:rPr>
        <w:t xml:space="preserve">Our 2D-DIGE data and ELISA analysis showed that </w:t>
      </w:r>
      <w:r>
        <w:rPr>
          <w:color w:val="000000"/>
          <w:lang w:val="en-GB"/>
        </w:rPr>
        <w:t>Hp</w:t>
      </w:r>
      <w:r w:rsidRPr="00027788">
        <w:rPr>
          <w:color w:val="000000"/>
          <w:lang w:val="en-GB"/>
        </w:rPr>
        <w:t xml:space="preserve"> had a </w:t>
      </w:r>
      <w:r w:rsidRPr="007D3E03">
        <w:rPr>
          <w:color w:val="000000"/>
          <w:lang w:val="en-GB"/>
        </w:rPr>
        <w:t>3.01 (</w:t>
      </w:r>
      <w:r w:rsidR="0010315E" w:rsidRPr="0010315E">
        <w:rPr>
          <w:i/>
          <w:color w:val="000000"/>
          <w:lang w:val="en-GB"/>
        </w:rPr>
        <w:t>p=</w:t>
      </w:r>
      <w:r w:rsidRPr="007D3E03">
        <w:rPr>
          <w:color w:val="000000"/>
          <w:lang w:val="en-GB"/>
        </w:rPr>
        <w:t>0.0015)</w:t>
      </w:r>
      <w:r>
        <w:rPr>
          <w:color w:val="000000"/>
          <w:lang w:val="en-GB"/>
        </w:rPr>
        <w:t xml:space="preserve"> and </w:t>
      </w:r>
      <w:r w:rsidRPr="007D3E03">
        <w:rPr>
          <w:color w:val="000000"/>
          <w:lang w:val="en-GB"/>
        </w:rPr>
        <w:t>1.73 (</w:t>
      </w:r>
      <w:r w:rsidR="0010315E" w:rsidRPr="0010315E">
        <w:rPr>
          <w:i/>
          <w:color w:val="000000"/>
          <w:lang w:val="en-GB"/>
        </w:rPr>
        <w:t>p=</w:t>
      </w:r>
      <w:r w:rsidRPr="007D3E03">
        <w:rPr>
          <w:color w:val="000000"/>
          <w:lang w:val="en-GB"/>
        </w:rPr>
        <w:t xml:space="preserve"> 0.03241) </w:t>
      </w:r>
      <w:r w:rsidRPr="00027788">
        <w:rPr>
          <w:color w:val="000000"/>
          <w:lang w:val="en-GB"/>
        </w:rPr>
        <w:t xml:space="preserve">and a fold </w:t>
      </w:r>
      <w:r>
        <w:rPr>
          <w:color w:val="000000"/>
          <w:lang w:val="en-GB"/>
        </w:rPr>
        <w:t xml:space="preserve">decrease </w:t>
      </w:r>
      <w:r w:rsidRPr="00027788">
        <w:rPr>
          <w:color w:val="000000"/>
          <w:lang w:val="en-GB"/>
        </w:rPr>
        <w:t>in abundance levels in non-responders compared to responders, re</w:t>
      </w:r>
      <w:r>
        <w:rPr>
          <w:color w:val="000000"/>
          <w:lang w:val="en-GB"/>
        </w:rPr>
        <w:t xml:space="preserve">spectively </w:t>
      </w:r>
      <w:r w:rsidR="008D148E" w:rsidRPr="00225402">
        <w:rPr>
          <w:color w:val="000000"/>
          <w:lang w:val="en-GB"/>
        </w:rPr>
        <w:t>(</w:t>
      </w:r>
      <w:r w:rsidR="008D148E">
        <w:rPr>
          <w:color w:val="000000"/>
          <w:lang w:val="en-GB"/>
        </w:rPr>
        <w:t xml:space="preserve">Chapter 3 </w:t>
      </w:r>
      <w:r w:rsidR="008D148E" w:rsidRPr="00225402">
        <w:rPr>
          <w:color w:val="000000"/>
          <w:lang w:val="en-GB"/>
        </w:rPr>
        <w:t xml:space="preserve">Figure </w:t>
      </w:r>
      <w:r w:rsidR="008D148E">
        <w:rPr>
          <w:color w:val="000000"/>
          <w:lang w:val="en-GB"/>
        </w:rPr>
        <w:t>3-26 and Table 3-5</w:t>
      </w:r>
      <w:r w:rsidRPr="00027788">
        <w:rPr>
          <w:color w:val="000000"/>
          <w:lang w:val="en-GB"/>
        </w:rPr>
        <w:t>)</w:t>
      </w:r>
      <w:r>
        <w:rPr>
          <w:color w:val="000000"/>
          <w:lang w:val="en-GB"/>
        </w:rPr>
        <w:t xml:space="preserve">. </w:t>
      </w:r>
    </w:p>
    <w:p w:rsidR="00856253" w:rsidRDefault="00856253" w:rsidP="00057B42">
      <w:pPr>
        <w:spacing w:line="360" w:lineRule="auto"/>
        <w:jc w:val="both"/>
        <w:rPr>
          <w:color w:val="000000"/>
          <w:lang w:val="en-GB"/>
        </w:rPr>
      </w:pPr>
    </w:p>
    <w:p w:rsidR="00856253" w:rsidRDefault="00B61503" w:rsidP="00057B42">
      <w:pPr>
        <w:spacing w:line="360" w:lineRule="auto"/>
        <w:jc w:val="both"/>
        <w:rPr>
          <w:bCs/>
          <w:color w:val="000000"/>
        </w:rPr>
      </w:pPr>
      <w:r>
        <w:rPr>
          <w:color w:val="000000"/>
          <w:lang w:val="en-GB"/>
        </w:rPr>
        <w:t>T</w:t>
      </w:r>
      <w:r w:rsidRPr="007D3E03">
        <w:rPr>
          <w:color w:val="000000"/>
          <w:lang w:val="en-GB"/>
        </w:rPr>
        <w:t xml:space="preserve">he ROC curve was generated from the ELISA data for Hp, which showed an AUC of 0.64, with sensitivity of 50.0 </w:t>
      </w:r>
      <w:r>
        <w:rPr>
          <w:color w:val="000000"/>
          <w:lang w:val="en-GB"/>
        </w:rPr>
        <w:t xml:space="preserve">of and specificity of 79.3 and </w:t>
      </w:r>
      <w:r w:rsidR="0010315E" w:rsidRPr="0010315E">
        <w:rPr>
          <w:i/>
          <w:color w:val="000000"/>
          <w:lang w:val="en-GB"/>
        </w:rPr>
        <w:t>p=</w:t>
      </w:r>
      <w:r w:rsidRPr="007D3E03">
        <w:rPr>
          <w:color w:val="000000"/>
          <w:lang w:val="en-GB"/>
        </w:rPr>
        <w:t xml:space="preserve">0.05 indicating that </w:t>
      </w:r>
      <w:r w:rsidRPr="007D3E03">
        <w:rPr>
          <w:color w:val="000000"/>
          <w:lang w:val="en-GB"/>
        </w:rPr>
        <w:lastRenderedPageBreak/>
        <w:t>Hp as a single protein biomarker has a minimal discriminatory power for predicting response to thalidomide based regimen.</w:t>
      </w:r>
      <w:r w:rsidRPr="001A6261">
        <w:rPr>
          <w:color w:val="000000"/>
          <w:lang w:val="en-GB"/>
        </w:rPr>
        <w:t xml:space="preserve"> </w:t>
      </w:r>
      <w:r w:rsidRPr="001A6261">
        <w:rPr>
          <w:color w:val="000000"/>
        </w:rPr>
        <w:t xml:space="preserve">However, </w:t>
      </w:r>
      <w:r>
        <w:rPr>
          <w:color w:val="000000"/>
        </w:rPr>
        <w:t xml:space="preserve">it is not clear why </w:t>
      </w:r>
      <w:r w:rsidRPr="001A6261">
        <w:rPr>
          <w:color w:val="000000"/>
        </w:rPr>
        <w:t>responder’s patients have higher level of Hp</w:t>
      </w:r>
      <w:r>
        <w:rPr>
          <w:color w:val="000000"/>
        </w:rPr>
        <w:t>.</w:t>
      </w:r>
      <w:r w:rsidRPr="001A6261">
        <w:rPr>
          <w:color w:val="000000"/>
        </w:rPr>
        <w:t xml:space="preserve"> Perhaps involvement of </w:t>
      </w:r>
      <w:r>
        <w:rPr>
          <w:color w:val="000000"/>
        </w:rPr>
        <w:t>Hp</w:t>
      </w:r>
      <w:r w:rsidRPr="001A6261">
        <w:rPr>
          <w:color w:val="000000"/>
        </w:rPr>
        <w:t xml:space="preserve"> in </w:t>
      </w:r>
      <w:r>
        <w:rPr>
          <w:color w:val="000000"/>
        </w:rPr>
        <w:t xml:space="preserve">the </w:t>
      </w:r>
      <w:r w:rsidRPr="001A6261">
        <w:rPr>
          <w:color w:val="000000"/>
        </w:rPr>
        <w:t>activation of the immune system and the host defence responses to inflammation</w:t>
      </w:r>
      <w:r>
        <w:rPr>
          <w:color w:val="000000"/>
        </w:rPr>
        <w:t>. This subsequently may lead to a favourable response to immune modulator thalidomide.</w:t>
      </w:r>
      <w:r w:rsidRPr="001A6261">
        <w:rPr>
          <w:color w:val="000000"/>
        </w:rPr>
        <w:t xml:space="preserve"> In addition as explained, t</w:t>
      </w:r>
      <w:r w:rsidRPr="001A6261">
        <w:rPr>
          <w:bCs/>
          <w:color w:val="000000"/>
        </w:rPr>
        <w:t>halidomide also has potent anti-angiogenic effects by AKT signalling and secretion of anti-angiogenic cytokines</w:t>
      </w:r>
      <w:r>
        <w:rPr>
          <w:bCs/>
          <w:color w:val="000000"/>
        </w:rPr>
        <w:t xml:space="preserve"> </w:t>
      </w:r>
      <w:r>
        <w:rPr>
          <w:bCs/>
          <w:color w:val="000000"/>
        </w:rPr>
        <w:fldChar w:fldCharType="begin"/>
      </w:r>
      <w:r w:rsidR="006F41FE">
        <w:rPr>
          <w:bCs/>
          <w:color w:val="000000"/>
        </w:rPr>
        <w:instrText xml:space="preserve"> ADDIN EN.CITE &lt;EndNote&gt;&lt;Cite&gt;&lt;Author&gt;Sze&lt;/Author&gt;&lt;Year&gt;2006&lt;/Year&gt;&lt;RecNum&gt;4924&lt;/RecNum&gt;&lt;DisplayText&gt;(Sze et al., 2006)&lt;/DisplayText&gt;&lt;record&gt;&lt;rec-number&gt;4924&lt;/rec-number&gt;&lt;foreign-keys&gt;&lt;key app="EN" db-id="zf0awxsaczrdd3eft5qvw9wrtxxawdfrvw2a"&gt;4924&lt;/key&gt;&lt;/foreign-keys&gt;&lt;ref-type name="Journal Article"&gt;17&lt;/ref-type&gt;&lt;contributors&gt;&lt;authors&gt;&lt;author&gt;Sze, D. M.&lt;/author&gt;&lt;author&gt;Brown, R.&lt;/author&gt;&lt;author&gt;Yang, S.&lt;/author&gt;&lt;author&gt;Ho, P. J.&lt;/author&gt;&lt;author&gt;Gibson, J.&lt;/author&gt;&lt;author&gt;Joshua, D.&lt;/author&gt;&lt;/authors&gt;&lt;/contributors&gt;&lt;auth-address&gt;Institute of Haematology, Royal Prince Alfred Hospital, Camperdown, NSW 2050, Australia. d.sze@pharm.usyd.edu.au&lt;/auth-address&gt;&lt;titles&gt;&lt;title&gt;The use of thalidomide in myeloma therapy as an effective anticancer drug&lt;/title&gt;&lt;secondary-title&gt;Curr Cancer Drug Targets&lt;/secondary-title&gt;&lt;/titles&gt;&lt;periodical&gt;&lt;full-title&gt;Curr Cancer Drug Targets&lt;/full-title&gt;&lt;/periodical&gt;&lt;pages&gt;325-31&lt;/pages&gt;&lt;volume&gt;6&lt;/volume&gt;&lt;number&gt;4&lt;/number&gt;&lt;edition&gt;2006/07/20&lt;/edition&gt;&lt;keywords&gt;&lt;keyword&gt;Animals&lt;/keyword&gt;&lt;keyword&gt;Antineoplastic Agents/pharmacology/*therapeutic use&lt;/keyword&gt;&lt;keyword&gt;Bone Remodeling&lt;/keyword&gt;&lt;keyword&gt;Bone and Bones/drug effects/metabolism/pathology&lt;/keyword&gt;&lt;keyword&gt;Cell Proliferation/drug effects&lt;/keyword&gt;&lt;keyword&gt;Humans&lt;/keyword&gt;&lt;keyword&gt;Killer Cells, Natural/drug effects/immunology&lt;/keyword&gt;&lt;keyword&gt;Multiple Myeloma/blood supply/*drug therapy/immunology/pathology&lt;/keyword&gt;&lt;keyword&gt;Neovascularization, Pathologic/prevention &amp;amp; control&lt;/keyword&gt;&lt;keyword&gt;T-Lymphocytes/drug effects/immunology&lt;/keyword&gt;&lt;keyword&gt;Thalidomide/pharmacology/*therapeutic use&lt;/keyword&gt;&lt;/keywords&gt;&lt;dates&gt;&lt;year&gt;2006&lt;/year&gt;&lt;pub-dates&gt;&lt;date&gt;Jun&lt;/date&gt;&lt;/pub-dates&gt;&lt;/dates&gt;&lt;isbn&gt;1568-0096 (Print)&amp;#xD;1568-0096 (Linking)&lt;/isbn&gt;&lt;accession-num&gt;16848723&lt;/accession-num&gt;&lt;urls&gt;&lt;related-urls&gt;&lt;url&gt;http://www.ncbi.nlm.nih.gov/pubmed/16848723&lt;/url&gt;&lt;/related-urls&gt;&lt;/urls&gt;&lt;language&gt;eng&lt;/language&gt;&lt;/record&gt;&lt;/Cite&gt;&lt;/EndNote&gt;</w:instrText>
      </w:r>
      <w:r>
        <w:rPr>
          <w:bCs/>
          <w:color w:val="000000"/>
        </w:rPr>
        <w:fldChar w:fldCharType="separate"/>
      </w:r>
      <w:r w:rsidR="006F41FE">
        <w:rPr>
          <w:bCs/>
          <w:noProof/>
          <w:color w:val="000000"/>
        </w:rPr>
        <w:t>(</w:t>
      </w:r>
      <w:hyperlink w:anchor="_ENREF_408" w:tooltip="Sze, 2006 #4924" w:history="1">
        <w:r w:rsidR="004A784D">
          <w:rPr>
            <w:bCs/>
            <w:noProof/>
            <w:color w:val="000000"/>
          </w:rPr>
          <w:t>Sze et al., 2006</w:t>
        </w:r>
      </w:hyperlink>
      <w:r w:rsidR="006F41FE">
        <w:rPr>
          <w:bCs/>
          <w:noProof/>
          <w:color w:val="000000"/>
        </w:rPr>
        <w:t>)</w:t>
      </w:r>
      <w:r>
        <w:rPr>
          <w:bCs/>
          <w:color w:val="000000"/>
        </w:rPr>
        <w:fldChar w:fldCharType="end"/>
      </w:r>
      <w:r w:rsidRPr="001A6261">
        <w:rPr>
          <w:bCs/>
          <w:color w:val="000000"/>
        </w:rPr>
        <w:t xml:space="preserve">. </w:t>
      </w:r>
    </w:p>
    <w:p w:rsidR="00856253" w:rsidRDefault="00856253" w:rsidP="00057B42">
      <w:pPr>
        <w:spacing w:line="360" w:lineRule="auto"/>
        <w:jc w:val="both"/>
        <w:rPr>
          <w:bCs/>
          <w:color w:val="000000"/>
        </w:rPr>
      </w:pPr>
    </w:p>
    <w:p w:rsidR="00B61503" w:rsidRPr="007D3E03" w:rsidRDefault="00B61503" w:rsidP="00057B42">
      <w:pPr>
        <w:spacing w:line="360" w:lineRule="auto"/>
        <w:jc w:val="both"/>
        <w:rPr>
          <w:color w:val="000000"/>
          <w:lang w:val="en-GB"/>
        </w:rPr>
      </w:pPr>
      <w:r w:rsidRPr="001A6261">
        <w:rPr>
          <w:bCs/>
          <w:color w:val="000000"/>
        </w:rPr>
        <w:t xml:space="preserve">The opinion that Hp </w:t>
      </w:r>
      <w:r>
        <w:rPr>
          <w:bCs/>
          <w:color w:val="000000"/>
        </w:rPr>
        <w:t>may affect tumour angiogenesis</w:t>
      </w:r>
      <w:r w:rsidRPr="001A6261">
        <w:rPr>
          <w:bCs/>
          <w:color w:val="000000"/>
        </w:rPr>
        <w:t xml:space="preserve"> and has a higher concentration in responders to thalidomide </w:t>
      </w:r>
      <w:r>
        <w:rPr>
          <w:bCs/>
          <w:color w:val="000000"/>
        </w:rPr>
        <w:t>support</w:t>
      </w:r>
      <w:r w:rsidRPr="001A6261">
        <w:rPr>
          <w:bCs/>
          <w:color w:val="000000"/>
        </w:rPr>
        <w:t xml:space="preserve"> the idea that inhibition of anti-angiogenesis is an important part of disease response to thalidomide</w:t>
      </w:r>
      <w:r w:rsidR="00636A88">
        <w:rPr>
          <w:bCs/>
          <w:color w:val="000000"/>
        </w:rPr>
        <w:t xml:space="preserve"> </w:t>
      </w:r>
      <w:r w:rsidR="00636A88">
        <w:rPr>
          <w:bCs/>
          <w:color w:val="000000"/>
        </w:rPr>
        <w:fldChar w:fldCharType="begin"/>
      </w:r>
      <w:r w:rsidR="00636A88">
        <w:rPr>
          <w:bCs/>
          <w:color w:val="000000"/>
        </w:rPr>
        <w:instrText xml:space="preserve"> ADDIN EN.CITE &lt;EndNote&gt;&lt;Cite&gt;&lt;Author&gt;Palumbo&lt;/Author&gt;&lt;Year&gt;2008&lt;/Year&gt;&lt;RecNum&gt;5005&lt;/RecNum&gt;&lt;DisplayText&gt;(Palumbo et al., 2008b)&lt;/DisplayText&gt;&lt;record&gt;&lt;rec-number&gt;5005&lt;/rec-number&gt;&lt;foreign-keys&gt;&lt;key app="EN" db-id="zf0awxsaczrdd3eft5qvw9wrtxxawdfrvw2a"&gt;5005&lt;/key&gt;&lt;/foreign-keys&gt;&lt;ref-type name="Journal Article"&gt;17&lt;/ref-type&gt;&lt;contributors&gt;&lt;authors&gt;&lt;author&gt;Palumbo, A.&lt;/author&gt;&lt;author&gt;Facon, T.&lt;/author&gt;&lt;author&gt;Sonneveld, P.&lt;/author&gt;&lt;author&gt;Blade, J.&lt;/author&gt;&lt;author&gt;Offidani, M.&lt;/author&gt;&lt;author&gt;Gay, F.&lt;/author&gt;&lt;author&gt;Moreau, P.&lt;/author&gt;&lt;author&gt;Waage, A.&lt;/author&gt;&lt;author&gt;Spencer, A.&lt;/author&gt;&lt;author&gt;Ludwig, H.&lt;/author&gt;&lt;author&gt;Boccadoro, M.&lt;/author&gt;&lt;author&gt;Harousseau, J. L.&lt;/author&gt;&lt;/authors&gt;&lt;/contributors&gt;&lt;auth-address&gt;Division of Hematology, University of Torino, Azienda Ospedaliera S Giovanni Battista, Torino, Italy. appalumbo@yahoo.com&lt;/auth-address&gt;&lt;titles&gt;&lt;title&gt;Thalidomide for treatment of multiple myeloma: 10 years later&lt;/title&gt;&lt;secondary-title&gt;Blood&lt;/secondary-title&gt;&lt;/titles&gt;&lt;periodical&gt;&lt;full-title&gt;Blood&lt;/full-title&gt;&lt;/periodical&gt;&lt;pages&gt;3968-77&lt;/pages&gt;&lt;volume&gt;111&lt;/volume&gt;&lt;number&gt;8&lt;/number&gt;&lt;edition&gt;2008/02/05&lt;/edition&gt;&lt;keywords&gt;&lt;keyword&gt;Antineoplastic Agents/therapeutic use&lt;/keyword&gt;&lt;keyword&gt;Clinical Trials as Topic&lt;/keyword&gt;&lt;keyword&gt;Drug and Narcotic Control&lt;/keyword&gt;&lt;keyword&gt;Humans&lt;/keyword&gt;&lt;keyword&gt;Multiple Myeloma/*drug therapy&lt;/keyword&gt;&lt;keyword&gt;Stem Cell Transplantation&lt;/keyword&gt;&lt;keyword&gt;Thalidomide/adverse effects/chemistry/pharmacology/*therapeutic use&lt;/keyword&gt;&lt;/keywords&gt;&lt;dates&gt;&lt;year&gt;2008&lt;/year&gt;&lt;pub-dates&gt;&lt;date&gt;Apr 15&lt;/date&gt;&lt;/pub-dates&gt;&lt;/dates&gt;&lt;isbn&gt;0006-4971 (Print)&amp;#xD;0006-4971 (Linking)&lt;/isbn&gt;&lt;accession-num&gt;18245666&lt;/accession-num&gt;&lt;urls&gt;&lt;related-urls&gt;&lt;url&gt;http://www.ncbi.nlm.nih.gov/pubmed/18245666&lt;/url&gt;&lt;/related-urls&gt;&lt;/urls&gt;&lt;electronic-resource-num&gt;blood-2007-10-117457 [pii]&amp;#xD;10.1182/blood-2007-10-117457&lt;/electronic-resource-num&gt;&lt;language&gt;eng&lt;/language&gt;&lt;/record&gt;&lt;/Cite&gt;&lt;/EndNote&gt;</w:instrText>
      </w:r>
      <w:r w:rsidR="00636A88">
        <w:rPr>
          <w:bCs/>
          <w:color w:val="000000"/>
        </w:rPr>
        <w:fldChar w:fldCharType="separate"/>
      </w:r>
      <w:r w:rsidR="00636A88">
        <w:rPr>
          <w:bCs/>
          <w:noProof/>
          <w:color w:val="000000"/>
        </w:rPr>
        <w:t>(</w:t>
      </w:r>
      <w:hyperlink w:anchor="_ENREF_313" w:tooltip="Palumbo, 2008 #5005" w:history="1">
        <w:r w:rsidR="004A784D">
          <w:rPr>
            <w:bCs/>
            <w:noProof/>
            <w:color w:val="000000"/>
          </w:rPr>
          <w:t>Palumbo et al., 2008b</w:t>
        </w:r>
      </w:hyperlink>
      <w:r w:rsidR="00636A88">
        <w:rPr>
          <w:bCs/>
          <w:noProof/>
          <w:color w:val="000000"/>
        </w:rPr>
        <w:t>)</w:t>
      </w:r>
      <w:r w:rsidR="00636A88">
        <w:rPr>
          <w:bCs/>
          <w:color w:val="000000"/>
        </w:rPr>
        <w:fldChar w:fldCharType="end"/>
      </w:r>
      <w:r w:rsidRPr="001A6261">
        <w:rPr>
          <w:bCs/>
          <w:color w:val="000000"/>
        </w:rPr>
        <w:t>.</w:t>
      </w:r>
    </w:p>
    <w:p w:rsidR="00CA48C1" w:rsidRDefault="00CA48C1"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Hp is normally removed by the immunodepletion column</w:t>
      </w:r>
      <w:r w:rsidR="00636A88">
        <w:rPr>
          <w:color w:val="000000"/>
        </w:rPr>
        <w:t xml:space="preserve"> </w:t>
      </w:r>
      <w:r w:rsidR="00636A88">
        <w:rPr>
          <w:color w:val="000000"/>
        </w:rPr>
        <w:fldChar w:fldCharType="begin">
          <w:fldData xml:space="preserve">PEVuZE5vdGU+PENpdGU+PEF1dGhvcj5EdWFuPC9BdXRob3I+PFllYXI+MjAwNTwvWWVhcj48UmVj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</w:fldData>
        </w:fldChar>
      </w:r>
      <w:r w:rsidR="00636A88">
        <w:rPr>
          <w:color w:val="000000"/>
        </w:rPr>
        <w:instrText xml:space="preserve"> ADDIN EN.CITE </w:instrText>
      </w:r>
      <w:r w:rsidR="00636A88">
        <w:rPr>
          <w:color w:val="000000"/>
        </w:rPr>
        <w:fldChar w:fldCharType="begin">
          <w:fldData xml:space="preserve">PEVuZE5vdGU+PENpdGU+PEF1dGhvcj5EdWFuPC9BdXRob3I+PFllYXI+MjAwNTwvWWVhcj48UmVj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</w:fldData>
        </w:fldChar>
      </w:r>
      <w:r w:rsidR="00636A88">
        <w:rPr>
          <w:color w:val="000000"/>
        </w:rPr>
        <w:instrText xml:space="preserve"> ADDIN EN.CITE.DATA </w:instrText>
      </w:r>
      <w:r w:rsidR="00636A88">
        <w:rPr>
          <w:color w:val="000000"/>
        </w:rPr>
      </w:r>
      <w:r w:rsidR="00636A88">
        <w:rPr>
          <w:color w:val="000000"/>
        </w:rPr>
        <w:fldChar w:fldCharType="end"/>
      </w:r>
      <w:r w:rsidR="00636A88">
        <w:rPr>
          <w:color w:val="000000"/>
        </w:rPr>
      </w:r>
      <w:r w:rsidR="00636A88">
        <w:rPr>
          <w:color w:val="000000"/>
        </w:rPr>
        <w:fldChar w:fldCharType="separate"/>
      </w:r>
      <w:r w:rsidR="00636A88">
        <w:rPr>
          <w:noProof/>
          <w:color w:val="000000"/>
        </w:rPr>
        <w:t>(</w:t>
      </w:r>
      <w:hyperlink w:anchor="_ENREF_108" w:tooltip="Duan, 2005 #5906" w:history="1">
        <w:r w:rsidR="004A784D">
          <w:rPr>
            <w:noProof/>
            <w:color w:val="000000"/>
          </w:rPr>
          <w:t>Duan et al., 2005</w:t>
        </w:r>
      </w:hyperlink>
      <w:r w:rsidR="00636A88">
        <w:rPr>
          <w:noProof/>
          <w:color w:val="000000"/>
        </w:rPr>
        <w:t>)</w:t>
      </w:r>
      <w:r w:rsidR="00636A88">
        <w:rPr>
          <w:color w:val="000000"/>
        </w:rPr>
        <w:fldChar w:fldCharType="end"/>
      </w:r>
      <w:r w:rsidRPr="001A6261">
        <w:rPr>
          <w:color w:val="000000"/>
        </w:rPr>
        <w:t xml:space="preserve">; however, using </w:t>
      </w:r>
      <w:r w:rsidR="002968BA">
        <w:rPr>
          <w:color w:val="000000"/>
        </w:rPr>
        <w:t>2D-DIGE</w:t>
      </w:r>
      <w:r w:rsidRPr="001A6261">
        <w:rPr>
          <w:color w:val="000000"/>
        </w:rPr>
        <w:t xml:space="preserve"> analysis followed by LC-MS/MS, a</w:t>
      </w:r>
      <w:r>
        <w:rPr>
          <w:color w:val="000000"/>
        </w:rPr>
        <w:t xml:space="preserve"> </w:t>
      </w:r>
      <w:r w:rsidRPr="001A6261">
        <w:rPr>
          <w:color w:val="000000"/>
        </w:rPr>
        <w:t xml:space="preserve">10-kDa Hp fragment was identified. We suggest that this Hp fragment was not removed due to its size and non-interaction with the specific Hp antibody in the affinity column, and hence it was detected in the </w:t>
      </w:r>
      <w:r w:rsidR="002968BA">
        <w:rPr>
          <w:color w:val="000000"/>
        </w:rPr>
        <w:t>2D-DIGE</w:t>
      </w:r>
      <w:r w:rsidRPr="001A6261">
        <w:rPr>
          <w:color w:val="000000"/>
        </w:rPr>
        <w:t xml:space="preserve"> analysis.</w:t>
      </w:r>
      <w:r>
        <w:rPr>
          <w:color w:val="000000"/>
        </w:rPr>
        <w:t xml:space="preserve"> In addition using ELISA we analysed the intact Hp which is better biological representation of patient serum. I</w:t>
      </w:r>
      <w:r w:rsidR="00822FF7">
        <w:rPr>
          <w:color w:val="000000"/>
        </w:rPr>
        <w:t>n</w:t>
      </w:r>
      <w:r>
        <w:rPr>
          <w:color w:val="000000"/>
        </w:rPr>
        <w:t xml:space="preserve"> addition it would be </w:t>
      </w:r>
      <w:r w:rsidR="00822FF7">
        <w:rPr>
          <w:color w:val="000000"/>
        </w:rPr>
        <w:t xml:space="preserve">also </w:t>
      </w:r>
      <w:r>
        <w:rPr>
          <w:color w:val="000000"/>
        </w:rPr>
        <w:t xml:space="preserve">difficult to measure the 10kDa Hp fragment. </w:t>
      </w:r>
    </w:p>
    <w:p w:rsidR="00B61503" w:rsidRDefault="00B61503" w:rsidP="00645687">
      <w:pPr>
        <w:pStyle w:val="Heading2"/>
        <w:numPr>
          <w:ilvl w:val="3"/>
          <w:numId w:val="19"/>
        </w:numPr>
      </w:pPr>
      <w:r w:rsidRPr="001A6261">
        <w:br w:type="page"/>
      </w:r>
      <w:r w:rsidRPr="001A6261">
        <w:lastRenderedPageBreak/>
        <w:t xml:space="preserve"> </w:t>
      </w:r>
      <w:bookmarkStart w:id="1935" w:name="_Toc302582446"/>
      <w:bookmarkStart w:id="1936" w:name="_Toc305690096"/>
      <w:bookmarkStart w:id="1937" w:name="_Toc306570788"/>
      <w:bookmarkStart w:id="1938" w:name="_Toc307067848"/>
      <w:bookmarkStart w:id="1939" w:name="_Toc312169415"/>
      <w:bookmarkStart w:id="1940" w:name="_Toc312172342"/>
      <w:bookmarkStart w:id="1941" w:name="_Toc312257891"/>
      <w:r w:rsidRPr="001A6261">
        <w:t>Vitamin D binding Precursor (VDB)</w:t>
      </w:r>
      <w:bookmarkEnd w:id="1935"/>
      <w:bookmarkEnd w:id="1936"/>
      <w:bookmarkEnd w:id="1937"/>
      <w:bookmarkEnd w:id="1938"/>
      <w:bookmarkEnd w:id="1939"/>
      <w:bookmarkEnd w:id="1940"/>
      <w:bookmarkEnd w:id="1941"/>
    </w:p>
    <w:p w:rsidR="00B61503" w:rsidRPr="001A6261" w:rsidRDefault="00B61503" w:rsidP="00624405">
      <w:pPr>
        <w:spacing w:before="240" w:line="360" w:lineRule="auto"/>
        <w:jc w:val="both"/>
        <w:rPr>
          <w:color w:val="000000"/>
          <w:lang w:val="en-GB"/>
        </w:rPr>
      </w:pPr>
      <w:r w:rsidRPr="001A6261">
        <w:rPr>
          <w:color w:val="000000"/>
        </w:rPr>
        <w:t>VDB is a multifunctional serum glycoprotein synthesized in the liver</w:t>
      </w:r>
      <w:r w:rsidRPr="00355695">
        <w:rPr>
          <w:color w:val="000000"/>
          <w:lang w:val="en-GB"/>
        </w:rPr>
        <w:t xml:space="preserve"> </w:t>
      </w:r>
      <w:r w:rsidRPr="001A6261">
        <w:rPr>
          <w:color w:val="000000"/>
          <w:lang w:val="en-GB"/>
        </w:rPr>
        <w:t>showing the highest affinity for 25-hydroxy-cholecalciferol</w:t>
      </w:r>
      <w:r w:rsidRPr="001A6261">
        <w:rPr>
          <w:color w:val="000000"/>
        </w:rPr>
        <w:t xml:space="preserve">. </w:t>
      </w:r>
      <w:r w:rsidRPr="001A6261">
        <w:rPr>
          <w:color w:val="000000"/>
          <w:lang w:val="en-GB"/>
        </w:rPr>
        <w:t>It is the main carrier for vitamin D and its hydroxylated metabolites in the plasma</w:t>
      </w:r>
      <w:r>
        <w:rPr>
          <w:color w:val="000000"/>
          <w:lang w:val="en-GB"/>
        </w:rPr>
        <w:t xml:space="preserve"> </w:t>
      </w:r>
      <w:r>
        <w:rPr>
          <w:color w:val="000000"/>
          <w:lang w:val="en-GB"/>
        </w:rPr>
        <w:fldChar w:fldCharType="begin">
          <w:fldData xml:space="preserve">PEVuZE5vdGU+PENpdGU+PEF1dGhvcj5IZXdpc29uPC9BdXRob3I+PFllYXI+MjAxMDwvWWVhcj48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</w:fldData>
        </w:fldChar>
      </w:r>
      <w:r w:rsidR="006F41FE">
        <w:rPr>
          <w:color w:val="000000"/>
          <w:lang w:val="en-GB"/>
        </w:rPr>
        <w:instrText xml:space="preserve"> ADDIN EN.CITE </w:instrText>
      </w:r>
      <w:r w:rsidR="006F41FE">
        <w:rPr>
          <w:color w:val="000000"/>
          <w:lang w:val="en-GB"/>
        </w:rPr>
        <w:fldChar w:fldCharType="begin">
          <w:fldData xml:space="preserve">PEVuZE5vdGU+PENpdGU+PEF1dGhvcj5IZXdpc29uPC9BdXRob3I+PFllYXI+MjAxMDwvWWVhcj48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</w:fldData>
        </w:fldChar>
      </w:r>
      <w:r w:rsidR="006F41FE">
        <w:rPr>
          <w:color w:val="000000"/>
          <w:lang w:val="en-GB"/>
        </w:rPr>
        <w:instrText xml:space="preserve"> ADDIN EN.CITE.DATA </w:instrText>
      </w:r>
      <w:r w:rsidR="006F41FE">
        <w:rPr>
          <w:color w:val="000000"/>
          <w:lang w:val="en-GB"/>
        </w:rPr>
      </w:r>
      <w:r w:rsidR="006F41FE">
        <w:rPr>
          <w:color w:val="000000"/>
          <w:lang w:val="en-GB"/>
        </w:rPr>
        <w:fldChar w:fldCharType="end"/>
      </w:r>
      <w:r>
        <w:rPr>
          <w:color w:val="000000"/>
          <w:lang w:val="en-GB"/>
        </w:rPr>
      </w:r>
      <w:r>
        <w:rPr>
          <w:color w:val="000000"/>
          <w:lang w:val="en-GB"/>
        </w:rPr>
        <w:fldChar w:fldCharType="separate"/>
      </w:r>
      <w:r w:rsidR="006F41FE">
        <w:rPr>
          <w:noProof/>
          <w:color w:val="000000"/>
          <w:lang w:val="en-GB"/>
        </w:rPr>
        <w:t>(</w:t>
      </w:r>
      <w:hyperlink w:anchor="_ENREF_173" w:tooltip="Hewison, 2010 #4925" w:history="1">
        <w:r w:rsidR="004A784D">
          <w:rPr>
            <w:noProof/>
            <w:color w:val="000000"/>
            <w:lang w:val="en-GB"/>
          </w:rPr>
          <w:t>Hewison, 2010</w:t>
        </w:r>
      </w:hyperlink>
      <w:r w:rsidR="006F41FE">
        <w:rPr>
          <w:noProof/>
          <w:color w:val="000000"/>
          <w:lang w:val="en-GB"/>
        </w:rPr>
        <w:t>)</w:t>
      </w:r>
      <w:r>
        <w:rPr>
          <w:color w:val="000000"/>
          <w:lang w:val="en-GB"/>
        </w:rPr>
        <w:fldChar w:fldCharType="end"/>
      </w:r>
      <w:r w:rsidR="00624405">
        <w:rPr>
          <w:color w:val="000000"/>
          <w:lang w:val="en-GB"/>
        </w:rPr>
        <w:t xml:space="preserve">. The VDB </w:t>
      </w:r>
      <w:r w:rsidRPr="001A6261">
        <w:rPr>
          <w:color w:val="000000"/>
          <w:lang w:val="en-GB"/>
        </w:rPr>
        <w:t>is also a precursor for the principal macrophage-activating factor (MAF)</w:t>
      </w:r>
      <w:r w:rsidR="00624405">
        <w:rPr>
          <w:color w:val="000000"/>
          <w:lang w:val="en-GB"/>
        </w:rPr>
        <w:t xml:space="preserve"> </w:t>
      </w:r>
      <w:r>
        <w:rPr>
          <w:color w:val="000000"/>
          <w:lang w:val="en-GB"/>
        </w:rPr>
        <w:fldChar w:fldCharType="begin"/>
      </w:r>
      <w:r w:rsidR="006F41FE">
        <w:rPr>
          <w:color w:val="000000"/>
          <w:lang w:val="en-GB"/>
        </w:rPr>
        <w:instrText xml:space="preserve"> ADDIN EN.CITE &lt;EndNote&gt;&lt;Cite&gt;&lt;Author&gt;Yamamoto&lt;/Author&gt;&lt;Year&gt;2009&lt;/Year&gt;&lt;RecNum&gt;4928&lt;/RecNum&gt;&lt;DisplayText&gt;(Yamamoto et al., 2009)&lt;/DisplayText&gt;&lt;record&gt;&lt;rec-number&gt;4928&lt;/rec-number&gt;&lt;foreign-keys&gt;&lt;key app="EN" db-id="zf0awxsaczrdd3eft5qvw9wrtxxawdfrvw2a"&gt;4928&lt;/key&gt;&lt;/foreign-keys&gt;&lt;ref-type name="Journal Article"&gt;17&lt;/ref-type&gt;&lt;contributors&gt;&lt;authors&gt;&lt;author&gt;Yamamoto, N.&lt;/author&gt;&lt;author&gt;Ushijima, N.&lt;/author&gt;&lt;author&gt;Koga, Y.&lt;/author&gt;&lt;/authors&gt;&lt;/contributors&gt;&lt;auth-address&gt;Division of Molecular Immunology and Immunotherapy, Socrates Institute for Therapeutic Immunology, Philadelphia, Pennsylvania 19126-3305, USA. nobutoyama@verizon.net&lt;/auth-address&gt;&lt;titles&gt;&lt;title&gt;Immunotherapy of HIV-infected patients with Gc protein-derived macrophage activating factor (GcMAF)&lt;/title&gt;&lt;secondary-title&gt;J Med Virol&lt;/secondary-title&gt;&lt;/titles&gt;&lt;periodical&gt;&lt;full-title&gt;J Med Virol&lt;/full-title&gt;&lt;/periodical&gt;&lt;pages&gt;16-26&lt;/pages&gt;&lt;volume&gt;81&lt;/volume&gt;&lt;number&gt;1&lt;/number&gt;&lt;edition&gt;2008/11/26&lt;/edition&gt;&lt;keywords&gt;&lt;keyword&gt;CD4 Lymphocyte Count&lt;/keyword&gt;&lt;keyword&gt;CD4-Positive T-Lymphocytes/virology&lt;/keyword&gt;&lt;keyword&gt;HIV Infections/*drug therapy&lt;/keyword&gt;&lt;keyword&gt;Humans&lt;/keyword&gt;&lt;keyword&gt;Immunotherapy/*methods&lt;/keyword&gt;&lt;keyword&gt;Macrophage-Activating Factors/administration &amp;amp; dosage/*therapeutic use&lt;/keyword&gt;&lt;keyword&gt;Plasma/virology&lt;/keyword&gt;&lt;keyword&gt;Viral Load&lt;/keyword&gt;&lt;keyword&gt;Vitamin D-Binding Protein/administration &amp;amp; dosage/*therapeutic use&lt;/keyword&gt;&lt;keyword&gt;alpha-N-Acetylgalactosaminidase/blood&lt;/keyword&gt;&lt;/keywords&gt;&lt;dates&gt;&lt;year&gt;2009&lt;/year&gt;&lt;pub-dates&gt;&lt;date&gt;Jan&lt;/date&gt;&lt;/pub-dates&gt;&lt;/dates&gt;&lt;isbn&gt;1096-9071 (Electronic)&amp;#xD;0146-6615 (Linking)&lt;/isbn&gt;&lt;accession-num&gt;19031451&lt;/accession-num&gt;&lt;urls&gt;&lt;related-urls&gt;&lt;url&gt;http://www.ncbi.nlm.nih.gov/pubmed/19031451&lt;/url&gt;&lt;/related-urls&gt;&lt;/urls&gt;&lt;electronic-resource-num&gt;10.1002/jmv.21376&lt;/electronic-resource-num&gt;&lt;language&gt;eng&lt;/language&gt;&lt;/record&gt;&lt;/Cite&gt;&lt;/EndNote&gt;</w:instrText>
      </w:r>
      <w:r>
        <w:rPr>
          <w:color w:val="000000"/>
          <w:lang w:val="en-GB"/>
        </w:rPr>
        <w:fldChar w:fldCharType="separate"/>
      </w:r>
      <w:r w:rsidR="006F41FE">
        <w:rPr>
          <w:noProof/>
          <w:color w:val="000000"/>
          <w:lang w:val="en-GB"/>
        </w:rPr>
        <w:t>(</w:t>
      </w:r>
      <w:hyperlink w:anchor="_ENREF_454" w:tooltip="Yamamoto, 2009 #4928" w:history="1">
        <w:r w:rsidR="004A784D">
          <w:rPr>
            <w:noProof/>
            <w:color w:val="000000"/>
            <w:lang w:val="en-GB"/>
          </w:rPr>
          <w:t>Yamamoto et al., 2009</w:t>
        </w:r>
      </w:hyperlink>
      <w:r w:rsidR="006F41FE">
        <w:rPr>
          <w:noProof/>
          <w:color w:val="000000"/>
          <w:lang w:val="en-GB"/>
        </w:rPr>
        <w:t>)</w:t>
      </w:r>
      <w:r>
        <w:rPr>
          <w:color w:val="000000"/>
          <w:lang w:val="en-GB"/>
        </w:rPr>
        <w:fldChar w:fldCharType="end"/>
      </w:r>
      <w:r>
        <w:rPr>
          <w:color w:val="000000"/>
          <w:lang w:val="en-GB"/>
        </w:rPr>
        <w:t>.</w:t>
      </w:r>
    </w:p>
    <w:p w:rsidR="00624405" w:rsidRDefault="00624405"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VDB also has been detected on the surface of several blood cell types such as some T </w:t>
      </w:r>
      <w:r w:rsidR="0010315E">
        <w:rPr>
          <w:color w:val="000000"/>
        </w:rPr>
        <w:t>and</w:t>
      </w:r>
      <w:r w:rsidRPr="001A6261">
        <w:rPr>
          <w:color w:val="000000"/>
        </w:rPr>
        <w:t xml:space="preserve"> B lymphocytes which are involved in the production of serum immunoglobulin. VDB seems to participate in the linkage of surface immunoglobulin</w:t>
      </w:r>
      <w:r>
        <w:rPr>
          <w:color w:val="000000"/>
        </w:rPr>
        <w:t xml:space="preserve"> therefore it is proposed as an </w:t>
      </w:r>
      <w:r w:rsidRPr="001A6261">
        <w:rPr>
          <w:color w:val="000000"/>
        </w:rPr>
        <w:t>important immunomodulatory agent</w:t>
      </w:r>
      <w:r>
        <w:rPr>
          <w:color w:val="000000"/>
        </w:rPr>
        <w:t xml:space="preserve"> </w:t>
      </w:r>
      <w:r w:rsidRPr="001A6261">
        <w:rPr>
          <w:color w:val="000000"/>
        </w:rPr>
        <w:fldChar w:fldCharType="begin">
          <w:fldData xml:space="preserve">PEVuZE5vdGU+PENpdGU+PEF1dGhvcj5IdTwvQXV0aG9yPjxZZWFyPjE5OTM8L1llYXI+PFJlY051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</w:fldData>
        </w:fldChar>
      </w:r>
      <w:r w:rsidR="006F41FE">
        <w:rPr>
          <w:color w:val="000000"/>
        </w:rPr>
        <w:instrText xml:space="preserve"> ADDIN EN.CITE </w:instrText>
      </w:r>
      <w:r w:rsidR="006F41FE">
        <w:rPr>
          <w:color w:val="000000"/>
        </w:rPr>
        <w:fldChar w:fldCharType="begin">
          <w:fldData xml:space="preserve">PEVuZE5vdGU+PENpdGU+PEF1dGhvcj5IdTwvQXV0aG9yPjxZZWFyPjE5OTM8L1llYXI+PFJlY051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85" w:tooltip="Huang, 2008 #1" w:history="1">
        <w:r w:rsidR="004A784D">
          <w:rPr>
            <w:noProof/>
            <w:color w:val="000000"/>
          </w:rPr>
          <w:t>Huang et al., 2008</w:t>
        </w:r>
      </w:hyperlink>
      <w:r w:rsidR="006F41FE">
        <w:rPr>
          <w:noProof/>
          <w:color w:val="000000"/>
        </w:rPr>
        <w:t xml:space="preserve">, </w:t>
      </w:r>
      <w:hyperlink w:anchor="_ENREF_453" w:tooltip="Yamamoto, 2008 #4926" w:history="1">
        <w:r w:rsidR="004A784D">
          <w:rPr>
            <w:noProof/>
            <w:color w:val="000000"/>
          </w:rPr>
          <w:t>Yamamoto et al., 2008</w:t>
        </w:r>
      </w:hyperlink>
      <w:r w:rsidR="006F41FE">
        <w:rPr>
          <w:noProof/>
          <w:color w:val="000000"/>
        </w:rPr>
        <w:t>)</w:t>
      </w:r>
      <w:r w:rsidRPr="001A6261">
        <w:rPr>
          <w:color w:val="000000"/>
        </w:rPr>
        <w:fldChar w:fldCharType="end"/>
      </w:r>
      <w:r w:rsidRPr="001A6261">
        <w:rPr>
          <w:color w:val="000000"/>
        </w:rPr>
        <w:t xml:space="preserve">. </w:t>
      </w:r>
    </w:p>
    <w:p w:rsidR="00CA48C1" w:rsidRDefault="00CA48C1"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The VDB protein-macrophage activating factor acts as a potent anti-angiogenic factor and inhibits tumor growth in vivo. </w:t>
      </w:r>
      <w:r>
        <w:rPr>
          <w:color w:val="000000"/>
        </w:rPr>
        <w:t xml:space="preserve">Therefore, </w:t>
      </w:r>
      <w:r w:rsidRPr="001A6261">
        <w:rPr>
          <w:color w:val="000000"/>
        </w:rPr>
        <w:t xml:space="preserve">VDB can act directly on endothelium as well as </w:t>
      </w:r>
      <w:r w:rsidR="00984205">
        <w:rPr>
          <w:color w:val="000000"/>
        </w:rPr>
        <w:t xml:space="preserve">to </w:t>
      </w:r>
      <w:r w:rsidRPr="001A6261">
        <w:rPr>
          <w:color w:val="000000"/>
        </w:rPr>
        <w:t xml:space="preserve">stimulate macrophages to attack both the endothelial and tumor cell compartment of a growing malignancy </w:t>
      </w:r>
      <w:r w:rsidRPr="001A6261">
        <w:rPr>
          <w:color w:val="000000"/>
        </w:rPr>
        <w:fldChar w:fldCharType="begin">
          <w:fldData xml:space="preserve">PEVuZE5vdGU+PENpdGU+PEF1dGhvcj5LYWxrdW50ZTwvQXV0aG9yPjxZZWFyPjIwMDU8L1llYXI+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==
</w:fldData>
        </w:fldChar>
      </w:r>
      <w:r w:rsidR="006F41FE">
        <w:rPr>
          <w:color w:val="000000"/>
        </w:rPr>
        <w:instrText xml:space="preserve"> ADDIN EN.CITE </w:instrText>
      </w:r>
      <w:r w:rsidR="006F41FE">
        <w:rPr>
          <w:color w:val="000000"/>
        </w:rPr>
        <w:fldChar w:fldCharType="begin">
          <w:fldData xml:space="preserve">PEVuZE5vdGU+PENpdGU+PEF1dGhvcj5LYWxrdW50ZTwvQXV0aG9yPjxZZWFyPjIwMDU8L1llYXI+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==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97" w:tooltip="Kalkunte, 2005 #1872" w:history="1">
        <w:r w:rsidR="004A784D">
          <w:rPr>
            <w:noProof/>
            <w:color w:val="000000"/>
          </w:rPr>
          <w:t>Kalkunte et al., 2005</w:t>
        </w:r>
      </w:hyperlink>
      <w:r w:rsidR="006F41FE">
        <w:rPr>
          <w:noProof/>
          <w:color w:val="000000"/>
        </w:rPr>
        <w:t xml:space="preserve">, </w:t>
      </w:r>
      <w:hyperlink w:anchor="_ENREF_212" w:tooltip="Kisker, 2003 #1892" w:history="1">
        <w:r w:rsidR="004A784D">
          <w:rPr>
            <w:noProof/>
            <w:color w:val="000000"/>
          </w:rPr>
          <w:t>Kisker et al., 2003</w:t>
        </w:r>
      </w:hyperlink>
      <w:r w:rsidR="006F41FE">
        <w:rPr>
          <w:noProof/>
          <w:color w:val="000000"/>
        </w:rPr>
        <w:t>)</w:t>
      </w:r>
      <w:r w:rsidRPr="001A6261">
        <w:rPr>
          <w:color w:val="000000"/>
        </w:rPr>
        <w:fldChar w:fldCharType="end"/>
      </w:r>
      <w:r w:rsidRPr="001A6261">
        <w:rPr>
          <w:color w:val="000000"/>
        </w:rPr>
        <w:t xml:space="preserve">. </w:t>
      </w:r>
    </w:p>
    <w:p w:rsidR="00CA48C1" w:rsidRDefault="00CA48C1" w:rsidP="00057B42">
      <w:pPr>
        <w:spacing w:line="360" w:lineRule="auto"/>
        <w:jc w:val="both"/>
        <w:rPr>
          <w:color w:val="000000"/>
        </w:rPr>
      </w:pPr>
    </w:p>
    <w:p w:rsidR="00B61503" w:rsidRDefault="00CD25F7" w:rsidP="00057B42">
      <w:pPr>
        <w:spacing w:line="360" w:lineRule="auto"/>
        <w:jc w:val="both"/>
        <w:rPr>
          <w:color w:val="000000"/>
        </w:rPr>
      </w:pPr>
      <w:r>
        <w:rPr>
          <w:color w:val="000000"/>
        </w:rPr>
        <w:t>In our study, t</w:t>
      </w:r>
      <w:r w:rsidR="00B61503" w:rsidRPr="001A6261">
        <w:rPr>
          <w:color w:val="000000"/>
        </w:rPr>
        <w:t>he VDB protein level from 2D-DIGE analysis and ELISA data showed a 1.31 (</w:t>
      </w:r>
      <w:r w:rsidR="0010315E" w:rsidRPr="0010315E">
        <w:rPr>
          <w:i/>
          <w:color w:val="000000"/>
        </w:rPr>
        <w:t>p=</w:t>
      </w:r>
      <w:r w:rsidR="00B61503" w:rsidRPr="001A6261">
        <w:rPr>
          <w:color w:val="000000"/>
        </w:rPr>
        <w:t>0.00044) and 1.28 (</w:t>
      </w:r>
      <w:r w:rsidR="0010315E" w:rsidRPr="0010315E">
        <w:rPr>
          <w:i/>
          <w:color w:val="000000"/>
        </w:rPr>
        <w:t>p=</w:t>
      </w:r>
      <w:r w:rsidR="00B61503" w:rsidRPr="001A6261">
        <w:rPr>
          <w:color w:val="000000"/>
        </w:rPr>
        <w:t>0.02045) fold increase in abundance levels, respectively, from non-responders compared to responders to thalidomide based regimen</w:t>
      </w:r>
      <w:r w:rsidR="00B61503">
        <w:rPr>
          <w:color w:val="000000"/>
        </w:rPr>
        <w:t xml:space="preserve"> </w:t>
      </w:r>
      <w:r w:rsidR="008D148E" w:rsidRPr="00225402">
        <w:rPr>
          <w:color w:val="000000"/>
          <w:lang w:val="en-GB"/>
        </w:rPr>
        <w:t>(</w:t>
      </w:r>
      <w:r w:rsidR="00984205" w:rsidRPr="00225402">
        <w:rPr>
          <w:color w:val="000000"/>
          <w:lang w:val="en-GB"/>
        </w:rPr>
        <w:t xml:space="preserve">Figure </w:t>
      </w:r>
      <w:r w:rsidR="00984205">
        <w:rPr>
          <w:color w:val="000000"/>
          <w:lang w:val="en-GB"/>
        </w:rPr>
        <w:t>3-38 and Table 3-6</w:t>
      </w:r>
      <w:r w:rsidR="00B61503" w:rsidRPr="00344C8E">
        <w:rPr>
          <w:color w:val="000000"/>
        </w:rPr>
        <w:t>).</w:t>
      </w:r>
      <w:r w:rsidR="00B61503">
        <w:rPr>
          <w:color w:val="000000"/>
        </w:rPr>
        <w:t xml:space="preserve"> T</w:t>
      </w:r>
      <w:r w:rsidR="00B61503" w:rsidRPr="00344C8E">
        <w:rPr>
          <w:color w:val="000000"/>
        </w:rPr>
        <w:t xml:space="preserve">he ROC curve was generated from the VDB, ELISA data and showed an AUC of 0.70 with sensitivity of 68.2, specificity of 75.9 and </w:t>
      </w:r>
      <w:r w:rsidR="0010315E" w:rsidRPr="0010315E">
        <w:rPr>
          <w:i/>
          <w:color w:val="000000"/>
        </w:rPr>
        <w:t>p=</w:t>
      </w:r>
      <w:r>
        <w:rPr>
          <w:color w:val="000000"/>
        </w:rPr>
        <w:t>0.0087 demonstrating a</w:t>
      </w:r>
      <w:r w:rsidR="00B61503" w:rsidRPr="00344C8E">
        <w:rPr>
          <w:color w:val="000000"/>
        </w:rPr>
        <w:t>cceptable discrimination.</w:t>
      </w:r>
      <w:r w:rsidR="00B61503">
        <w:rPr>
          <w:color w:val="000000"/>
        </w:rPr>
        <w:t xml:space="preserve"> </w:t>
      </w:r>
    </w:p>
    <w:p w:rsidR="00CA48C1" w:rsidRDefault="00CA48C1" w:rsidP="00057B42">
      <w:pPr>
        <w:spacing w:line="360" w:lineRule="auto"/>
        <w:jc w:val="both"/>
        <w:rPr>
          <w:color w:val="000000"/>
        </w:rPr>
      </w:pPr>
    </w:p>
    <w:p w:rsidR="00B61503" w:rsidRDefault="00B61503" w:rsidP="001C253B">
      <w:pPr>
        <w:spacing w:line="360" w:lineRule="auto"/>
        <w:jc w:val="both"/>
      </w:pPr>
      <w:r w:rsidRPr="001A6261">
        <w:rPr>
          <w:color w:val="000000"/>
        </w:rPr>
        <w:t xml:space="preserve">We demonstrate here, for the first time, patient’s serum VDB level and potential response to thalidomide. Despite anti angiogenic </w:t>
      </w:r>
      <w:r>
        <w:rPr>
          <w:color w:val="000000"/>
        </w:rPr>
        <w:t xml:space="preserve">and immunomodulatory </w:t>
      </w:r>
      <w:r w:rsidRPr="001A6261">
        <w:rPr>
          <w:color w:val="000000"/>
        </w:rPr>
        <w:t>properties of VDB, in this study higher level were associated with resistance to thalidomide. This might be related to the potential immunosuppressing properties of VDB</w:t>
      </w:r>
      <w:r>
        <w:rPr>
          <w:color w:val="000000"/>
        </w:rPr>
        <w:t xml:space="preserve"> in MM patients. This may le</w:t>
      </w:r>
      <w:r w:rsidR="00AE202D">
        <w:rPr>
          <w:color w:val="000000"/>
        </w:rPr>
        <w:t>ad to a less favourable patient</w:t>
      </w:r>
      <w:r>
        <w:rPr>
          <w:color w:val="000000"/>
        </w:rPr>
        <w:t xml:space="preserve"> </w:t>
      </w:r>
      <w:r w:rsidRPr="001A6261">
        <w:rPr>
          <w:color w:val="000000"/>
        </w:rPr>
        <w:t>immune response to myeloma cancer cells</w:t>
      </w:r>
      <w:r>
        <w:rPr>
          <w:color w:val="000000"/>
        </w:rPr>
        <w:t>, which eventually can lead to resistance to thalidomide.</w:t>
      </w:r>
      <w:r w:rsidRPr="001A6261">
        <w:tab/>
      </w:r>
    </w:p>
    <w:p w:rsidR="00B61503" w:rsidRDefault="00B61503" w:rsidP="00645687">
      <w:pPr>
        <w:pStyle w:val="Heading2"/>
        <w:numPr>
          <w:ilvl w:val="3"/>
          <w:numId w:val="19"/>
        </w:numPr>
      </w:pPr>
      <w:bookmarkStart w:id="1942" w:name="_Toc302582447"/>
      <w:r>
        <w:br w:type="page"/>
      </w:r>
      <w:bookmarkStart w:id="1943" w:name="_Toc305690097"/>
      <w:bookmarkStart w:id="1944" w:name="_Toc306570789"/>
      <w:bookmarkStart w:id="1945" w:name="_Toc307067849"/>
      <w:bookmarkStart w:id="1946" w:name="_Toc312169416"/>
      <w:bookmarkStart w:id="1947" w:name="_Toc312172343"/>
      <w:bookmarkStart w:id="1948" w:name="_Toc312257892"/>
      <w:r w:rsidRPr="001A6261">
        <w:lastRenderedPageBreak/>
        <w:t>Beta 2-microglobulin (B2M)</w:t>
      </w:r>
      <w:bookmarkEnd w:id="1942"/>
      <w:bookmarkEnd w:id="1943"/>
      <w:bookmarkEnd w:id="1944"/>
      <w:bookmarkEnd w:id="1945"/>
      <w:bookmarkEnd w:id="1946"/>
      <w:bookmarkEnd w:id="1947"/>
      <w:bookmarkEnd w:id="1948"/>
      <w:r w:rsidRPr="001A6261">
        <w:t xml:space="preserve">   </w:t>
      </w:r>
    </w:p>
    <w:p w:rsidR="00B61503" w:rsidRPr="001A6261" w:rsidRDefault="00B61503" w:rsidP="001C253B">
      <w:pPr>
        <w:spacing w:before="240" w:line="360" w:lineRule="auto"/>
        <w:jc w:val="both"/>
        <w:rPr>
          <w:color w:val="000000"/>
        </w:rPr>
      </w:pPr>
      <w:r w:rsidRPr="001A6261">
        <w:rPr>
          <w:color w:val="000000"/>
        </w:rPr>
        <w:t xml:space="preserve">B2M is a light chain protein (11.8 KD) and is the small subunit of the MHC class I molecule and is found on the outer membrane cell membrane of all nucleated cells including lymphocytes. B2M is present in small amounts in serum, CSF, and urine of normal people. In patients with MM, B2M has been confirmed as a highly significant prognostic factor </w:t>
      </w:r>
      <w:r w:rsidRPr="001A6261">
        <w:rPr>
          <w:color w:val="000000"/>
        </w:rPr>
        <w:fldChar w:fldCharType="begin"/>
      </w:r>
      <w:r w:rsidR="006F41FE">
        <w:rPr>
          <w:color w:val="000000"/>
        </w:rPr>
        <w:instrText xml:space="preserve"> ADDIN EN.CITE &lt;EndNote&gt;&lt;Cite&gt;&lt;Author&gt;Rossi&lt;/Author&gt;&lt;Year&gt;2010&lt;/Year&gt;&lt;RecNum&gt;1928&lt;/RecNum&gt;&lt;DisplayText&gt;(Rossi et al., 2010)&lt;/DisplayText&gt;&lt;record&gt;&lt;rec-number&gt;1928&lt;/rec-number&gt;&lt;foreign-keys&gt;&lt;key app="EN" db-id="zf0awxsaczrdd3eft5qvw9wrtxxawdfrvw2a"&gt;1928&lt;/key&gt;&lt;/foreign-keys&gt;&lt;ref-type name="Journal Article"&gt;17&lt;/ref-type&gt;&lt;contributors&gt;&lt;authors&gt;&lt;author&gt;Rossi, D.&lt;/author&gt;&lt;author&gt;Fangazio, M.&lt;/author&gt;&lt;author&gt;De Paoli, L.&lt;/author&gt;&lt;author&gt;Puma, A.&lt;/author&gt;&lt;author&gt;Riccomagno, P.&lt;/author&gt;&lt;author&gt;Pinto, V.&lt;/author&gt;&lt;author&gt;Zigrossi, P.&lt;/author&gt;&lt;author&gt;Ramponi, A.&lt;/author&gt;&lt;author&gt;Monga, G.&lt;/author&gt;&lt;author&gt;Gaidano, G.&lt;/author&gt;&lt;/authors&gt;&lt;/contributors&gt;&lt;auth-address&gt;Division of Hematology, Department of Clinical and Experimental Medicine, Amedeo Avogadro University of Eastern Piedmont and Maggiore della Carita Hospital, Novara, Italy. rossidav@med.munipmn.it&lt;/auth-address&gt;&lt;titles&gt;&lt;title&gt;Beta-2-microglobulin is an independent predictor of progression in asymptomatic multiple myeloma&lt;/title&gt;&lt;secondary-title&gt;Cancer&lt;/secondary-title&gt;&lt;/titles&gt;&lt;periodical&gt;&lt;full-title&gt;Cancer&lt;/full-title&gt;&lt;/periodical&gt;&lt;pages&gt;2188-200&lt;/pages&gt;&lt;volume&gt;116&lt;/volume&gt;&lt;number&gt;9&lt;/number&gt;&lt;edition&gt;2010/03/04&lt;/edition&gt;&lt;keywords&gt;&lt;keyword&gt;Aged&lt;/keyword&gt;&lt;keyword&gt;Disease Progression&lt;/keyword&gt;&lt;keyword&gt;Female&lt;/keyword&gt;&lt;keyword&gt;Humans&lt;/keyword&gt;&lt;keyword&gt;Male&lt;/keyword&gt;&lt;keyword&gt;Middle Aged&lt;/keyword&gt;&lt;keyword&gt;Multiple Myeloma/*blood&lt;/keyword&gt;&lt;keyword&gt;Prognosis&lt;/keyword&gt;&lt;keyword&gt;Risk Factors&lt;/keyword&gt;&lt;keyword&gt;beta 2-Microglobulin/*analysis&lt;/keyword&gt;&lt;/keywords&gt;&lt;dates&gt;&lt;year&gt;2010&lt;/year&gt;&lt;pub-dates&gt;&lt;date&gt;May 1&lt;/date&gt;&lt;/pub-dates&gt;&lt;/dates&gt;&lt;isbn&gt;0008-543X (Print)&amp;#xD;0008-543X (Linking)&lt;/isbn&gt;&lt;accession-num&gt;20198709&lt;/accession-num&gt;&lt;urls&gt;&lt;related-urls&gt;&lt;url&gt;http://www.ncbi.nlm.nih.gov/pubmed/20198709&lt;/url&gt;&lt;/related-urls&gt;&lt;/urls&gt;&lt;electronic-resource-num&gt;10.1002/cncr.24959&lt;/electronic-resource-num&gt;&lt;language&gt;eng&lt;/language&gt;&lt;/record&gt;&lt;/Cite&gt;&lt;/EndNote&gt;</w:instrText>
      </w:r>
      <w:r w:rsidRPr="001A6261">
        <w:rPr>
          <w:color w:val="000000"/>
        </w:rPr>
        <w:fldChar w:fldCharType="separate"/>
      </w:r>
      <w:r w:rsidR="006F41FE">
        <w:rPr>
          <w:noProof/>
          <w:color w:val="000000"/>
        </w:rPr>
        <w:t>(</w:t>
      </w:r>
      <w:hyperlink w:anchor="_ENREF_355" w:tooltip="Rossi, 2010 #1928" w:history="1">
        <w:r w:rsidR="004A784D">
          <w:rPr>
            <w:noProof/>
            <w:color w:val="000000"/>
          </w:rPr>
          <w:t>Rossi et al., 2010</w:t>
        </w:r>
      </w:hyperlink>
      <w:r w:rsidR="006F41FE">
        <w:rPr>
          <w:noProof/>
          <w:color w:val="000000"/>
        </w:rPr>
        <w:t>)</w:t>
      </w:r>
      <w:r w:rsidRPr="001A6261">
        <w:rPr>
          <w:color w:val="000000"/>
        </w:rPr>
        <w:fldChar w:fldCharType="end"/>
      </w:r>
      <w:r w:rsidRPr="001A6261">
        <w:rPr>
          <w:color w:val="000000"/>
        </w:rPr>
        <w:t xml:space="preserve">.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This protein is metabolised extensively in the kidney. The serum concentration is influenced by the rates of synthesis and metabolism and is usually stable in healthy persons. Changes in the serum concentrations are </w:t>
      </w:r>
      <w:r>
        <w:rPr>
          <w:color w:val="000000"/>
        </w:rPr>
        <w:t xml:space="preserve">also </w:t>
      </w:r>
      <w:r w:rsidRPr="001A6261">
        <w:rPr>
          <w:color w:val="000000"/>
        </w:rPr>
        <w:t xml:space="preserve">indicative of disorders in glomerular and tubular functions. Several investigators </w:t>
      </w:r>
      <w:r w:rsidRPr="001A6261">
        <w:rPr>
          <w:color w:val="000000"/>
        </w:rPr>
        <w:fldChar w:fldCharType="begin">
          <w:fldData xml:space="preserve">PEVuZE5vdGU+PENpdGU+PEF1dGhvcj5TdGVsbGEtSG9sb3dpZWNrYTwvQXV0aG9yPjxZZWFyPjIw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</w:fldData>
        </w:fldChar>
      </w:r>
      <w:r w:rsidR="006F41FE">
        <w:rPr>
          <w:color w:val="000000"/>
        </w:rPr>
        <w:instrText xml:space="preserve"> ADDIN EN.CITE </w:instrText>
      </w:r>
      <w:r w:rsidR="006F41FE">
        <w:rPr>
          <w:color w:val="000000"/>
        </w:rPr>
        <w:fldChar w:fldCharType="begin">
          <w:fldData xml:space="preserve">PEVuZE5vdGU+PENpdGU+PEF1dGhvcj5TdGVsbGEtSG9sb3dpZWNrYTwvQXV0aG9yPjxZZWFyPjIw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401" w:tooltip="Stella-Holowiecka, 2007 #5" w:history="1">
        <w:r w:rsidR="004A784D">
          <w:rPr>
            <w:noProof/>
            <w:color w:val="000000"/>
          </w:rPr>
          <w:t>Stella-Holowiecka et al., 2007</w:t>
        </w:r>
      </w:hyperlink>
      <w:r w:rsidR="006F41FE">
        <w:rPr>
          <w:noProof/>
          <w:color w:val="000000"/>
        </w:rPr>
        <w:t xml:space="preserve">, </w:t>
      </w:r>
      <w:hyperlink w:anchor="_ENREF_304" w:tooltip="Ortega, 1992 #2194" w:history="1">
        <w:r w:rsidR="004A784D">
          <w:rPr>
            <w:noProof/>
            <w:color w:val="000000"/>
          </w:rPr>
          <w:t>Ortega et al., 1992</w:t>
        </w:r>
      </w:hyperlink>
      <w:r w:rsidR="006F41FE">
        <w:rPr>
          <w:noProof/>
          <w:color w:val="000000"/>
        </w:rPr>
        <w:t>)</w:t>
      </w:r>
      <w:r w:rsidRPr="001A6261">
        <w:rPr>
          <w:color w:val="000000"/>
        </w:rPr>
        <w:fldChar w:fldCharType="end"/>
      </w:r>
      <w:r w:rsidRPr="001A6261">
        <w:rPr>
          <w:color w:val="000000"/>
        </w:rPr>
        <w:t xml:space="preserve"> have recently shown that in multiple myeloma the  B2M is also one of the most important independent prognostic indicators; more important than  </w:t>
      </w:r>
      <w:r>
        <w:rPr>
          <w:color w:val="000000"/>
        </w:rPr>
        <w:t xml:space="preserve">MM </w:t>
      </w:r>
      <w:r w:rsidRPr="001A6261">
        <w:rPr>
          <w:color w:val="000000"/>
        </w:rPr>
        <w:t xml:space="preserve">stage, </w:t>
      </w:r>
      <w:r>
        <w:rPr>
          <w:color w:val="000000"/>
        </w:rPr>
        <w:t>patients c</w:t>
      </w:r>
      <w:r w:rsidRPr="001A6261">
        <w:rPr>
          <w:color w:val="000000"/>
        </w:rPr>
        <w:t xml:space="preserve">reatinine level and the morphologic features of the bone marrow myeloma cell </w:t>
      </w:r>
      <w:r w:rsidRPr="001A6261">
        <w:rPr>
          <w:color w:val="000000"/>
        </w:rPr>
        <w:fldChar w:fldCharType="begin">
          <w:fldData xml:space="preserve">PEVuZE5vdGU+PENpdGU+PEF1dGhvcj5HYXJjaWEtU2FuejwvQXV0aG9yPjxZZWFyPjIwMDQ8L1ll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</w:fldData>
        </w:fldChar>
      </w:r>
      <w:r w:rsidR="00857D49">
        <w:rPr>
          <w:color w:val="000000"/>
        </w:rPr>
        <w:instrText xml:space="preserve"> ADDIN EN.CITE </w:instrText>
      </w:r>
      <w:r w:rsidR="00857D49">
        <w:rPr>
          <w:color w:val="000000"/>
        </w:rPr>
        <w:fldChar w:fldCharType="begin">
          <w:fldData xml:space="preserve">PEVuZE5vdGU+PENpdGU+PEF1dGhvcj5HYXJjaWEtU2FuejwvQXV0aG9yPjxZZWFyPjIwMDQ8L1ll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</w:fldData>
        </w:fldChar>
      </w:r>
      <w:r w:rsidR="00857D49">
        <w:rPr>
          <w:color w:val="000000"/>
        </w:rPr>
        <w:instrText xml:space="preserve"> ADDIN EN.CITE.DATA </w:instrText>
      </w:r>
      <w:r w:rsidR="00857D49">
        <w:rPr>
          <w:color w:val="000000"/>
        </w:rPr>
      </w:r>
      <w:r w:rsidR="00857D49">
        <w:rPr>
          <w:color w:val="000000"/>
        </w:rPr>
        <w:fldChar w:fldCharType="end"/>
      </w:r>
      <w:r w:rsidRPr="001A6261">
        <w:rPr>
          <w:color w:val="000000"/>
        </w:rPr>
      </w:r>
      <w:r w:rsidRPr="001A6261">
        <w:rPr>
          <w:color w:val="000000"/>
        </w:rPr>
        <w:fldChar w:fldCharType="separate"/>
      </w:r>
      <w:r w:rsidR="006F41FE">
        <w:rPr>
          <w:noProof/>
          <w:color w:val="000000"/>
        </w:rPr>
        <w:t>(</w:t>
      </w:r>
      <w:hyperlink w:anchor="_ENREF_135" w:tooltip="Garcia-Sanz, 2004 #7202" w:history="1">
        <w:r w:rsidR="004A784D">
          <w:rPr>
            <w:noProof/>
            <w:color w:val="000000"/>
          </w:rPr>
          <w:t>Garcia-Sanz et al., 2004</w:t>
        </w:r>
      </w:hyperlink>
      <w:r w:rsidR="006F41FE">
        <w:rPr>
          <w:noProof/>
          <w:color w:val="000000"/>
        </w:rPr>
        <w:t xml:space="preserve">, </w:t>
      </w:r>
      <w:hyperlink w:anchor="_ENREF_284" w:tooltip="Nagura, 2007 #23" w:history="1">
        <w:r w:rsidR="004A784D">
          <w:rPr>
            <w:noProof/>
            <w:color w:val="000000"/>
          </w:rPr>
          <w:t>Nagura, 2007</w:t>
        </w:r>
      </w:hyperlink>
      <w:r w:rsidR="006F41FE">
        <w:rPr>
          <w:noProof/>
          <w:color w:val="000000"/>
        </w:rPr>
        <w:t>)</w:t>
      </w:r>
      <w:r w:rsidRPr="001A6261">
        <w:rPr>
          <w:color w:val="000000"/>
        </w:rPr>
        <w:fldChar w:fldCharType="end"/>
      </w:r>
      <w:r w:rsidRPr="001A6261">
        <w:rPr>
          <w:color w:val="000000"/>
        </w:rPr>
        <w:t xml:space="preserve">. </w:t>
      </w:r>
    </w:p>
    <w:p w:rsidR="00856253" w:rsidRPr="001A6261" w:rsidRDefault="00856253"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The International Myeloma Working Group, IMWG, has been developed the standards staging of multiple myeloma based on levels of serum B2M. This classification is call</w:t>
      </w:r>
      <w:r>
        <w:rPr>
          <w:color w:val="000000"/>
        </w:rPr>
        <w:t>ed</w:t>
      </w:r>
      <w:r w:rsidRPr="001A6261">
        <w:rPr>
          <w:color w:val="000000"/>
        </w:rPr>
        <w:t xml:space="preserve"> International Score System (ISS) </w:t>
      </w:r>
      <w:r>
        <w:rPr>
          <w:color w:val="000000"/>
        </w:rPr>
        <w:t xml:space="preserve">and </w:t>
      </w:r>
      <w:r w:rsidRPr="001A6261">
        <w:rPr>
          <w:color w:val="000000"/>
        </w:rPr>
        <w:t xml:space="preserve">is based on serum B2M and albumin level. ISS is a simple and effective grouping method for patients with MM that predicts survival </w:t>
      </w:r>
      <w:r w:rsidRPr="001A6261">
        <w:rPr>
          <w:color w:val="000000"/>
        </w:rPr>
        <w:fldChar w:fldCharType="begin">
          <w:fldData xml:space="preserve">PEVuZE5vdGU+PENpdGU+PEF1dGhvcj5UaWNoeTwvQXV0aG9yPjxZZWFyPjIwMDY8L1llYXI+PFJl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</w:fldData>
        </w:fldChar>
      </w:r>
      <w:r w:rsidR="00857D49">
        <w:rPr>
          <w:color w:val="000000"/>
        </w:rPr>
        <w:instrText xml:space="preserve"> ADDIN EN.CITE </w:instrText>
      </w:r>
      <w:r w:rsidR="00857D49">
        <w:rPr>
          <w:color w:val="000000"/>
        </w:rPr>
        <w:fldChar w:fldCharType="begin">
          <w:fldData xml:space="preserve">PEVuZE5vdGU+PENpdGU+PEF1dGhvcj5UaWNoeTwvQXV0aG9yPjxZZWFyPjIwMDY8L1llYXI+PFJl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</w:fldData>
        </w:fldChar>
      </w:r>
      <w:r w:rsidR="00857D49">
        <w:rPr>
          <w:color w:val="000000"/>
        </w:rPr>
        <w:instrText xml:space="preserve"> ADDIN EN.CITE.DATA </w:instrText>
      </w:r>
      <w:r w:rsidR="00857D49">
        <w:rPr>
          <w:color w:val="000000"/>
        </w:rPr>
      </w:r>
      <w:r w:rsidR="00857D49">
        <w:rPr>
          <w:color w:val="000000"/>
        </w:rPr>
        <w:fldChar w:fldCharType="end"/>
      </w:r>
      <w:r w:rsidRPr="001A6261">
        <w:rPr>
          <w:color w:val="000000"/>
        </w:rPr>
      </w:r>
      <w:r w:rsidRPr="001A6261">
        <w:rPr>
          <w:color w:val="000000"/>
        </w:rPr>
        <w:fldChar w:fldCharType="separate"/>
      </w:r>
      <w:r w:rsidR="006F41FE">
        <w:rPr>
          <w:noProof/>
          <w:color w:val="000000"/>
        </w:rPr>
        <w:t>(</w:t>
      </w:r>
      <w:hyperlink w:anchor="_ENREF_418" w:tooltip="Tichy, 2006 #1979" w:history="1">
        <w:r w:rsidR="004A784D">
          <w:rPr>
            <w:noProof/>
            <w:color w:val="000000"/>
          </w:rPr>
          <w:t>Tichy et al., 2006</w:t>
        </w:r>
      </w:hyperlink>
      <w:r w:rsidR="006F41FE">
        <w:rPr>
          <w:noProof/>
          <w:color w:val="000000"/>
        </w:rPr>
        <w:t xml:space="preserve">, </w:t>
      </w:r>
      <w:hyperlink w:anchor="_ENREF_412" w:tooltip="Tao, 2006 #6894" w:history="1">
        <w:r w:rsidR="004A784D">
          <w:rPr>
            <w:noProof/>
            <w:color w:val="000000"/>
          </w:rPr>
          <w:t>Tao et al., 2006</w:t>
        </w:r>
      </w:hyperlink>
      <w:r w:rsidR="006F41FE">
        <w:rPr>
          <w:noProof/>
          <w:color w:val="000000"/>
        </w:rPr>
        <w:t>)</w:t>
      </w:r>
      <w:r w:rsidRPr="001A6261">
        <w:rPr>
          <w:color w:val="000000"/>
        </w:rPr>
        <w:fldChar w:fldCharType="end"/>
      </w:r>
      <w:r w:rsidRPr="001A6261">
        <w:rPr>
          <w:color w:val="000000"/>
        </w:rPr>
        <w:t xml:space="preserve">.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Pre-treatment serum concentration of B2M in MM patients is also useful in confirming tumour mass grade, and marked reductions following chemotherapy correlated well with the onset of remission. However, this method is lacking sensitivity and specificity of disease response to a specific treatment regimen such as thalidomide.</w:t>
      </w:r>
    </w:p>
    <w:p w:rsidR="00856253" w:rsidRPr="001A6261" w:rsidRDefault="00856253"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In our study, </w:t>
      </w:r>
      <w:r w:rsidR="00CD25F7">
        <w:rPr>
          <w:color w:val="000000"/>
        </w:rPr>
        <w:t>t</w:t>
      </w:r>
      <w:r w:rsidRPr="000C2F7C">
        <w:rPr>
          <w:color w:val="000000"/>
        </w:rPr>
        <w:t>he B2M level from 2D-DIGE data and ELISA results showed a 1.96 (</w:t>
      </w:r>
      <w:r w:rsidR="0010315E" w:rsidRPr="0010315E">
        <w:rPr>
          <w:i/>
          <w:color w:val="000000"/>
        </w:rPr>
        <w:t>p=</w:t>
      </w:r>
      <w:r w:rsidRPr="000C2F7C">
        <w:rPr>
          <w:color w:val="000000"/>
        </w:rPr>
        <w:t>0.0015) and 2.00 (</w:t>
      </w:r>
      <w:r w:rsidR="0010315E" w:rsidRPr="0010315E">
        <w:rPr>
          <w:i/>
          <w:color w:val="000000"/>
        </w:rPr>
        <w:t>p=</w:t>
      </w:r>
      <w:r w:rsidRPr="000C2F7C">
        <w:rPr>
          <w:color w:val="000000"/>
        </w:rPr>
        <w:t>0.00118) fold increase, respectively, in the abundance level from non-responders compared to responders to thalidomide based regimen</w:t>
      </w:r>
      <w:r>
        <w:rPr>
          <w:color w:val="000000"/>
        </w:rPr>
        <w:t xml:space="preserve">. </w:t>
      </w:r>
      <w:r w:rsidR="00984205">
        <w:rPr>
          <w:color w:val="000000"/>
        </w:rPr>
        <w:t xml:space="preserve">The ROC curve </w:t>
      </w:r>
      <w:r w:rsidRPr="000C2F7C">
        <w:rPr>
          <w:color w:val="000000"/>
        </w:rPr>
        <w:t xml:space="preserve">generated from the B2M ELISA data showed an AUC of 0.87, indicating with sensitivity of 90.9 and specificity of 82.8. This protein has an </w:t>
      </w:r>
      <w:r w:rsidRPr="000C2F7C">
        <w:rPr>
          <w:color w:val="000000"/>
        </w:rPr>
        <w:lastRenderedPageBreak/>
        <w:t>excellent discriminatory power for predicting response to thalidomide based regimen.</w:t>
      </w:r>
      <w:r>
        <w:rPr>
          <w:color w:val="000000"/>
        </w:rPr>
        <w:t xml:space="preserve"> </w:t>
      </w:r>
      <w:r w:rsidRPr="001A6261">
        <w:rPr>
          <w:color w:val="000000"/>
        </w:rPr>
        <w:t>This is a single best predictive protein from LR model.</w:t>
      </w:r>
      <w:r>
        <w:rPr>
          <w:color w:val="000000"/>
        </w:rPr>
        <w:t xml:space="preserve"> </w:t>
      </w:r>
    </w:p>
    <w:p w:rsidR="00E676DF" w:rsidRDefault="00E676DF" w:rsidP="00057B42">
      <w:pPr>
        <w:spacing w:line="360" w:lineRule="auto"/>
        <w:jc w:val="both"/>
        <w:rPr>
          <w:color w:val="000000"/>
        </w:rPr>
      </w:pPr>
    </w:p>
    <w:p w:rsidR="00B61503" w:rsidRPr="001A6261" w:rsidRDefault="00B61503" w:rsidP="00057B42">
      <w:pPr>
        <w:spacing w:line="360" w:lineRule="auto"/>
        <w:jc w:val="both"/>
        <w:rPr>
          <w:color w:val="000000"/>
        </w:rPr>
      </w:pPr>
      <w:r w:rsidRPr="003A095B">
        <w:rPr>
          <w:color w:val="000000"/>
        </w:rPr>
        <w:t>The ISS, based on serum B2M and albumin levels, is a</w:t>
      </w:r>
      <w:r>
        <w:rPr>
          <w:color w:val="000000"/>
        </w:rPr>
        <w:t xml:space="preserve"> </w:t>
      </w:r>
      <w:r w:rsidRPr="003A095B">
        <w:rPr>
          <w:color w:val="000000"/>
        </w:rPr>
        <w:t>predictor of overall survival in MM patients. The</w:t>
      </w:r>
      <w:r>
        <w:rPr>
          <w:color w:val="000000"/>
        </w:rPr>
        <w:t xml:space="preserve"> </w:t>
      </w:r>
      <w:r w:rsidRPr="003A095B">
        <w:rPr>
          <w:color w:val="000000"/>
        </w:rPr>
        <w:t>endpoint in our study was response to thalidomide in</w:t>
      </w:r>
      <w:r>
        <w:rPr>
          <w:color w:val="000000"/>
        </w:rPr>
        <w:t xml:space="preserve"> </w:t>
      </w:r>
      <w:r w:rsidRPr="003A095B">
        <w:rPr>
          <w:color w:val="000000"/>
        </w:rPr>
        <w:t>contrast to survival (as applied to the ISS) and we found no</w:t>
      </w:r>
      <w:r>
        <w:rPr>
          <w:color w:val="000000"/>
        </w:rPr>
        <w:t xml:space="preserve"> </w:t>
      </w:r>
      <w:r w:rsidRPr="003A095B">
        <w:rPr>
          <w:color w:val="000000"/>
        </w:rPr>
        <w:t>correlation between ISS values and response rate to thalidomide</w:t>
      </w:r>
      <w:r>
        <w:rPr>
          <w:color w:val="000000"/>
        </w:rPr>
        <w:t>.</w:t>
      </w:r>
    </w:p>
    <w:p w:rsidR="00B61503" w:rsidRPr="001A6261" w:rsidRDefault="00B61503" w:rsidP="00057B42">
      <w:pPr>
        <w:spacing w:line="360" w:lineRule="auto"/>
        <w:jc w:val="both"/>
        <w:rPr>
          <w:color w:val="000000"/>
        </w:rPr>
      </w:pPr>
    </w:p>
    <w:p w:rsidR="00B61503" w:rsidRPr="001A6261" w:rsidRDefault="00B61503" w:rsidP="00057B42">
      <w:pPr>
        <w:spacing w:line="360" w:lineRule="auto"/>
        <w:jc w:val="both"/>
        <w:rPr>
          <w:color w:val="000000"/>
        </w:rPr>
      </w:pPr>
    </w:p>
    <w:p w:rsidR="00B61503" w:rsidRPr="001A6261" w:rsidRDefault="00B61503" w:rsidP="00057B42">
      <w:pPr>
        <w:spacing w:line="360" w:lineRule="auto"/>
        <w:jc w:val="both"/>
        <w:rPr>
          <w:color w:val="000000"/>
        </w:rPr>
      </w:pPr>
    </w:p>
    <w:p w:rsidR="00B61503" w:rsidRDefault="00B61503" w:rsidP="00645687">
      <w:pPr>
        <w:pStyle w:val="Heading2"/>
        <w:numPr>
          <w:ilvl w:val="3"/>
          <w:numId w:val="19"/>
        </w:numPr>
      </w:pPr>
      <w:r w:rsidRPr="001A6261">
        <w:rPr>
          <w:u w:val="single"/>
        </w:rPr>
        <w:br w:type="page"/>
      </w:r>
      <w:bookmarkStart w:id="1949" w:name="_Toc302582448"/>
      <w:bookmarkStart w:id="1950" w:name="_Toc305690098"/>
      <w:bookmarkStart w:id="1951" w:name="_Toc306570790"/>
      <w:bookmarkStart w:id="1952" w:name="_Toc307067850"/>
      <w:bookmarkStart w:id="1953" w:name="_Toc312169417"/>
      <w:bookmarkStart w:id="1954" w:name="_Toc312172344"/>
      <w:bookmarkStart w:id="1955" w:name="_Toc312257893"/>
      <w:r w:rsidRPr="001A6261">
        <w:lastRenderedPageBreak/>
        <w:t>Transthyretin (TYR)</w:t>
      </w:r>
      <w:bookmarkEnd w:id="1949"/>
      <w:bookmarkEnd w:id="1950"/>
      <w:bookmarkEnd w:id="1951"/>
      <w:bookmarkEnd w:id="1952"/>
      <w:bookmarkEnd w:id="1953"/>
      <w:bookmarkEnd w:id="1954"/>
      <w:bookmarkEnd w:id="1955"/>
    </w:p>
    <w:p w:rsidR="00B61503" w:rsidRPr="001A6261" w:rsidRDefault="00B61503" w:rsidP="00CD25F7">
      <w:pPr>
        <w:spacing w:before="240" w:line="360" w:lineRule="auto"/>
        <w:jc w:val="both"/>
        <w:rPr>
          <w:color w:val="000000"/>
        </w:rPr>
      </w:pPr>
      <w:r>
        <w:rPr>
          <w:color w:val="000000"/>
        </w:rPr>
        <w:t>TYR is a normal blood protein and function as a</w:t>
      </w:r>
      <w:r w:rsidRPr="00A82208">
        <w:rPr>
          <w:color w:val="000000"/>
        </w:rPr>
        <w:t xml:space="preserve"> </w:t>
      </w:r>
      <w:r>
        <w:rPr>
          <w:color w:val="000000"/>
        </w:rPr>
        <w:t xml:space="preserve">carrier for </w:t>
      </w:r>
      <w:r w:rsidRPr="00A82208">
        <w:rPr>
          <w:color w:val="000000"/>
        </w:rPr>
        <w:t xml:space="preserve">thyroid hormone and vitamin A to </w:t>
      </w:r>
      <w:r>
        <w:rPr>
          <w:color w:val="000000"/>
        </w:rPr>
        <w:t xml:space="preserve">the </w:t>
      </w:r>
      <w:r w:rsidR="00CD25F7">
        <w:rPr>
          <w:color w:val="000000"/>
        </w:rPr>
        <w:t>t</w:t>
      </w:r>
      <w:r w:rsidRPr="00A82208">
        <w:rPr>
          <w:color w:val="000000"/>
        </w:rPr>
        <w:t>issues</w:t>
      </w:r>
      <w:r>
        <w:rPr>
          <w:color w:val="000000"/>
        </w:rPr>
        <w:t xml:space="preserve"> cells</w:t>
      </w:r>
      <w:r w:rsidRPr="00A82208">
        <w:rPr>
          <w:color w:val="000000"/>
        </w:rPr>
        <w:t xml:space="preserve">.  </w:t>
      </w:r>
      <w:r>
        <w:rPr>
          <w:color w:val="000000"/>
        </w:rPr>
        <w:t xml:space="preserve">Transthyretin has a reverse association with the </w:t>
      </w:r>
      <w:r w:rsidRPr="001A6261">
        <w:rPr>
          <w:color w:val="000000"/>
        </w:rPr>
        <w:t xml:space="preserve">acute phase </w:t>
      </w:r>
      <w:r>
        <w:rPr>
          <w:color w:val="000000"/>
        </w:rPr>
        <w:t xml:space="preserve">response </w:t>
      </w:r>
      <w:r w:rsidRPr="001A6261">
        <w:rPr>
          <w:color w:val="000000"/>
        </w:rPr>
        <w:t>and its ser</w:t>
      </w:r>
      <w:r w:rsidR="00984205">
        <w:rPr>
          <w:color w:val="000000"/>
        </w:rPr>
        <w:t>um levels falls in inflammation and</w:t>
      </w:r>
      <w:r>
        <w:rPr>
          <w:color w:val="000000"/>
        </w:rPr>
        <w:t xml:space="preserve"> infection. </w:t>
      </w:r>
      <w:r w:rsidRPr="001A6261">
        <w:rPr>
          <w:color w:val="000000"/>
        </w:rPr>
        <w:t xml:space="preserve"> Elevated levels have been reported in some cancers such as Hodgkin lymphoma</w:t>
      </w:r>
      <w:r>
        <w:rPr>
          <w:color w:val="000000"/>
        </w:rPr>
        <w:t xml:space="preserve"> and </w:t>
      </w:r>
      <w:r w:rsidRPr="00785617">
        <w:rPr>
          <w:color w:val="000000"/>
        </w:rPr>
        <w:t>cholangiocarcinoma</w:t>
      </w:r>
      <w:r>
        <w:rPr>
          <w:color w:val="000000"/>
        </w:rPr>
        <w:t xml:space="preserve"> </w:t>
      </w:r>
      <w:r>
        <w:rPr>
          <w:color w:val="000000"/>
        </w:rPr>
        <w:fldChar w:fldCharType="begin"/>
      </w:r>
      <w:r w:rsidR="006F41FE">
        <w:rPr>
          <w:color w:val="000000"/>
        </w:rPr>
        <w:instrText xml:space="preserve"> ADDIN EN.CITE &lt;EndNote&gt;&lt;Cite&gt;&lt;Author&gt;Liu&lt;/Author&gt;&lt;Year&gt;2008&lt;/Year&gt;&lt;RecNum&gt;4929&lt;/RecNum&gt;&lt;DisplayText&gt;(Liu et al., 2008)&lt;/DisplayText&gt;&lt;record&gt;&lt;rec-number&gt;4929&lt;/rec-number&gt;&lt;foreign-keys&gt;&lt;key app="EN" db-id="zf0awxsaczrdd3eft5qvw9wrtxxawdfrvw2a"&gt;4929&lt;/key&gt;&lt;/foreign-keys&gt;&lt;ref-type name="Journal Article"&gt;17&lt;/ref-type&gt;&lt;contributors&gt;&lt;authors&gt;&lt;author&gt;Liu, L.&lt;/author&gt;&lt;author&gt;Wang, J.&lt;/author&gt;&lt;author&gt;Liu, B.&lt;/author&gt;&lt;author&gt;Dai, S.&lt;/author&gt;&lt;author&gt;Wang, X.&lt;/author&gt;&lt;author&gt;Chen, J.&lt;/author&gt;&lt;author&gt;Huang, L.&lt;/author&gt;&lt;author&gt;Xiao, X.&lt;/author&gt;&lt;author&gt;He, D.&lt;/author&gt;&lt;/authors&gt;&lt;/contributors&gt;&lt;auth-address&gt;Key Laboratory for Cell Proliferation and Regulation Biology, Ministry of Education, Beijing Normal University, The People&amp;apos;s Republic of China.&lt;/auth-address&gt;&lt;titles&gt;&lt;title&gt;Serum levels of variants of transthyretin down-regulation in cholangiocarcinoma&lt;/title&gt;&lt;secondary-title&gt;J Cell Biochem&lt;/secondary-title&gt;&lt;/titles&gt;&lt;periodical&gt;&lt;full-title&gt;J Cell Biochem&lt;/full-title&gt;&lt;/periodical&gt;&lt;pages&gt;745-55&lt;/pages&gt;&lt;volume&gt;104&lt;/volume&gt;&lt;number&gt;3&lt;/number&gt;&lt;edition&gt;2008/02/16&lt;/edition&gt;&lt;keywords&gt;&lt;keyword&gt;Adult&lt;/keyword&gt;&lt;keyword&gt;Aged&lt;/keyword&gt;&lt;keyword&gt;Aged, 80 and over&lt;/keyword&gt;&lt;keyword&gt;Bile Duct Neoplasms/*blood/*metabolism&lt;/keyword&gt;&lt;keyword&gt;Bile Ducts, Intrahepatic/*metabolism&lt;/keyword&gt;&lt;keyword&gt;CA-19-9 Antigen/biosynthesis&lt;/keyword&gt;&lt;keyword&gt;Case-Control Studies&lt;/keyword&gt;&lt;keyword&gt;Cholangiocarcinoma/*blood/*metabolism&lt;/keyword&gt;&lt;keyword&gt;Female&lt;/keyword&gt;&lt;keyword&gt;*Gene Expression Regulation, Neoplastic&lt;/keyword&gt;&lt;keyword&gt;Humans&lt;/keyword&gt;&lt;keyword&gt;Male&lt;/keyword&gt;&lt;keyword&gt;Middle Aged&lt;/keyword&gt;&lt;keyword&gt;Prealbumin/*biosynthesis&lt;/keyword&gt;&lt;keyword&gt;Tumor Markers, Biological&lt;/keyword&gt;&lt;/keywords&gt;&lt;dates&gt;&lt;year&gt;2008&lt;/year&gt;&lt;pub-dates&gt;&lt;date&gt;Jun 1&lt;/date&gt;&lt;/pub-dates&gt;&lt;/dates&gt;&lt;isbn&gt;1097-4644 (Electronic)&amp;#xD;0730-2312 (Linking)&lt;/isbn&gt;&lt;accession-num&gt;18275060&lt;/accession-num&gt;&lt;urls&gt;&lt;related-urls&gt;&lt;url&gt;http://www.ncbi.nlm.nih.gov/pubmed/18275060&lt;/url&gt;&lt;/related-urls&gt;&lt;/urls&gt;&lt;electronic-resource-num&gt;10.1002/jcb.21661&lt;/electronic-resource-num&gt;&lt;language&gt;eng&lt;/language&gt;&lt;/record&gt;&lt;/Cite&gt;&lt;/EndNote&gt;</w:instrText>
      </w:r>
      <w:r>
        <w:rPr>
          <w:color w:val="000000"/>
        </w:rPr>
        <w:fldChar w:fldCharType="separate"/>
      </w:r>
      <w:r w:rsidR="006F41FE">
        <w:rPr>
          <w:noProof/>
          <w:color w:val="000000"/>
        </w:rPr>
        <w:t>(</w:t>
      </w:r>
      <w:hyperlink w:anchor="_ENREF_249" w:tooltip="Liu, 2008 #4929" w:history="1">
        <w:r w:rsidR="004A784D">
          <w:rPr>
            <w:noProof/>
            <w:color w:val="000000"/>
          </w:rPr>
          <w:t>Liu et al., 2008</w:t>
        </w:r>
      </w:hyperlink>
      <w:r w:rsidR="006F41FE">
        <w:rPr>
          <w:noProof/>
          <w:color w:val="000000"/>
        </w:rPr>
        <w:t>)</w:t>
      </w:r>
      <w:r>
        <w:rPr>
          <w:color w:val="000000"/>
        </w:rPr>
        <w:fldChar w:fldCharType="end"/>
      </w:r>
      <w:r w:rsidRPr="001A6261">
        <w:rPr>
          <w:color w:val="000000"/>
        </w:rPr>
        <w:t xml:space="preserve">. A close relation has also been demonstrated between serum lipids and TYR. In healthy elderly subjects, plasma TYR and alpha 1-acid glycoprotein could be helpful in identifying elderly subjects at higher risk of disease mortality </w:t>
      </w:r>
      <w:r w:rsidRPr="001A6261">
        <w:rPr>
          <w:color w:val="000000"/>
        </w:rPr>
        <w:fldChar w:fldCharType="begin">
          <w:fldData xml:space="preserve">PEVuZE5vdGU+PENpdGU+PEF1dGhvcj5Icm5jaWFyaWtvdmE8L0F1dGhvcj48WWVhcj4yMDA5PC9Z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</w:fldData>
        </w:fldChar>
      </w:r>
      <w:r w:rsidR="006F41FE">
        <w:rPr>
          <w:color w:val="000000"/>
        </w:rPr>
        <w:instrText xml:space="preserve"> ADDIN EN.CITE </w:instrText>
      </w:r>
      <w:r w:rsidR="006F41FE">
        <w:rPr>
          <w:color w:val="000000"/>
        </w:rPr>
        <w:fldChar w:fldCharType="begin">
          <w:fldData xml:space="preserve">PEVuZE5vdGU+PENpdGU+PEF1dGhvcj5Icm5jaWFyaWtvdmE8L0F1dGhvcj48WWVhcj4yMDA5PC9Z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83" w:tooltip="Hrnciarikova, 2009 #2261" w:history="1">
        <w:r w:rsidR="004A784D">
          <w:rPr>
            <w:noProof/>
            <w:color w:val="000000"/>
          </w:rPr>
          <w:t>Hrnciarikova et al., 2009</w:t>
        </w:r>
      </w:hyperlink>
      <w:r w:rsidR="006F41FE">
        <w:rPr>
          <w:noProof/>
          <w:color w:val="000000"/>
        </w:rPr>
        <w:t>)</w:t>
      </w:r>
      <w:r w:rsidRPr="001A6261">
        <w:rPr>
          <w:color w:val="000000"/>
        </w:rPr>
        <w:fldChar w:fldCharType="end"/>
      </w:r>
      <w:r w:rsidRPr="001A6261">
        <w:rPr>
          <w:color w:val="000000"/>
        </w:rPr>
        <w:t xml:space="preserve">. Mutations in the gene for TYR frequently result in instability of TYR and subsequently can lead to the </w:t>
      </w:r>
      <w:r>
        <w:rPr>
          <w:color w:val="000000"/>
        </w:rPr>
        <w:t>a</w:t>
      </w:r>
      <w:r w:rsidRPr="001A6261">
        <w:rPr>
          <w:color w:val="000000"/>
        </w:rPr>
        <w:t>myloidosis. In this disease amyloid fibrils are derived from monoclonal immunoglobulin light-chains (AL amyloidosis). This is associated with a clonal plasma cell disorder, closely related to and co-existing with multiple myeloma in approximately 15% of myeloma patients</w:t>
      </w:r>
      <w:r>
        <w:rPr>
          <w:color w:val="000000"/>
        </w:rPr>
        <w:t xml:space="preserve"> </w:t>
      </w:r>
      <w:r>
        <w:rPr>
          <w:color w:val="000000"/>
        </w:rPr>
        <w:fldChar w:fldCharType="begin"/>
      </w:r>
      <w:r w:rsidR="006F41FE">
        <w:rPr>
          <w:color w:val="000000"/>
        </w:rPr>
        <w:instrText xml:space="preserve"> ADDIN EN.CITE &lt;EndNote&gt;&lt;Cite&gt;&lt;Author&gt;Santos&lt;/Author&gt;&lt;Year&gt;2008&lt;/Year&gt;&lt;RecNum&gt;4930&lt;/RecNum&gt;&lt;DisplayText&gt;(Santos et al., 2008)&lt;/DisplayText&gt;&lt;record&gt;&lt;rec-number&gt;4930&lt;/rec-number&gt;&lt;foreign-keys&gt;&lt;key app="EN" db-id="zf0awxsaczrdd3eft5qvw9wrtxxawdfrvw2a"&gt;4930&lt;/key&gt;&lt;/foreign-keys&gt;&lt;ref-type name="Journal Article"&gt;17&lt;/ref-type&gt;&lt;contributors&gt;&lt;authors&gt;&lt;author&gt;Santos, S. D.&lt;/author&gt;&lt;author&gt;Costa, R.&lt;/author&gt;&lt;author&gt;Teixeira, P. F.&lt;/author&gt;&lt;author&gt;Gottesman, M.&lt;/author&gt;&lt;author&gt;Cardoso, I.&lt;/author&gt;&lt;author&gt;Saraiva, M. J.&lt;/author&gt;&lt;/authors&gt;&lt;/contributors&gt;&lt;auth-address&gt;Molecular Neurobiology Unit, Institute for Molecular and Cell Biology, Rua do Campo Alegre 823, Porto, Portugal.&lt;/auth-address&gt;&lt;titles&gt;&lt;title&gt;Amyloidogenic properties of transthyretin-like protein (TLP) from Escherichia coli&lt;/title&gt;&lt;secondary-title&gt;FEBS Lett&lt;/secondary-title&gt;&lt;/titles&gt;&lt;periodical&gt;&lt;full-title&gt;FEBS Lett&lt;/full-title&gt;&lt;/periodical&gt;&lt;pages&gt;2893-8&lt;/pages&gt;&lt;volume&gt;582&lt;/volume&gt;&lt;number&gt;19&lt;/number&gt;&lt;edition&gt;2008/07/29&lt;/edition&gt;&lt;keywords&gt;&lt;keyword&gt;Amyloid/*chemistry/toxicity&lt;/keyword&gt;&lt;keyword&gt;Cell Line, Tumor&lt;/keyword&gt;&lt;keyword&gt;Escherichia coli/*metabolism&lt;/keyword&gt;&lt;keyword&gt;Escherichia coli Proteins/*chemistry/genetics/toxicity&lt;/keyword&gt;&lt;keyword&gt;Evolution, Molecular&lt;/keyword&gt;&lt;keyword&gt;Humans&lt;/keyword&gt;&lt;keyword&gt;Neuroblastoma&lt;/keyword&gt;&lt;keyword&gt;Prealbumin/*chemistry/genetics/toxicity&lt;/keyword&gt;&lt;keyword&gt;Thyroxine/chemistry&lt;/keyword&gt;&lt;/keywords&gt;&lt;dates&gt;&lt;year&gt;2008&lt;/year&gt;&lt;pub-dates&gt;&lt;date&gt;Aug 20&lt;/date&gt;&lt;/pub-dates&gt;&lt;/dates&gt;&lt;isbn&gt;0014-5793 (Print)&amp;#xD;0014-5793 (Linking)&lt;/isbn&gt;&lt;accession-num&gt;18656475&lt;/accession-num&gt;&lt;urls&gt;&lt;related-urls&gt;&lt;url&gt;http://www.ncbi.nlm.nih.gov/pubmed/18656475&lt;/url&gt;&lt;/related-urls&gt;&lt;/urls&gt;&lt;electronic-resource-num&gt;S0014-5793(08)00616-9 [pii]&amp;#xD;10.1016/j.febslet.2008.07.025&lt;/electronic-resource-num&gt;&lt;language&gt;eng&lt;/language&gt;&lt;/record&gt;&lt;/Cite&gt;&lt;/EndNote&gt;</w:instrText>
      </w:r>
      <w:r>
        <w:rPr>
          <w:color w:val="000000"/>
        </w:rPr>
        <w:fldChar w:fldCharType="separate"/>
      </w:r>
      <w:r w:rsidR="006F41FE">
        <w:rPr>
          <w:noProof/>
          <w:color w:val="000000"/>
        </w:rPr>
        <w:t>(</w:t>
      </w:r>
      <w:hyperlink w:anchor="_ENREF_366" w:tooltip="Santos, 2008 #4930" w:history="1">
        <w:r w:rsidR="004A784D">
          <w:rPr>
            <w:noProof/>
            <w:color w:val="000000"/>
          </w:rPr>
          <w:t>Santos et al., 2008</w:t>
        </w:r>
      </w:hyperlink>
      <w:r w:rsidR="006F41FE">
        <w:rPr>
          <w:noProof/>
          <w:color w:val="000000"/>
        </w:rPr>
        <w:t>)</w:t>
      </w:r>
      <w:r>
        <w:rPr>
          <w:color w:val="000000"/>
        </w:rPr>
        <w:fldChar w:fldCharType="end"/>
      </w:r>
      <w:r w:rsidRPr="001A6261">
        <w:rPr>
          <w:color w:val="000000"/>
        </w:rPr>
        <w:t xml:space="preserve">.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TYR is normally removed </w:t>
      </w:r>
      <w:r w:rsidR="00CD25F7">
        <w:rPr>
          <w:color w:val="000000"/>
        </w:rPr>
        <w:t>by the immunodepletion column, h</w:t>
      </w:r>
      <w:r w:rsidRPr="001A6261">
        <w:rPr>
          <w:color w:val="000000"/>
        </w:rPr>
        <w:t>owever the columns are 98-99% effective at removing the high abundance proteins and do allow a small amount of high abundant proteins through that can be detected, as was the case in this study.</w:t>
      </w:r>
      <w:r>
        <w:rPr>
          <w:color w:val="000000"/>
        </w:rPr>
        <w:t xml:space="preserve"> </w:t>
      </w:r>
    </w:p>
    <w:p w:rsidR="00856253" w:rsidRDefault="00856253" w:rsidP="00057B42">
      <w:pPr>
        <w:spacing w:line="360" w:lineRule="auto"/>
        <w:jc w:val="both"/>
        <w:rPr>
          <w:color w:val="000000"/>
        </w:rPr>
      </w:pPr>
    </w:p>
    <w:p w:rsidR="008D148E" w:rsidRDefault="00B61503" w:rsidP="00057B42">
      <w:pPr>
        <w:spacing w:line="360" w:lineRule="auto"/>
        <w:jc w:val="both"/>
        <w:rPr>
          <w:color w:val="000000"/>
          <w:lang w:val="en-GB"/>
        </w:rPr>
      </w:pPr>
      <w:r w:rsidRPr="005B5AC5">
        <w:rPr>
          <w:color w:val="000000"/>
        </w:rPr>
        <w:t>The 2D-DIGE and ELISA data of TYR showed increase abundance level of 1.32 (</w:t>
      </w:r>
      <w:r w:rsidR="0010315E" w:rsidRPr="0010315E">
        <w:rPr>
          <w:i/>
          <w:color w:val="000000"/>
        </w:rPr>
        <w:t>p=</w:t>
      </w:r>
      <w:r w:rsidRPr="005B5AC5">
        <w:rPr>
          <w:color w:val="000000"/>
        </w:rPr>
        <w:t>0.0077), and ELISA showed 1.06 (</w:t>
      </w:r>
      <w:r w:rsidR="0010315E" w:rsidRPr="0010315E">
        <w:rPr>
          <w:i/>
          <w:color w:val="000000"/>
        </w:rPr>
        <w:t>p=</w:t>
      </w:r>
      <w:r w:rsidRPr="005B5AC5">
        <w:rPr>
          <w:color w:val="000000"/>
        </w:rPr>
        <w:t xml:space="preserve"> 0.39129) fold increase in abundance level from non-responders vs. responder to thalidomide respectively</w:t>
      </w:r>
      <w:r w:rsidR="001A0382">
        <w:rPr>
          <w:color w:val="000000"/>
        </w:rPr>
        <w:t xml:space="preserve"> (</w:t>
      </w:r>
      <w:r w:rsidR="001A0382" w:rsidRPr="00225402">
        <w:rPr>
          <w:color w:val="000000"/>
          <w:lang w:val="en-GB"/>
        </w:rPr>
        <w:t xml:space="preserve">Figure </w:t>
      </w:r>
      <w:r w:rsidR="001A0382">
        <w:rPr>
          <w:color w:val="000000"/>
          <w:lang w:val="en-GB"/>
        </w:rPr>
        <w:t>3-38 and Table 3-6</w:t>
      </w:r>
      <w:r w:rsidR="008D148E">
        <w:rPr>
          <w:color w:val="000000"/>
          <w:lang w:val="en-GB"/>
        </w:rPr>
        <w:t>).</w:t>
      </w:r>
    </w:p>
    <w:p w:rsidR="001A0382" w:rsidRDefault="001A0382" w:rsidP="00057B42">
      <w:pPr>
        <w:spacing w:line="360" w:lineRule="auto"/>
        <w:jc w:val="both"/>
        <w:rPr>
          <w:color w:val="000000"/>
          <w:lang w:val="en-GB"/>
        </w:rPr>
      </w:pPr>
    </w:p>
    <w:p w:rsidR="00B61503" w:rsidRPr="001A6261" w:rsidRDefault="00B61503" w:rsidP="00057B42">
      <w:pPr>
        <w:spacing w:line="360" w:lineRule="auto"/>
        <w:jc w:val="both"/>
        <w:rPr>
          <w:bCs/>
          <w:color w:val="000000"/>
        </w:rPr>
      </w:pPr>
      <w:r w:rsidRPr="001A6261">
        <w:rPr>
          <w:bCs/>
          <w:color w:val="000000"/>
          <w:lang w:val="en-GB"/>
        </w:rPr>
        <w:t>Despite 2D-DIGE analysis showed difference of TYR expression in responder vs. non-responders</w:t>
      </w:r>
      <w:r>
        <w:rPr>
          <w:bCs/>
          <w:color w:val="000000"/>
          <w:lang w:val="en-GB"/>
        </w:rPr>
        <w:t>, the ELISA assay did not show a</w:t>
      </w:r>
      <w:r w:rsidRPr="001A6261">
        <w:rPr>
          <w:bCs/>
          <w:color w:val="000000"/>
          <w:lang w:val="en-GB"/>
        </w:rPr>
        <w:t xml:space="preserve"> statistically significant difference in protein level in the above two group of patients.</w:t>
      </w:r>
    </w:p>
    <w:p w:rsidR="00E676DF" w:rsidRDefault="00E676DF" w:rsidP="00057B42">
      <w:pPr>
        <w:spacing w:line="360" w:lineRule="auto"/>
        <w:jc w:val="both"/>
        <w:rPr>
          <w:color w:val="000000"/>
        </w:rPr>
      </w:pPr>
    </w:p>
    <w:p w:rsidR="00B61503" w:rsidRDefault="00B61503" w:rsidP="00057B42">
      <w:pPr>
        <w:spacing w:line="360" w:lineRule="auto"/>
        <w:jc w:val="both"/>
      </w:pPr>
      <w:r>
        <w:rPr>
          <w:color w:val="000000"/>
        </w:rPr>
        <w:t>T</w:t>
      </w:r>
      <w:r w:rsidRPr="005B5AC5">
        <w:rPr>
          <w:color w:val="000000"/>
        </w:rPr>
        <w:t>he ROC curve was generated from the EL</w:t>
      </w:r>
      <w:r w:rsidR="001A0382">
        <w:rPr>
          <w:color w:val="000000"/>
        </w:rPr>
        <w:t>ISA data and showed an AUC 0.54, w</w:t>
      </w:r>
      <w:r w:rsidRPr="005B5AC5">
        <w:rPr>
          <w:color w:val="000000"/>
        </w:rPr>
        <w:t xml:space="preserve">ith sensitivity of 68.2, specificity of 62.1 and </w:t>
      </w:r>
      <w:r w:rsidR="0010315E" w:rsidRPr="0010315E">
        <w:rPr>
          <w:i/>
          <w:color w:val="000000"/>
        </w:rPr>
        <w:t>p=</w:t>
      </w:r>
      <w:r w:rsidRPr="005B5AC5">
        <w:rPr>
          <w:color w:val="000000"/>
        </w:rPr>
        <w:t>0.40. This data signifies that TYR has minimal discriminatory value for predicting response to thalidomide.</w:t>
      </w:r>
      <w:r>
        <w:rPr>
          <w:color w:val="000000"/>
        </w:rPr>
        <w:t xml:space="preserve"> </w:t>
      </w:r>
      <w:r w:rsidRPr="001A6261">
        <w:rPr>
          <w:color w:val="000000"/>
        </w:rPr>
        <w:t xml:space="preserve">Therefore, TYR was not considered to be of any predictive power in distinguishing responders </w:t>
      </w:r>
      <w:r w:rsidRPr="001A6261">
        <w:rPr>
          <w:color w:val="000000"/>
        </w:rPr>
        <w:lastRenderedPageBreak/>
        <w:t xml:space="preserve">from non-responders to thalidomide treatment. Hence </w:t>
      </w:r>
      <w:r>
        <w:rPr>
          <w:color w:val="000000"/>
        </w:rPr>
        <w:t>considering the</w:t>
      </w:r>
      <w:r w:rsidRPr="001A6261">
        <w:rPr>
          <w:color w:val="000000"/>
        </w:rPr>
        <w:t xml:space="preserve"> </w:t>
      </w:r>
      <w:r>
        <w:rPr>
          <w:color w:val="000000"/>
        </w:rPr>
        <w:t xml:space="preserve">results of </w:t>
      </w:r>
      <w:r w:rsidR="004D56C5">
        <w:rPr>
          <w:color w:val="000000"/>
        </w:rPr>
        <w:t>statistical analysis</w:t>
      </w:r>
      <w:r w:rsidRPr="001A6261">
        <w:rPr>
          <w:color w:val="000000"/>
        </w:rPr>
        <w:t xml:space="preserve"> i</w:t>
      </w:r>
      <w:r w:rsidRPr="001A6261">
        <w:rPr>
          <w:bCs/>
          <w:color w:val="000000"/>
          <w:lang w:val="en-GB"/>
        </w:rPr>
        <w:t xml:space="preserve">n our final calculations we have excluded TYR as a potential </w:t>
      </w:r>
      <w:r w:rsidR="00720963">
        <w:rPr>
          <w:bCs/>
          <w:color w:val="000000"/>
          <w:lang w:val="en-GB"/>
        </w:rPr>
        <w:t>biomarker</w:t>
      </w:r>
      <w:r w:rsidRPr="001A6261">
        <w:rPr>
          <w:bCs/>
          <w:color w:val="000000"/>
          <w:lang w:val="en-GB"/>
        </w:rPr>
        <w:t xml:space="preserve">. </w:t>
      </w:r>
    </w:p>
    <w:p w:rsidR="00B61503" w:rsidRPr="001A6261" w:rsidRDefault="00B61503" w:rsidP="00645687">
      <w:pPr>
        <w:pStyle w:val="Heading2"/>
        <w:numPr>
          <w:ilvl w:val="2"/>
          <w:numId w:val="19"/>
        </w:numPr>
      </w:pPr>
      <w:r>
        <w:br w:type="page"/>
      </w:r>
      <w:r>
        <w:lastRenderedPageBreak/>
        <w:tab/>
      </w:r>
      <w:bookmarkStart w:id="1956" w:name="_Toc305690099"/>
      <w:bookmarkStart w:id="1957" w:name="_Toc306570791"/>
      <w:bookmarkStart w:id="1958" w:name="_Toc307067851"/>
      <w:bookmarkStart w:id="1959" w:name="_Toc312169418"/>
      <w:bookmarkStart w:id="1960" w:name="_Toc312172345"/>
      <w:bookmarkStart w:id="1961" w:name="_Toc312257894"/>
      <w:r w:rsidR="005352E7">
        <w:t xml:space="preserve">Mechanism of action of </w:t>
      </w:r>
      <w:r w:rsidR="00A8610C">
        <w:t xml:space="preserve">thalidomide </w:t>
      </w:r>
      <w:r w:rsidR="00A8610C" w:rsidRPr="001A6261">
        <w:t>and</w:t>
      </w:r>
      <w:r w:rsidRPr="001A6261">
        <w:t xml:space="preserve"> discovered biomarkers</w:t>
      </w:r>
      <w:bookmarkEnd w:id="1956"/>
      <w:bookmarkEnd w:id="1957"/>
      <w:bookmarkEnd w:id="1958"/>
      <w:bookmarkEnd w:id="1959"/>
      <w:bookmarkEnd w:id="1960"/>
      <w:bookmarkEnd w:id="1961"/>
    </w:p>
    <w:p w:rsidR="00B61503" w:rsidRPr="001A6261" w:rsidRDefault="00AE202D" w:rsidP="00057B42">
      <w:pPr>
        <w:spacing w:before="100" w:beforeAutospacing="1" w:after="100" w:afterAutospacing="1" w:line="360" w:lineRule="auto"/>
        <w:jc w:val="both"/>
      </w:pPr>
      <w:r>
        <w:t xml:space="preserve">Thalidomide is a </w:t>
      </w:r>
      <w:r w:rsidR="00B61503" w:rsidRPr="001A6261">
        <w:t xml:space="preserve">glutamic acid derivative and has unique sedative, immunomodulatory, anti-inflammatory and anti-angiogenic properties. Even though in </w:t>
      </w:r>
      <w:r w:rsidR="009C5019">
        <w:t>1980</w:t>
      </w:r>
      <w:r w:rsidR="00B61503" w:rsidRPr="001A6261">
        <w:t xml:space="preserve">s thalidomide was recognized as a potent immunomodulatory and anti-angiogenic drug, it was not until the mid-90's, that its effects in other diseases were extensively studied </w:t>
      </w:r>
      <w:r w:rsidR="00B61503" w:rsidRPr="001A6261">
        <w:fldChar w:fldCharType="begin"/>
      </w:r>
      <w:r w:rsidR="006F41FE">
        <w:instrText xml:space="preserve"> ADDIN EN.CITE &lt;EndNote&gt;&lt;Cite&gt;&lt;Author&gt;Sze&lt;/Author&gt;&lt;Year&gt;2006&lt;/Year&gt;&lt;RecNum&gt;4924&lt;/RecNum&gt;&lt;DisplayText&gt;(Sze et al., 2006)&lt;/DisplayText&gt;&lt;record&gt;&lt;rec-number&gt;4924&lt;/rec-number&gt;&lt;foreign-keys&gt;&lt;key app="EN" db-id="zf0awxsaczrdd3eft5qvw9wrtxxawdfrvw2a"&gt;4924&lt;/key&gt;&lt;/foreign-keys&gt;&lt;ref-type name="Journal Article"&gt;17&lt;/ref-type&gt;&lt;contributors&gt;&lt;authors&gt;&lt;author&gt;Sze, D. M.&lt;/author&gt;&lt;author&gt;Brown, R.&lt;/author&gt;&lt;author&gt;Yang, S.&lt;/author&gt;&lt;author&gt;Ho, P. J.&lt;/author&gt;&lt;author&gt;Gibson, J.&lt;/author&gt;&lt;author&gt;Joshua, D.&lt;/author&gt;&lt;/authors&gt;&lt;/contributors&gt;&lt;auth-address&gt;Institute of Haematology, Royal Prince Alfred Hospital, Camperdown, NSW 2050, Australia. d.sze@pharm.usyd.edu.au&lt;/auth-address&gt;&lt;titles&gt;&lt;title&gt;The use of thalidomide in myeloma therapy as an effective anticancer drug&lt;/title&gt;&lt;secondary-title&gt;Curr Cancer Drug Targets&lt;/secondary-title&gt;&lt;/titles&gt;&lt;periodical&gt;&lt;full-title&gt;Curr Cancer Drug Targets&lt;/full-title&gt;&lt;/periodical&gt;&lt;pages&gt;325-31&lt;/pages&gt;&lt;volume&gt;6&lt;/volume&gt;&lt;number&gt;4&lt;/number&gt;&lt;edition&gt;2006/07/20&lt;/edition&gt;&lt;keywords&gt;&lt;keyword&gt;Animals&lt;/keyword&gt;&lt;keyword&gt;Antineoplastic Agents/pharmacology/*therapeutic use&lt;/keyword&gt;&lt;keyword&gt;Bone Remodeling&lt;/keyword&gt;&lt;keyword&gt;Bone and Bones/drug effects/metabolism/pathology&lt;/keyword&gt;&lt;keyword&gt;Cell Proliferation/drug effects&lt;/keyword&gt;&lt;keyword&gt;Humans&lt;/keyword&gt;&lt;keyword&gt;Killer Cells, Natural/drug effects/immunology&lt;/keyword&gt;&lt;keyword&gt;Multiple Myeloma/blood supply/*drug therapy/immunology/pathology&lt;/keyword&gt;&lt;keyword&gt;Neovascularization, Pathologic/prevention &amp;amp; control&lt;/keyword&gt;&lt;keyword&gt;T-Lymphocytes/drug effects/immunology&lt;/keyword&gt;&lt;keyword&gt;Thalidomide/pharmacology/*therapeutic use&lt;/keyword&gt;&lt;/keywords&gt;&lt;dates&gt;&lt;year&gt;2006&lt;/year&gt;&lt;pub-dates&gt;&lt;date&gt;Jun&lt;/date&gt;&lt;/pub-dates&gt;&lt;/dates&gt;&lt;isbn&gt;1568-0096 (Print)&amp;#xD;1568-0096 (Linking)&lt;/isbn&gt;&lt;accession-num&gt;16848723&lt;/accession-num&gt;&lt;urls&gt;&lt;related-urls&gt;&lt;url&gt;http://www.ncbi.nlm.nih.gov/pubmed/16848723&lt;/url&gt;&lt;/related-urls&gt;&lt;/urls&gt;&lt;language&gt;eng&lt;/language&gt;&lt;/record&gt;&lt;/Cite&gt;&lt;/EndNote&gt;</w:instrText>
      </w:r>
      <w:r w:rsidR="00B61503" w:rsidRPr="001A6261">
        <w:fldChar w:fldCharType="separate"/>
      </w:r>
      <w:r w:rsidR="006F41FE">
        <w:rPr>
          <w:noProof/>
        </w:rPr>
        <w:t>(</w:t>
      </w:r>
      <w:hyperlink w:anchor="_ENREF_408" w:tooltip="Sze, 2006 #4924" w:history="1">
        <w:r w:rsidR="004A784D">
          <w:rPr>
            <w:noProof/>
          </w:rPr>
          <w:t>Sze et al., 2006</w:t>
        </w:r>
      </w:hyperlink>
      <w:r w:rsidR="006F41FE">
        <w:rPr>
          <w:noProof/>
        </w:rPr>
        <w:t>)</w:t>
      </w:r>
      <w:r w:rsidR="00B61503" w:rsidRPr="001A6261">
        <w:fldChar w:fldCharType="end"/>
      </w:r>
      <w:r w:rsidR="00B61503" w:rsidRPr="001A6261">
        <w:t xml:space="preserve">. The efficacy of thalidomide in </w:t>
      </w:r>
      <w:r w:rsidR="00B61503">
        <w:t>MM</w:t>
      </w:r>
      <w:r w:rsidR="00B61503" w:rsidRPr="001A6261">
        <w:t xml:space="preserve"> was first investigated in end-stage myel</w:t>
      </w:r>
      <w:r w:rsidR="00B61503">
        <w:t xml:space="preserve">oma patients in a compassionate use protocol in the late </w:t>
      </w:r>
      <w:r w:rsidR="009C5019">
        <w:t>1990</w:t>
      </w:r>
      <w:r w:rsidR="00B61503" w:rsidRPr="001A6261">
        <w:t>s</w:t>
      </w:r>
      <w:r w:rsidR="00C5350B">
        <w:t xml:space="preserve"> </w:t>
      </w:r>
      <w:r w:rsidR="00C5350B">
        <w:fldChar w:fldCharType="begin">
          <w:fldData xml:space="preserve">PEVuZE5vdGU+PENpdGU+PEF1dGhvcj5Kb2huc3RvbjwvQXV0aG9yPjxZZWFyPjIwMDI8L1llYXI+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</w:fldData>
        </w:fldChar>
      </w:r>
      <w:r w:rsidR="00C5350B">
        <w:instrText xml:space="preserve"> ADDIN EN.CITE </w:instrText>
      </w:r>
      <w:r w:rsidR="00C5350B">
        <w:fldChar w:fldCharType="begin">
          <w:fldData xml:space="preserve">PEVuZE5vdGU+PENpdGU+PEF1dGhvcj5Kb2huc3RvbjwvQXV0aG9yPjxZZWFyPjIwMDI8L1llYXI+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</w:fldData>
        </w:fldChar>
      </w:r>
      <w:r w:rsidR="00C5350B">
        <w:instrText xml:space="preserve"> ADDIN EN.CITE.DATA </w:instrText>
      </w:r>
      <w:r w:rsidR="00C5350B">
        <w:fldChar w:fldCharType="end"/>
      </w:r>
      <w:r w:rsidR="00C5350B">
        <w:fldChar w:fldCharType="separate"/>
      </w:r>
      <w:r w:rsidR="00C5350B">
        <w:rPr>
          <w:noProof/>
        </w:rPr>
        <w:t>(</w:t>
      </w:r>
      <w:hyperlink w:anchor="_ENREF_194" w:tooltip="Johnston, 2002 #5806" w:history="1">
        <w:r w:rsidR="004A784D">
          <w:rPr>
            <w:noProof/>
          </w:rPr>
          <w:t>Johnston and Abdalla, 2002</w:t>
        </w:r>
      </w:hyperlink>
      <w:r w:rsidR="00C5350B">
        <w:rPr>
          <w:noProof/>
        </w:rPr>
        <w:t xml:space="preserve">, </w:t>
      </w:r>
      <w:hyperlink w:anchor="_ENREF_388" w:tooltip="Singhal, 1999 #4933" w:history="1">
        <w:r w:rsidR="004A784D">
          <w:rPr>
            <w:noProof/>
          </w:rPr>
          <w:t>Singhal et al., 1999</w:t>
        </w:r>
      </w:hyperlink>
      <w:r w:rsidR="00C5350B">
        <w:rPr>
          <w:noProof/>
        </w:rPr>
        <w:t>)</w:t>
      </w:r>
      <w:r w:rsidR="00C5350B">
        <w:fldChar w:fldCharType="end"/>
      </w:r>
      <w:r w:rsidR="00B61503" w:rsidRPr="001A6261">
        <w:t xml:space="preserve">. The remissions observed in these patients led to several phase II studies evaluating the effects of thalidomide in multiple myeloma and other cancers. Today, more than 90% of thalidomide usage is related to oncology and MM treatment </w:t>
      </w:r>
      <w:r w:rsidR="00B61503" w:rsidRPr="001A6261">
        <w:fldChar w:fldCharType="begin">
          <w:fldData xml:space="preserve">PEVuZE5vdGU+PENpdGU+PEF1dGhvcj5TdHJhc3NlcjwvQXV0aG9yPjxZZWFyPjIwMDI8L1llYXI+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</w:fldData>
        </w:fldChar>
      </w:r>
      <w:r w:rsidR="006F41FE">
        <w:instrText xml:space="preserve"> ADDIN EN.CITE </w:instrText>
      </w:r>
      <w:r w:rsidR="006F41FE">
        <w:fldChar w:fldCharType="begin">
          <w:fldData xml:space="preserve">PEVuZE5vdGU+PENpdGU+PEF1dGhvcj5TdHJhc3NlcjwvQXV0aG9yPjxZZWFyPjIwMDI8L1llYXI+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</w:fldData>
        </w:fldChar>
      </w:r>
      <w:r w:rsidR="006F41FE">
        <w:instrText xml:space="preserve"> ADDIN EN.CITE.DATA </w:instrText>
      </w:r>
      <w:r w:rsidR="006F41FE">
        <w:fldChar w:fldCharType="end"/>
      </w:r>
      <w:r w:rsidR="00B61503" w:rsidRPr="001A6261">
        <w:fldChar w:fldCharType="separate"/>
      </w:r>
      <w:r w:rsidR="006F41FE">
        <w:rPr>
          <w:noProof/>
        </w:rPr>
        <w:t>(</w:t>
      </w:r>
      <w:hyperlink w:anchor="_ENREF_404" w:tooltip="Strasser, 2002 #3793" w:history="1">
        <w:r w:rsidR="004A784D">
          <w:rPr>
            <w:noProof/>
          </w:rPr>
          <w:t>Strasser and Ludwig, 2002</w:t>
        </w:r>
      </w:hyperlink>
      <w:r w:rsidR="006F41FE">
        <w:rPr>
          <w:noProof/>
        </w:rPr>
        <w:t xml:space="preserve">, </w:t>
      </w:r>
      <w:hyperlink w:anchor="_ENREF_408" w:tooltip="Sze, 2006 #4924" w:history="1">
        <w:r w:rsidR="004A784D">
          <w:rPr>
            <w:noProof/>
          </w:rPr>
          <w:t>Sze et al., 2006</w:t>
        </w:r>
      </w:hyperlink>
      <w:r w:rsidR="006F41FE">
        <w:rPr>
          <w:noProof/>
        </w:rPr>
        <w:t xml:space="preserve">, </w:t>
      </w:r>
      <w:hyperlink w:anchor="_ENREF_372" w:tooltip="Schots, 2011 #3293" w:history="1">
        <w:r w:rsidR="004A784D">
          <w:rPr>
            <w:noProof/>
          </w:rPr>
          <w:t>Schots, 2011</w:t>
        </w:r>
      </w:hyperlink>
      <w:r w:rsidR="006F41FE">
        <w:rPr>
          <w:noProof/>
        </w:rPr>
        <w:t>)</w:t>
      </w:r>
      <w:r w:rsidR="00B61503" w:rsidRPr="001A6261">
        <w:fldChar w:fldCharType="end"/>
      </w:r>
      <w:r w:rsidR="00B61503" w:rsidRPr="001A6261">
        <w:t>.</w:t>
      </w:r>
    </w:p>
    <w:p w:rsidR="00B61503" w:rsidRDefault="00B61503" w:rsidP="00057B42">
      <w:pPr>
        <w:spacing w:line="360" w:lineRule="auto"/>
        <w:jc w:val="both"/>
      </w:pPr>
      <w:r w:rsidRPr="001A6261">
        <w:t xml:space="preserve">After several decades of laboratory research exploring the characteristics of thalidomide, a huge body of data has been accumulated on the biological activities of this drug. Despite the knowledge derived from these data, the exact mechanism of action thalidomide in </w:t>
      </w:r>
      <w:r>
        <w:t>MM</w:t>
      </w:r>
      <w:r w:rsidRPr="001A6261">
        <w:t xml:space="preserve"> remains unclear. However, four main mechanisms have been proposed to explain the anti-myeloma activity of thalidomide</w:t>
      </w:r>
      <w:r>
        <w:t xml:space="preserve"> </w:t>
      </w:r>
      <w:r w:rsidRPr="001A6261">
        <w:fldChar w:fldCharType="begin">
          <w:fldData xml:space="preserve">PEVuZE5vdGU+PENpdGU+PEF1dGhvcj5TemU8L0F1dGhvcj48WWVhcj4yMDA2PC9ZZWFyPjxSZWNO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</w:fldData>
        </w:fldChar>
      </w:r>
      <w:r w:rsidR="00413040">
        <w:instrText xml:space="preserve"> ADDIN EN.CITE </w:instrText>
      </w:r>
      <w:r w:rsidR="00413040">
        <w:fldChar w:fldCharType="begin">
          <w:fldData xml:space="preserve">PEVuZE5vdGU+PENpdGU+PEF1dGhvcj5TemU8L0F1dGhvcj48WWVhcj4yMDA2PC9ZZWFyPjxSZWNO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</w:fldData>
        </w:fldChar>
      </w:r>
      <w:r w:rsidR="00413040">
        <w:instrText xml:space="preserve"> ADDIN EN.CITE.DATA </w:instrText>
      </w:r>
      <w:r w:rsidR="00413040">
        <w:fldChar w:fldCharType="end"/>
      </w:r>
      <w:r w:rsidRPr="001A6261">
        <w:fldChar w:fldCharType="separate"/>
      </w:r>
      <w:r w:rsidR="006F41FE">
        <w:rPr>
          <w:noProof/>
        </w:rPr>
        <w:t>(</w:t>
      </w:r>
      <w:hyperlink w:anchor="_ENREF_408" w:tooltip="Sze, 2006 #4924" w:history="1">
        <w:r w:rsidR="004A784D">
          <w:rPr>
            <w:noProof/>
          </w:rPr>
          <w:t>Sze et al., 2006</w:t>
        </w:r>
      </w:hyperlink>
      <w:r w:rsidR="006F41FE">
        <w:rPr>
          <w:noProof/>
        </w:rPr>
        <w:t xml:space="preserve">, </w:t>
      </w:r>
      <w:hyperlink w:anchor="_ENREF_313" w:tooltip="Palumbo, 2008 #5005" w:history="1">
        <w:r w:rsidR="004A784D">
          <w:rPr>
            <w:noProof/>
          </w:rPr>
          <w:t>Palumbo et al., 2008b</w:t>
        </w:r>
      </w:hyperlink>
      <w:r w:rsidR="006F41FE">
        <w:rPr>
          <w:noProof/>
        </w:rPr>
        <w:t>)</w:t>
      </w:r>
      <w:r w:rsidRPr="001A6261">
        <w:fldChar w:fldCharType="end"/>
      </w:r>
      <w:r w:rsidR="001A0382">
        <w:t>(Figure 1-7 and 4-2</w:t>
      </w:r>
      <w:r>
        <w:t>)</w:t>
      </w:r>
      <w:r w:rsidRPr="001A6261">
        <w:t xml:space="preserve">: </w:t>
      </w:r>
    </w:p>
    <w:p w:rsidR="00B61503" w:rsidRDefault="00B61503" w:rsidP="00057B42">
      <w:pPr>
        <w:spacing w:line="360" w:lineRule="auto"/>
        <w:jc w:val="both"/>
      </w:pPr>
      <w:r>
        <w:t>(1) I</w:t>
      </w:r>
      <w:r w:rsidRPr="001A6261">
        <w:t>mmunomodulatory effects on cytokine p</w:t>
      </w:r>
      <w:r>
        <w:t>roduction and T-cell activation.</w:t>
      </w:r>
      <w:r w:rsidRPr="001A6261">
        <w:t xml:space="preserve"> </w:t>
      </w:r>
    </w:p>
    <w:p w:rsidR="00B61503" w:rsidRDefault="00B61503" w:rsidP="00057B42">
      <w:pPr>
        <w:spacing w:line="360" w:lineRule="auto"/>
        <w:jc w:val="both"/>
      </w:pPr>
      <w:r>
        <w:t>(2) Anti-angiogenic effects.</w:t>
      </w:r>
    </w:p>
    <w:p w:rsidR="00B61503" w:rsidRDefault="00B61503" w:rsidP="00057B42">
      <w:pPr>
        <w:spacing w:line="360" w:lineRule="auto"/>
        <w:jc w:val="both"/>
      </w:pPr>
      <w:r>
        <w:t>(3) Ef</w:t>
      </w:r>
      <w:r w:rsidRPr="001A6261">
        <w:t xml:space="preserve">fect on bone marrow </w:t>
      </w:r>
      <w:r w:rsidR="000A4841">
        <w:t>micro</w:t>
      </w:r>
      <w:r w:rsidRPr="001A6261">
        <w:t>environment, stromal cells and inhibition of cell adhesion</w:t>
      </w:r>
      <w:r>
        <w:t>.</w:t>
      </w:r>
    </w:p>
    <w:p w:rsidR="00B61503" w:rsidRDefault="00B61503" w:rsidP="00057B42">
      <w:pPr>
        <w:spacing w:line="360" w:lineRule="auto"/>
        <w:jc w:val="both"/>
      </w:pPr>
      <w:r w:rsidRPr="001A6261">
        <w:t>(4) Di</w:t>
      </w:r>
      <w:r w:rsidR="009C5019">
        <w:t>rect inhibition of myeloma cell</w:t>
      </w:r>
      <w:r w:rsidRPr="001A6261">
        <w:t xml:space="preserve"> growth and survival</w:t>
      </w:r>
      <w:r>
        <w:t>.</w:t>
      </w:r>
      <w:r w:rsidRPr="001A6261">
        <w:t xml:space="preserve"> </w:t>
      </w:r>
    </w:p>
    <w:p w:rsidR="005A605B" w:rsidRDefault="005A605B" w:rsidP="00057B42">
      <w:pPr>
        <w:spacing w:line="360" w:lineRule="auto"/>
        <w:jc w:val="both"/>
      </w:pPr>
      <w:r>
        <w:rPr>
          <w:noProof/>
          <w:lang w:eastAsia="en-IE"/>
        </w:rPr>
        <w:lastRenderedPageBreak/>
        <w:drawing>
          <wp:inline distT="0" distB="0" distL="0" distR="0" wp14:anchorId="20864E26" wp14:editId="5B70BDC0">
            <wp:extent cx="4865298" cy="3752491"/>
            <wp:effectExtent l="0" t="0" r="0" b="635"/>
            <wp:docPr id="290817" name="Picture 290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1.tif"/>
                    <pic:cNvPicPr/>
                  </pic:nvPicPr>
                  <pic:blipFill rotWithShape="1">
                    <a:blip r:embed="rId129">
                      <a:extLst>
                        <a:ext uri="{28A0092B-C50C-407E-A947-70E740481C1C}">
                          <a14:useLocalDpi xmlns:a14="http://schemas.microsoft.com/office/drawing/2010/main" val="0"/>
                        </a:ext>
                      </a:extLst>
                    </a:blip>
                    <a:srcRect l="3495" r="2661" b="3490"/>
                    <a:stretch/>
                  </pic:blipFill>
                  <pic:spPr bwMode="auto">
                    <a:xfrm>
                      <a:off x="0" y="0"/>
                      <a:ext cx="4864388" cy="3751789"/>
                    </a:xfrm>
                    <a:prstGeom prst="rect">
                      <a:avLst/>
                    </a:prstGeom>
                    <a:ln>
                      <a:noFill/>
                    </a:ln>
                    <a:extLst>
                      <a:ext uri="{53640926-AAD7-44D8-BBD7-CCE9431645EC}">
                        <a14:shadowObscured xmlns:a14="http://schemas.microsoft.com/office/drawing/2010/main"/>
                      </a:ext>
                    </a:extLst>
                  </pic:spPr>
                </pic:pic>
              </a:graphicData>
            </a:graphic>
          </wp:inline>
        </w:drawing>
      </w:r>
    </w:p>
    <w:p w:rsidR="00B61503" w:rsidRPr="00E676DF" w:rsidRDefault="00B61503" w:rsidP="00057B42">
      <w:pPr>
        <w:pStyle w:val="Caption"/>
        <w:numPr>
          <w:ilvl w:val="0"/>
          <w:numId w:val="18"/>
        </w:numPr>
        <w:pBdr>
          <w:bottom w:val="single" w:sz="12" w:space="1" w:color="auto"/>
        </w:pBdr>
        <w:spacing w:after="200"/>
        <w:ind w:left="0" w:firstLine="0"/>
        <w:jc w:val="both"/>
      </w:pPr>
      <w:r w:rsidRPr="00E676DF">
        <w:t xml:space="preserve">Thalidomide has an immunomodulatory effect by preventing cytokine production and T-cell activation. Thalidomide also </w:t>
      </w:r>
      <w:r w:rsidR="009C5019">
        <w:t xml:space="preserve">has </w:t>
      </w:r>
      <w:r w:rsidRPr="00E676DF">
        <w:t>effects on bone marrow environment, stromal cells and inhibition of cell adhesion. Adopted from ‘biology of Cancer – Myeloma, Jerome Tanner’ ISBN-10: 0-7910-8824-3.</w:t>
      </w:r>
    </w:p>
    <w:p w:rsidR="00B61503" w:rsidRDefault="00B61503" w:rsidP="00057B42">
      <w:pPr>
        <w:pStyle w:val="Caption"/>
        <w:pBdr>
          <w:bottom w:val="single" w:sz="12" w:space="1" w:color="auto"/>
        </w:pBdr>
        <w:jc w:val="both"/>
      </w:pPr>
      <w:r>
        <w:t xml:space="preserve"> </w:t>
      </w:r>
    </w:p>
    <w:p w:rsidR="00B61503" w:rsidRPr="00FA67F7" w:rsidRDefault="00B61503" w:rsidP="00057B42">
      <w:pPr>
        <w:spacing w:line="360" w:lineRule="auto"/>
        <w:jc w:val="both"/>
      </w:pPr>
    </w:p>
    <w:p w:rsidR="00B61503" w:rsidRPr="00FA67F7" w:rsidRDefault="00B61503" w:rsidP="00645687">
      <w:pPr>
        <w:pStyle w:val="Heading2"/>
        <w:numPr>
          <w:ilvl w:val="3"/>
          <w:numId w:val="19"/>
        </w:numPr>
      </w:pPr>
      <w:bookmarkStart w:id="1962" w:name="_Toc305690100"/>
      <w:bookmarkStart w:id="1963" w:name="_Toc306570792"/>
      <w:bookmarkStart w:id="1964" w:name="_Toc307067852"/>
      <w:bookmarkStart w:id="1965" w:name="_Toc312169419"/>
      <w:bookmarkStart w:id="1966" w:name="_Toc312172346"/>
      <w:bookmarkStart w:id="1967" w:name="_Toc312257895"/>
      <w:r w:rsidRPr="00FA67F7">
        <w:t>Immunomodulatory effects</w:t>
      </w:r>
      <w:bookmarkEnd w:id="1962"/>
      <w:bookmarkEnd w:id="1963"/>
      <w:bookmarkEnd w:id="1964"/>
      <w:bookmarkEnd w:id="1965"/>
      <w:bookmarkEnd w:id="1966"/>
      <w:bookmarkEnd w:id="1967"/>
    </w:p>
    <w:p w:rsidR="00B61503" w:rsidRPr="001A6261" w:rsidRDefault="00B61503" w:rsidP="00057B42">
      <w:pPr>
        <w:spacing w:before="100" w:beforeAutospacing="1" w:after="100" w:afterAutospacing="1" w:line="360" w:lineRule="auto"/>
        <w:jc w:val="both"/>
      </w:pPr>
      <w:r w:rsidRPr="001A6261">
        <w:t xml:space="preserve">Thalidomide's immunomodulatory activity derives mainly from modulation of cytokine production and inhibition of tumour necrosis factor alpha (TNF alpha) production. Thalidomide also </w:t>
      </w:r>
      <w:r w:rsidR="009C5019">
        <w:t>activates</w:t>
      </w:r>
      <w:r w:rsidRPr="001A6261">
        <w:t xml:space="preserve"> T lymphocytes, </w:t>
      </w:r>
      <w:r>
        <w:t xml:space="preserve">increasing proliferation and </w:t>
      </w:r>
      <w:r w:rsidRPr="001A6261">
        <w:t>production of interleukin</w:t>
      </w:r>
      <w:r>
        <w:t>s. This is an additional immuno activation</w:t>
      </w:r>
      <w:r w:rsidRPr="001A6261">
        <w:t xml:space="preserve"> adjuvant action</w:t>
      </w:r>
      <w:r>
        <w:t>,</w:t>
      </w:r>
      <w:r w:rsidRPr="001A6261">
        <w:t xml:space="preserve"> enhances the immune response of the body to myeloma cancer cells</w:t>
      </w:r>
      <w:r>
        <w:t xml:space="preserve"> as explained below</w:t>
      </w:r>
      <w:r w:rsidRPr="001A6261">
        <w:t>.</w:t>
      </w:r>
    </w:p>
    <w:p w:rsidR="00B61503" w:rsidRPr="001A6261" w:rsidRDefault="00B61503" w:rsidP="00645687">
      <w:pPr>
        <w:pStyle w:val="Heading2"/>
        <w:numPr>
          <w:ilvl w:val="4"/>
          <w:numId w:val="19"/>
        </w:numPr>
      </w:pPr>
      <w:bookmarkStart w:id="1968" w:name="_Toc305690101"/>
      <w:bookmarkStart w:id="1969" w:name="_Toc306570793"/>
      <w:bookmarkStart w:id="1970" w:name="_Toc307067853"/>
      <w:bookmarkStart w:id="1971" w:name="_Toc312169420"/>
      <w:bookmarkStart w:id="1972" w:name="_Toc312172347"/>
      <w:bookmarkStart w:id="1973" w:name="_Toc312257896"/>
      <w:r w:rsidRPr="001A6261">
        <w:t>Cytokine / TNF alpha inhibition</w:t>
      </w:r>
      <w:bookmarkEnd w:id="1968"/>
      <w:bookmarkEnd w:id="1969"/>
      <w:bookmarkEnd w:id="1970"/>
      <w:bookmarkEnd w:id="1971"/>
      <w:bookmarkEnd w:id="1972"/>
      <w:bookmarkEnd w:id="1973"/>
      <w:r w:rsidRPr="001A6261">
        <w:t xml:space="preserve"> </w:t>
      </w:r>
    </w:p>
    <w:p w:rsidR="00B61503" w:rsidRDefault="00B61503" w:rsidP="00057B42">
      <w:pPr>
        <w:spacing w:before="100" w:beforeAutospacing="1" w:after="100" w:afterAutospacing="1" w:line="360" w:lineRule="auto"/>
        <w:jc w:val="both"/>
      </w:pPr>
      <w:r w:rsidRPr="001A6261">
        <w:t xml:space="preserve">Cytokines are soluble glycoproteins released by immune system cells that regulate immune responses by acting through various receptors. The proinflammatory </w:t>
      </w:r>
      <w:r w:rsidRPr="001A6261">
        <w:lastRenderedPageBreak/>
        <w:t>cytokine TNF alpha is produced by mono</w:t>
      </w:r>
      <w:r>
        <w:t>cytes, macrophages, lymphocytes</w:t>
      </w:r>
      <w:r w:rsidRPr="001A6261">
        <w:t xml:space="preserve"> and natural killer cells. Cytokine excess</w:t>
      </w:r>
      <w:r w:rsidR="001A0382">
        <w:t xml:space="preserve"> plays an important role in </w:t>
      </w:r>
      <w:r w:rsidRPr="001A6261">
        <w:t>cancer rela</w:t>
      </w:r>
      <w:r>
        <w:t xml:space="preserve">ted anorexia-cachexia syndrome. </w:t>
      </w:r>
      <w:r w:rsidRPr="001A6261">
        <w:t>TNF</w:t>
      </w:r>
      <w:r>
        <w:t xml:space="preserve"> </w:t>
      </w:r>
      <w:r w:rsidRPr="001A6261">
        <w:t>a</w:t>
      </w:r>
      <w:r>
        <w:t>lpha</w:t>
      </w:r>
      <w:r w:rsidRPr="001A6261">
        <w:t xml:space="preserve"> is a growth and survival factor for myeloma cancer cells</w:t>
      </w:r>
      <w:r w:rsidR="00AE202D">
        <w:t xml:space="preserve"> </w:t>
      </w:r>
      <w:r w:rsidR="00AE202D">
        <w:fldChar w:fldCharType="begin">
          <w:fldData xml:space="preserve">PEVuZE5vdGU+PENpdGU+PEF1dGhvcj5Db2x1Y2NpYTwvQXV0aG9yPjxZZWFyPjIwMDg8L1llYXI+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</w:fldData>
        </w:fldChar>
      </w:r>
      <w:r w:rsidR="00AE202D">
        <w:instrText xml:space="preserve"> ADDIN EN.CITE </w:instrText>
      </w:r>
      <w:r w:rsidR="00AE202D">
        <w:fldChar w:fldCharType="begin">
          <w:fldData xml:space="preserve">PEVuZE5vdGU+PENpdGU+PEF1dGhvcj5Db2x1Y2NpYTwvQXV0aG9yPjxZZWFyPjIwMDg8L1llYXI+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</w:fldData>
        </w:fldChar>
      </w:r>
      <w:r w:rsidR="00AE202D">
        <w:instrText xml:space="preserve"> ADDIN EN.CITE.DATA </w:instrText>
      </w:r>
      <w:r w:rsidR="00AE202D">
        <w:fldChar w:fldCharType="end"/>
      </w:r>
      <w:r w:rsidR="00AE202D">
        <w:fldChar w:fldCharType="separate"/>
      </w:r>
      <w:r w:rsidR="00AE202D">
        <w:rPr>
          <w:noProof/>
        </w:rPr>
        <w:t>(</w:t>
      </w:r>
      <w:hyperlink w:anchor="_ENREF_82" w:tooltip="Coluccia, 2008 #5001" w:history="1">
        <w:r w:rsidR="004A784D">
          <w:rPr>
            <w:noProof/>
          </w:rPr>
          <w:t>Coluccia et al., 2008</w:t>
        </w:r>
      </w:hyperlink>
      <w:r w:rsidR="00AE202D">
        <w:rPr>
          <w:noProof/>
        </w:rPr>
        <w:t>)</w:t>
      </w:r>
      <w:r w:rsidR="00AE202D">
        <w:fldChar w:fldCharType="end"/>
      </w:r>
      <w:r w:rsidRPr="001A6261">
        <w:t>.</w:t>
      </w:r>
      <w:r>
        <w:t xml:space="preserve"> </w:t>
      </w:r>
      <w:r w:rsidRPr="001A6261">
        <w:t xml:space="preserve">Thalidomide suppresses TNF alpha activity in vivo by enhancing the degradation of TNF alpha mRNA. It may also bind to and increase the effect of </w:t>
      </w:r>
      <w:r w:rsidR="001A0382">
        <w:t>α</w:t>
      </w:r>
      <w:r w:rsidRPr="001A6261">
        <w:t>1-acid glycoproteins that possess intrinsic</w:t>
      </w:r>
      <w:r w:rsidR="009A3953">
        <w:t xml:space="preserve"> anti-TNF alpha activity. Some P</w:t>
      </w:r>
      <w:r w:rsidRPr="001A6261">
        <w:t>ro-inflammato</w:t>
      </w:r>
      <w:r>
        <w:t>ry cytokines such as interleukins 1b and 6 (IL-1b, IL-6) and granulocyte-</w:t>
      </w:r>
      <w:r w:rsidRPr="001A6261">
        <w:t>monocyte colony-stimulating factor (GM-CSF) are also inhibited.</w:t>
      </w:r>
      <w:bookmarkStart w:id="1974" w:name="bbib10"/>
      <w:r w:rsidRPr="001A6261">
        <w:t xml:space="preserve"> Additionally, </w:t>
      </w:r>
      <w:r w:rsidR="009A3953">
        <w:t xml:space="preserve">thalidomide </w:t>
      </w:r>
      <w:r w:rsidRPr="001A6261">
        <w:t xml:space="preserve">also up-regulates IL-6, a major growth and survival factor for myeloma cells </w:t>
      </w:r>
      <w:r w:rsidR="009A3953">
        <w:t>apoptosis</w:t>
      </w:r>
      <w:r w:rsidRPr="001A6261">
        <w:t xml:space="preserve"> </w:t>
      </w:r>
      <w:r w:rsidRPr="001A6261">
        <w:fldChar w:fldCharType="begin">
          <w:fldData xml:space="preserve">PEVuZE5vdGU+PENpdGU+PEF1dGhvcj5NZWllcmhvZmVyPC9BdXRob3I+PFllYXI+MjAwMTwvWWVh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</w:fldData>
        </w:fldChar>
      </w:r>
      <w:r w:rsidR="006F41FE">
        <w:instrText xml:space="preserve"> ADDIN EN.CITE </w:instrText>
      </w:r>
      <w:r w:rsidR="006F41FE">
        <w:fldChar w:fldCharType="begin">
          <w:fldData xml:space="preserve">PEVuZE5vdGU+PENpdGU+PEF1dGhvcj5NZWllcmhvZmVyPC9BdXRob3I+PFllYXI+MjAwMTwvWWVh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</w:fldData>
        </w:fldChar>
      </w:r>
      <w:r w:rsidR="006F41FE">
        <w:instrText xml:space="preserve"> ADDIN EN.CITE.DATA </w:instrText>
      </w:r>
      <w:r w:rsidR="006F41FE">
        <w:fldChar w:fldCharType="end"/>
      </w:r>
      <w:r w:rsidRPr="001A6261">
        <w:fldChar w:fldCharType="separate"/>
      </w:r>
      <w:r w:rsidR="006F41FE">
        <w:rPr>
          <w:noProof/>
        </w:rPr>
        <w:t>(</w:t>
      </w:r>
      <w:hyperlink w:anchor="_ENREF_271" w:tooltip="Meierhofer, 2001 #3982" w:history="1">
        <w:r w:rsidR="004A784D">
          <w:rPr>
            <w:noProof/>
          </w:rPr>
          <w:t>Meierhofer et al., 2001</w:t>
        </w:r>
      </w:hyperlink>
      <w:r w:rsidR="006F41FE">
        <w:rPr>
          <w:noProof/>
        </w:rPr>
        <w:t xml:space="preserve">, </w:t>
      </w:r>
      <w:hyperlink w:anchor="_ENREF_457" w:tooltip="Yasui, 2005 #3979" w:history="1">
        <w:r w:rsidR="004A784D">
          <w:rPr>
            <w:noProof/>
          </w:rPr>
          <w:t>Yasui et al., 2005</w:t>
        </w:r>
      </w:hyperlink>
      <w:r w:rsidR="006F41FE">
        <w:rPr>
          <w:noProof/>
        </w:rPr>
        <w:t>)</w:t>
      </w:r>
      <w:r w:rsidRPr="001A6261">
        <w:fldChar w:fldCharType="end"/>
      </w:r>
      <w:r w:rsidRPr="001A6261">
        <w:t xml:space="preserve">. </w:t>
      </w:r>
      <w:bookmarkEnd w:id="1974"/>
    </w:p>
    <w:p w:rsidR="00B61503" w:rsidRPr="001A6261" w:rsidRDefault="00B61503" w:rsidP="00645687">
      <w:pPr>
        <w:pStyle w:val="Heading2"/>
        <w:numPr>
          <w:ilvl w:val="4"/>
          <w:numId w:val="19"/>
        </w:numPr>
      </w:pPr>
      <w:bookmarkStart w:id="1975" w:name="_Toc305690102"/>
      <w:bookmarkStart w:id="1976" w:name="_Toc306570794"/>
      <w:bookmarkStart w:id="1977" w:name="_Toc307067854"/>
      <w:bookmarkStart w:id="1978" w:name="_Toc312169421"/>
      <w:bookmarkStart w:id="1979" w:name="_Toc312172348"/>
      <w:bookmarkStart w:id="1980" w:name="_Toc312257897"/>
      <w:r w:rsidRPr="001A6261">
        <w:t>Induction of T- cell proliferation</w:t>
      </w:r>
      <w:bookmarkEnd w:id="1975"/>
      <w:bookmarkEnd w:id="1976"/>
      <w:bookmarkEnd w:id="1977"/>
      <w:bookmarkEnd w:id="1978"/>
      <w:bookmarkEnd w:id="1979"/>
      <w:bookmarkEnd w:id="1980"/>
      <w:r w:rsidRPr="001A6261">
        <w:t xml:space="preserve"> </w:t>
      </w:r>
    </w:p>
    <w:p w:rsidR="00B61503" w:rsidRDefault="00B61503" w:rsidP="00057B42">
      <w:pPr>
        <w:spacing w:before="100" w:beforeAutospacing="1" w:after="100" w:afterAutospacing="1" w:line="360" w:lineRule="auto"/>
        <w:jc w:val="both"/>
      </w:pPr>
      <w:r>
        <w:t xml:space="preserve">Thalidomide </w:t>
      </w:r>
      <w:r w:rsidRPr="001A6261">
        <w:t xml:space="preserve">stimulates primary human T lymphocytes, inducing their proliferation, by increasing the production of interleukin 2 (IL-2) and interferon gamma. Thus, its immunologic adjuvant action enhances the immune response of the body to myeloma cancer cells. Nevertheless, </w:t>
      </w:r>
      <w:r>
        <w:t xml:space="preserve">the effectiveness of this </w:t>
      </w:r>
      <w:r w:rsidRPr="001A6261">
        <w:t>mechanism is still not clear</w:t>
      </w:r>
      <w:r>
        <w:t>. I</w:t>
      </w:r>
      <w:r w:rsidRPr="001A6261">
        <w:t>t is questionable whether the enhanced proliferation of T lymphocytes contributes directly to the c</w:t>
      </w:r>
      <w:r>
        <w:t>linical efficacy of thalidomide. As T cells proliferation</w:t>
      </w:r>
      <w:r w:rsidRPr="001A6261">
        <w:t xml:space="preserve"> does not result in increased cytolytic activity of against the myeloma cells </w:t>
      </w:r>
      <w:r w:rsidRPr="001A6261">
        <w:fldChar w:fldCharType="begin">
          <w:fldData xml:space="preserve">PEVuZE5vdGU+PENpdGU+PEF1dGhvcj5NZWllcmhvZmVyPC9BdXRob3I+PFllYXI+MjAwMTwvWWVh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</w:fldData>
        </w:fldChar>
      </w:r>
      <w:r w:rsidR="006F41FE">
        <w:instrText xml:space="preserve"> ADDIN EN.CITE </w:instrText>
      </w:r>
      <w:r w:rsidR="006F41FE">
        <w:fldChar w:fldCharType="begin">
          <w:fldData xml:space="preserve">PEVuZE5vdGU+PENpdGU+PEF1dGhvcj5NZWllcmhvZmVyPC9BdXRob3I+PFllYXI+MjAwMTwvWWVh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</w:fldData>
        </w:fldChar>
      </w:r>
      <w:r w:rsidR="006F41FE">
        <w:instrText xml:space="preserve"> ADDIN EN.CITE.DATA </w:instrText>
      </w:r>
      <w:r w:rsidR="006F41FE">
        <w:fldChar w:fldCharType="end"/>
      </w:r>
      <w:r w:rsidRPr="001A6261">
        <w:fldChar w:fldCharType="separate"/>
      </w:r>
      <w:r w:rsidR="006F41FE">
        <w:rPr>
          <w:noProof/>
        </w:rPr>
        <w:t>(</w:t>
      </w:r>
      <w:hyperlink w:anchor="_ENREF_271" w:tooltip="Meierhofer, 2001 #3982" w:history="1">
        <w:r w:rsidR="004A784D">
          <w:rPr>
            <w:noProof/>
          </w:rPr>
          <w:t>Meierhofer et al., 2001</w:t>
        </w:r>
      </w:hyperlink>
      <w:r w:rsidR="006F41FE">
        <w:rPr>
          <w:noProof/>
        </w:rPr>
        <w:t xml:space="preserve">, </w:t>
      </w:r>
      <w:hyperlink w:anchor="_ENREF_457" w:tooltip="Yasui, 2005 #3979" w:history="1">
        <w:r w:rsidR="004A784D">
          <w:rPr>
            <w:noProof/>
          </w:rPr>
          <w:t>Yasui et al., 2005</w:t>
        </w:r>
      </w:hyperlink>
      <w:r w:rsidR="006F41FE">
        <w:rPr>
          <w:noProof/>
        </w:rPr>
        <w:t xml:space="preserve">, </w:t>
      </w:r>
      <w:hyperlink w:anchor="_ENREF_307" w:tooltip="Ozaki, 2011 #3301" w:history="1">
        <w:r w:rsidR="004A784D">
          <w:rPr>
            <w:noProof/>
          </w:rPr>
          <w:t>Ozaki et al., 2011</w:t>
        </w:r>
      </w:hyperlink>
      <w:r w:rsidR="006F41FE">
        <w:rPr>
          <w:noProof/>
        </w:rPr>
        <w:t>)</w:t>
      </w:r>
      <w:r w:rsidRPr="001A6261">
        <w:fldChar w:fldCharType="end"/>
      </w:r>
      <w:r w:rsidRPr="001A6261">
        <w:t xml:space="preserve">. </w:t>
      </w:r>
    </w:p>
    <w:p w:rsidR="002676E3" w:rsidRDefault="002676E3" w:rsidP="00057B42">
      <w:pPr>
        <w:spacing w:before="100" w:beforeAutospacing="1" w:after="100" w:afterAutospacing="1" w:line="360" w:lineRule="auto"/>
        <w:jc w:val="both"/>
      </w:pPr>
    </w:p>
    <w:p w:rsidR="00B61503" w:rsidRDefault="00B61503" w:rsidP="00645687">
      <w:pPr>
        <w:pStyle w:val="Heading2"/>
        <w:numPr>
          <w:ilvl w:val="4"/>
          <w:numId w:val="19"/>
        </w:numPr>
      </w:pPr>
      <w:bookmarkStart w:id="1981" w:name="_Toc305690103"/>
      <w:bookmarkStart w:id="1982" w:name="_Toc306570795"/>
      <w:bookmarkStart w:id="1983" w:name="_Toc307067856"/>
      <w:bookmarkStart w:id="1984" w:name="_Toc312169422"/>
      <w:bookmarkStart w:id="1985" w:name="_Toc312172349"/>
      <w:bookmarkStart w:id="1986" w:name="_Toc312257898"/>
      <w:r w:rsidRPr="001A6261">
        <w:t>Immunomodulat</w:t>
      </w:r>
      <w:r>
        <w:t>ion and discovered biomarkers</w:t>
      </w:r>
      <w:bookmarkEnd w:id="1981"/>
      <w:bookmarkEnd w:id="1982"/>
      <w:bookmarkEnd w:id="1983"/>
      <w:bookmarkEnd w:id="1984"/>
      <w:bookmarkEnd w:id="1985"/>
      <w:bookmarkEnd w:id="1986"/>
    </w:p>
    <w:p w:rsidR="00B61503" w:rsidRPr="001A6261" w:rsidRDefault="00B61503" w:rsidP="00000025">
      <w:pPr>
        <w:spacing w:before="240" w:line="360" w:lineRule="auto"/>
        <w:jc w:val="both"/>
        <w:rPr>
          <w:color w:val="000000"/>
        </w:rPr>
      </w:pPr>
      <w:r>
        <w:rPr>
          <w:color w:val="000000"/>
        </w:rPr>
        <w:t xml:space="preserve">VDB, ZAG and SAA have </w:t>
      </w:r>
      <w:r w:rsidRPr="009E615F">
        <w:rPr>
          <w:color w:val="000000"/>
        </w:rPr>
        <w:t>increased concentration in non-responders to</w:t>
      </w:r>
      <w:r>
        <w:rPr>
          <w:color w:val="000000"/>
        </w:rPr>
        <w:t xml:space="preserve"> </w:t>
      </w:r>
      <w:r w:rsidRPr="009E615F">
        <w:rPr>
          <w:color w:val="000000"/>
        </w:rPr>
        <w:t>thalidomide are acute phase reactants</w:t>
      </w:r>
      <w:r>
        <w:rPr>
          <w:color w:val="000000"/>
        </w:rPr>
        <w:t xml:space="preserve"> with immunomodulation properties</w:t>
      </w:r>
      <w:r w:rsidRPr="009E615F">
        <w:rPr>
          <w:color w:val="000000"/>
        </w:rPr>
        <w:t xml:space="preserve">. </w:t>
      </w:r>
      <w:r w:rsidRPr="001A6261">
        <w:rPr>
          <w:color w:val="000000"/>
        </w:rPr>
        <w:t xml:space="preserve">VDB has been detected on the surface of several blood cell types such as some T </w:t>
      </w:r>
      <w:r w:rsidR="0010315E">
        <w:rPr>
          <w:color w:val="000000"/>
        </w:rPr>
        <w:t>and</w:t>
      </w:r>
      <w:r w:rsidRPr="001A6261">
        <w:rPr>
          <w:color w:val="000000"/>
        </w:rPr>
        <w:t xml:space="preserve"> B lymphocytes and seems to participate in the linkage of surface immunoglobulin therefore it </w:t>
      </w:r>
      <w:r>
        <w:rPr>
          <w:color w:val="000000"/>
        </w:rPr>
        <w:t xml:space="preserve">interact and alter body immune response. We suggest that this may have some influence on </w:t>
      </w:r>
      <w:r w:rsidRPr="001A6261">
        <w:rPr>
          <w:color w:val="000000"/>
        </w:rPr>
        <w:t>immunomodulatory</w:t>
      </w:r>
      <w:r>
        <w:rPr>
          <w:color w:val="000000"/>
        </w:rPr>
        <w:t xml:space="preserve">, anti-myeloma properties of </w:t>
      </w:r>
      <w:r w:rsidRPr="001A6261">
        <w:rPr>
          <w:color w:val="000000"/>
        </w:rPr>
        <w:t>thalidomide</w:t>
      </w:r>
      <w:r>
        <w:rPr>
          <w:color w:val="000000"/>
        </w:rPr>
        <w:t xml:space="preserve"> </w:t>
      </w:r>
      <w:r w:rsidRPr="001A6261">
        <w:rPr>
          <w:color w:val="000000"/>
        </w:rPr>
        <w:fldChar w:fldCharType="begin">
          <w:fldData xml:space="preserve">PEVuZE5vdGU+PENpdGU+PEF1dGhvcj5IdTwvQXV0aG9yPjxZZWFyPjE5OTM8L1llYXI+PFJlY051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</w:fldData>
        </w:fldChar>
      </w:r>
      <w:r w:rsidR="001B68DA">
        <w:rPr>
          <w:color w:val="000000"/>
        </w:rPr>
        <w:instrText xml:space="preserve"> ADDIN EN.CITE </w:instrText>
      </w:r>
      <w:r w:rsidR="001B68DA">
        <w:rPr>
          <w:color w:val="000000"/>
        </w:rPr>
        <w:fldChar w:fldCharType="begin">
          <w:fldData xml:space="preserve">PEVuZE5vdGU+PENpdGU+PEF1dGhvcj5IdTwvQXV0aG9yPjxZZWFyPjE5OTM8L1llYXI+PFJlY051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</w:fldData>
        </w:fldChar>
      </w:r>
      <w:r w:rsidR="001B68DA">
        <w:rPr>
          <w:color w:val="000000"/>
        </w:rPr>
        <w:instrText xml:space="preserve"> ADDIN EN.CITE.DATA </w:instrText>
      </w:r>
      <w:r w:rsidR="001B68DA">
        <w:rPr>
          <w:color w:val="000000"/>
        </w:rPr>
      </w:r>
      <w:r w:rsidR="001B68DA">
        <w:rPr>
          <w:color w:val="000000"/>
        </w:rPr>
        <w:fldChar w:fldCharType="end"/>
      </w:r>
      <w:r w:rsidRPr="001A6261">
        <w:rPr>
          <w:color w:val="000000"/>
        </w:rPr>
      </w:r>
      <w:r w:rsidRPr="001A6261">
        <w:rPr>
          <w:color w:val="000000"/>
        </w:rPr>
        <w:fldChar w:fldCharType="separate"/>
      </w:r>
      <w:r w:rsidR="001B68DA">
        <w:rPr>
          <w:noProof/>
          <w:color w:val="000000"/>
        </w:rPr>
        <w:t>(</w:t>
      </w:r>
      <w:hyperlink w:anchor="_ENREF_185" w:tooltip="Huang, 2008 #1" w:history="1">
        <w:r w:rsidR="004A784D">
          <w:rPr>
            <w:noProof/>
            <w:color w:val="000000"/>
          </w:rPr>
          <w:t>Huang et al., 2008</w:t>
        </w:r>
      </w:hyperlink>
      <w:r w:rsidR="001B68DA">
        <w:rPr>
          <w:noProof/>
          <w:color w:val="000000"/>
        </w:rPr>
        <w:t xml:space="preserve">, </w:t>
      </w:r>
      <w:hyperlink w:anchor="_ENREF_259" w:tooltip="Ma, 2008 #6456" w:history="1">
        <w:r w:rsidR="004A784D">
          <w:rPr>
            <w:noProof/>
            <w:color w:val="000000"/>
          </w:rPr>
          <w:t>Ma et al., 2008a</w:t>
        </w:r>
      </w:hyperlink>
      <w:r w:rsidR="001B68DA">
        <w:rPr>
          <w:noProof/>
          <w:color w:val="000000"/>
        </w:rPr>
        <w:t>)</w:t>
      </w:r>
      <w:r w:rsidRPr="001A6261">
        <w:rPr>
          <w:color w:val="000000"/>
        </w:rPr>
        <w:fldChar w:fldCharType="end"/>
      </w:r>
      <w:r w:rsidRPr="001A6261">
        <w:rPr>
          <w:color w:val="000000"/>
        </w:rPr>
        <w:t xml:space="preserve">. ZAG expression is regulated particularly through TNF alpha and the gamma nuclear receptor </w:t>
      </w:r>
      <w:r w:rsidRPr="001A6261">
        <w:rPr>
          <w:noProof/>
          <w:color w:val="000000"/>
        </w:rPr>
        <w:t>(</w:t>
      </w:r>
      <w:hyperlink w:anchor="_ENREF_8" w:tooltip="Bing, 2004 #1089" w:history="1">
        <w:r w:rsidRPr="001A6261">
          <w:rPr>
            <w:noProof/>
            <w:color w:val="000000"/>
          </w:rPr>
          <w:t>Bing, Bao et al. 2004</w:t>
        </w:r>
      </w:hyperlink>
      <w:r w:rsidRPr="001A6261">
        <w:rPr>
          <w:noProof/>
          <w:color w:val="000000"/>
        </w:rPr>
        <w:t xml:space="preserve">). </w:t>
      </w:r>
      <w:r w:rsidRPr="001A6261">
        <w:rPr>
          <w:color w:val="000000"/>
        </w:rPr>
        <w:t xml:space="preserve"> ZAG is as a </w:t>
      </w:r>
      <w:r w:rsidR="001A0382">
        <w:rPr>
          <w:color w:val="000000"/>
        </w:rPr>
        <w:t>member of immunoglobulin and</w:t>
      </w:r>
      <w:r w:rsidRPr="001A6261">
        <w:rPr>
          <w:color w:val="000000"/>
        </w:rPr>
        <w:t xml:space="preserve"> may also have a role in the expression of the </w:t>
      </w:r>
      <w:r w:rsidRPr="001A6261">
        <w:rPr>
          <w:color w:val="000000"/>
        </w:rPr>
        <w:lastRenderedPageBreak/>
        <w:t xml:space="preserve">immune response which can </w:t>
      </w:r>
      <w:r>
        <w:rPr>
          <w:color w:val="000000"/>
        </w:rPr>
        <w:t>affect</w:t>
      </w:r>
      <w:r w:rsidRPr="001A6261">
        <w:rPr>
          <w:color w:val="000000"/>
        </w:rPr>
        <w:t xml:space="preserve"> </w:t>
      </w:r>
      <w:r>
        <w:rPr>
          <w:color w:val="000000"/>
        </w:rPr>
        <w:t xml:space="preserve">the </w:t>
      </w:r>
      <w:r w:rsidRPr="001A6261">
        <w:rPr>
          <w:color w:val="000000"/>
        </w:rPr>
        <w:t>response</w:t>
      </w:r>
      <w:r>
        <w:rPr>
          <w:color w:val="000000"/>
        </w:rPr>
        <w:t xml:space="preserve"> of MM patients</w:t>
      </w:r>
      <w:r w:rsidRPr="001A6261">
        <w:rPr>
          <w:color w:val="000000"/>
        </w:rPr>
        <w:t xml:space="preserve"> to immune modulators anti-myeloma therapies such as thalidomide. In addition, human adipocytes, ZAG expression are regulated particularly through TNF alpha and the gamma nuclear receptor (Bing, Bao et al. 2004). TNF alpha leads to a dose-dependent decrease in the serum level of ZAG. Thalidomide also inhibits secretion of TNF alpha from monocytes. Hence higher serum level of ZAG’ in non-responders patients may indicates thalidomide failure to reduce </w:t>
      </w:r>
      <w:r>
        <w:rPr>
          <w:color w:val="000000"/>
        </w:rPr>
        <w:t xml:space="preserve">serum </w:t>
      </w:r>
      <w:r w:rsidRPr="001A6261">
        <w:rPr>
          <w:color w:val="000000"/>
        </w:rPr>
        <w:t>TNF alpha</w:t>
      </w:r>
      <w:r>
        <w:rPr>
          <w:color w:val="000000"/>
        </w:rPr>
        <w:t xml:space="preserve"> level </w:t>
      </w:r>
      <w:r w:rsidRPr="001A6261">
        <w:rPr>
          <w:color w:val="000000"/>
        </w:rPr>
        <w:t xml:space="preserve">in this group of patients. </w:t>
      </w:r>
    </w:p>
    <w:p w:rsidR="00E676DF" w:rsidRDefault="00E676DF" w:rsidP="00057B42">
      <w:pPr>
        <w:spacing w:line="360" w:lineRule="auto"/>
        <w:jc w:val="both"/>
        <w:rPr>
          <w:color w:val="000000"/>
        </w:rPr>
      </w:pPr>
    </w:p>
    <w:p w:rsidR="00B61503" w:rsidRPr="001A6261" w:rsidRDefault="00C5350B" w:rsidP="00057B42">
      <w:pPr>
        <w:spacing w:line="360" w:lineRule="auto"/>
        <w:jc w:val="both"/>
        <w:rPr>
          <w:color w:val="000000"/>
        </w:rPr>
      </w:pPr>
      <w:r>
        <w:rPr>
          <w:color w:val="000000"/>
        </w:rPr>
        <w:t>SAA is</w:t>
      </w:r>
      <w:r w:rsidR="00B61503" w:rsidRPr="001A6261">
        <w:rPr>
          <w:color w:val="000000"/>
        </w:rPr>
        <w:t xml:space="preserve"> secreted during the acute phase of inflammation</w:t>
      </w:r>
      <w:r w:rsidR="000A4841">
        <w:rPr>
          <w:color w:val="000000"/>
        </w:rPr>
        <w:t xml:space="preserve"> </w:t>
      </w:r>
      <w:r>
        <w:rPr>
          <w:color w:val="000000"/>
        </w:rPr>
        <w:t xml:space="preserve">as an acute phase </w:t>
      </w:r>
      <w:r w:rsidR="00A8610C">
        <w:rPr>
          <w:color w:val="000000"/>
        </w:rPr>
        <w:t>reactant in</w:t>
      </w:r>
      <w:r>
        <w:rPr>
          <w:color w:val="000000"/>
        </w:rPr>
        <w:t xml:space="preserve"> </w:t>
      </w:r>
      <w:r w:rsidR="00B61503" w:rsidRPr="001A6261">
        <w:rPr>
          <w:color w:val="000000"/>
        </w:rPr>
        <w:t xml:space="preserve">response to an inflammatory cytokines released by activated monocytes/macrophages </w:t>
      </w:r>
      <w:r w:rsidR="00B61503" w:rsidRPr="001A6261">
        <w:rPr>
          <w:color w:val="000000"/>
        </w:rPr>
        <w:fldChar w:fldCharType="begin">
          <w:fldData xml:space="preserve">PEVuZE5vdGU+PENpdGU+PEF1dGhvcj5MZWU8L0F1dGhvcj48WWVhcj4yMDA2PC9ZZWFyPjxSZWNO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</w:fldData>
        </w:fldChar>
      </w:r>
      <w:r w:rsidR="006F41FE">
        <w:rPr>
          <w:color w:val="000000"/>
        </w:rPr>
        <w:instrText xml:space="preserve"> ADDIN EN.CITE </w:instrText>
      </w:r>
      <w:r w:rsidR="006F41FE">
        <w:rPr>
          <w:color w:val="000000"/>
        </w:rPr>
        <w:fldChar w:fldCharType="begin">
          <w:fldData xml:space="preserve">PEVuZE5vdGU+PENpdGU+PEF1dGhvcj5MZWU8L0F1dGhvcj48WWVhcj4yMDA2PC9ZZWFyPjxSZWNO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</w:fldData>
        </w:fldChar>
      </w:r>
      <w:r w:rsidR="006F41FE">
        <w:rPr>
          <w:color w:val="000000"/>
        </w:rPr>
        <w:instrText xml:space="preserve"> ADDIN EN.CITE.DATA </w:instrText>
      </w:r>
      <w:r w:rsidR="006F41FE">
        <w:rPr>
          <w:color w:val="000000"/>
        </w:rPr>
      </w:r>
      <w:r w:rsidR="006F41FE">
        <w:rPr>
          <w:color w:val="000000"/>
        </w:rPr>
        <w:fldChar w:fldCharType="end"/>
      </w:r>
      <w:r w:rsidR="00B61503" w:rsidRPr="001A6261">
        <w:rPr>
          <w:color w:val="000000"/>
        </w:rPr>
      </w:r>
      <w:r w:rsidR="00B61503" w:rsidRPr="001A6261">
        <w:rPr>
          <w:color w:val="000000"/>
        </w:rPr>
        <w:fldChar w:fldCharType="separate"/>
      </w:r>
      <w:r w:rsidR="006F41FE">
        <w:rPr>
          <w:noProof/>
          <w:color w:val="000000"/>
        </w:rPr>
        <w:t>(</w:t>
      </w:r>
      <w:hyperlink w:anchor="_ENREF_239" w:tooltip="Lee, 2006 #3" w:history="1">
        <w:r w:rsidR="004A784D">
          <w:rPr>
            <w:noProof/>
            <w:color w:val="000000"/>
          </w:rPr>
          <w:t>Lee et al., 2006</w:t>
        </w:r>
      </w:hyperlink>
      <w:r w:rsidR="006F41FE">
        <w:rPr>
          <w:noProof/>
          <w:color w:val="000000"/>
        </w:rPr>
        <w:t xml:space="preserve">, </w:t>
      </w:r>
      <w:hyperlink w:anchor="_ENREF_160" w:tooltip="Han, 2007 #2" w:history="1">
        <w:r w:rsidR="004A784D">
          <w:rPr>
            <w:noProof/>
            <w:color w:val="000000"/>
          </w:rPr>
          <w:t>Han et al., 2007</w:t>
        </w:r>
      </w:hyperlink>
      <w:r w:rsidR="006F41FE">
        <w:rPr>
          <w:noProof/>
          <w:color w:val="000000"/>
        </w:rPr>
        <w:t>)</w:t>
      </w:r>
      <w:r w:rsidR="00B61503" w:rsidRPr="001A6261">
        <w:rPr>
          <w:color w:val="000000"/>
        </w:rPr>
        <w:fldChar w:fldCharType="end"/>
      </w:r>
      <w:r w:rsidR="00B61503" w:rsidRPr="001A6261">
        <w:rPr>
          <w:color w:val="000000"/>
        </w:rPr>
        <w:t>. SAA expression level is down-regulated via the increased production or ingestion of cytokine</w:t>
      </w:r>
      <w:r w:rsidR="00A8610C">
        <w:rPr>
          <w:color w:val="000000"/>
        </w:rPr>
        <w:t xml:space="preserve"> antagonists </w:t>
      </w:r>
      <w:r w:rsidR="00A8610C">
        <w:rPr>
          <w:color w:val="000000"/>
        </w:rPr>
        <w:fldChar w:fldCharType="begin">
          <w:fldData xml:space="preserve">PEVuZE5vdGU+PENpdGU+PEF1dGhvcj5NaWdpdGE8L0F1dGhvcj48WWVhcj4yMDEwPC9ZZWFyPjxS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</w:fldData>
        </w:fldChar>
      </w:r>
      <w:r w:rsidR="00A8610C">
        <w:rPr>
          <w:color w:val="000000"/>
        </w:rPr>
        <w:instrText xml:space="preserve"> ADDIN EN.CITE </w:instrText>
      </w:r>
      <w:r w:rsidR="00A8610C">
        <w:rPr>
          <w:color w:val="000000"/>
        </w:rPr>
        <w:fldChar w:fldCharType="begin">
          <w:fldData xml:space="preserve">PEVuZE5vdGU+PENpdGU+PEF1dGhvcj5NaWdpdGE8L0F1dGhvcj48WWVhcj4yMDEwPC9ZZWFyPjxS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</w:fldData>
        </w:fldChar>
      </w:r>
      <w:r w:rsidR="00A8610C">
        <w:rPr>
          <w:color w:val="000000"/>
        </w:rPr>
        <w:instrText xml:space="preserve"> ADDIN EN.CITE.DATA </w:instrText>
      </w:r>
      <w:r w:rsidR="00A8610C">
        <w:rPr>
          <w:color w:val="000000"/>
        </w:rPr>
      </w:r>
      <w:r w:rsidR="00A8610C">
        <w:rPr>
          <w:color w:val="000000"/>
        </w:rPr>
        <w:fldChar w:fldCharType="end"/>
      </w:r>
      <w:r w:rsidR="00A8610C">
        <w:rPr>
          <w:color w:val="000000"/>
        </w:rPr>
      </w:r>
      <w:r w:rsidR="00A8610C">
        <w:rPr>
          <w:color w:val="000000"/>
        </w:rPr>
        <w:fldChar w:fldCharType="separate"/>
      </w:r>
      <w:r w:rsidR="00A8610C">
        <w:rPr>
          <w:noProof/>
          <w:color w:val="000000"/>
        </w:rPr>
        <w:t>(</w:t>
      </w:r>
      <w:hyperlink w:anchor="_ENREF_275" w:tooltip="Migita, 2010 #5811" w:history="1">
        <w:r w:rsidR="004A784D">
          <w:rPr>
            <w:noProof/>
            <w:color w:val="000000"/>
          </w:rPr>
          <w:t>Migita et al., 2010</w:t>
        </w:r>
      </w:hyperlink>
      <w:r w:rsidR="00A8610C">
        <w:rPr>
          <w:noProof/>
          <w:color w:val="000000"/>
        </w:rPr>
        <w:t xml:space="preserve">, </w:t>
      </w:r>
      <w:hyperlink w:anchor="_ENREF_291" w:tooltip="Niemi, 2011 #5809" w:history="1">
        <w:r w:rsidR="004A784D">
          <w:rPr>
            <w:noProof/>
            <w:color w:val="000000"/>
          </w:rPr>
          <w:t>Niemi et al., 2011</w:t>
        </w:r>
      </w:hyperlink>
      <w:r w:rsidR="00A8610C">
        <w:rPr>
          <w:noProof/>
          <w:color w:val="000000"/>
        </w:rPr>
        <w:t>)</w:t>
      </w:r>
      <w:r w:rsidR="00A8610C">
        <w:rPr>
          <w:color w:val="000000"/>
        </w:rPr>
        <w:fldChar w:fldCharType="end"/>
      </w:r>
      <w:r w:rsidR="00B61503" w:rsidRPr="001A6261">
        <w:rPr>
          <w:color w:val="000000"/>
        </w:rPr>
        <w:t xml:space="preserve">. In our study the level of SAA was three fold higher in non-responders as compare to responders to thalidomide. This finding may again create an argument that perhaps failure of thalidomide in inhibiting the cytokine which decreases the SAA serum level in certain </w:t>
      </w:r>
      <w:r w:rsidR="00B61503">
        <w:rPr>
          <w:color w:val="000000"/>
        </w:rPr>
        <w:t xml:space="preserve">sub </w:t>
      </w:r>
      <w:r w:rsidR="00B61503" w:rsidRPr="001A6261">
        <w:rPr>
          <w:color w:val="000000"/>
        </w:rPr>
        <w:t xml:space="preserve">group of patients may point toward the overall resistance to thalidomide. </w:t>
      </w:r>
    </w:p>
    <w:p w:rsidR="008E15EA" w:rsidRDefault="00B61503" w:rsidP="00057B42">
      <w:pPr>
        <w:spacing w:before="100" w:beforeAutospacing="1" w:after="100" w:afterAutospacing="1" w:line="360" w:lineRule="auto"/>
        <w:jc w:val="both"/>
      </w:pPr>
      <w:r w:rsidRPr="001A6261">
        <w:t>In our study, increase in serum Hp level was demonstrated in respon</w:t>
      </w:r>
      <w:r w:rsidR="001A0382">
        <w:t>ders to thalidomide, b</w:t>
      </w:r>
      <w:r w:rsidR="00BF6B2E">
        <w:t>oth in 2D-</w:t>
      </w:r>
      <w:r w:rsidRPr="001A6261">
        <w:t>DIGE analysis and unfractionated serum using ELlSA assay. The full scope of biological functions of Hp in a variety of diseases including MM is not fully understood. Hp is a glycoprotein mainly secreted by the liver cells</w:t>
      </w:r>
      <w:r w:rsidR="001A0382">
        <w:t xml:space="preserve"> </w:t>
      </w:r>
      <w:r w:rsidR="001A0382" w:rsidRPr="001A6261">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1A0382">
        <w:rPr>
          <w:color w:val="000000"/>
        </w:rPr>
        <w:instrText xml:space="preserve"> ADDIN EN.CITE </w:instrText>
      </w:r>
      <w:r w:rsidR="001A0382">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1A0382">
        <w:rPr>
          <w:color w:val="000000"/>
        </w:rPr>
        <w:instrText xml:space="preserve"> ADDIN EN.CITE.DATA </w:instrText>
      </w:r>
      <w:r w:rsidR="001A0382">
        <w:rPr>
          <w:color w:val="000000"/>
        </w:rPr>
      </w:r>
      <w:r w:rsidR="001A0382">
        <w:rPr>
          <w:color w:val="000000"/>
        </w:rPr>
        <w:fldChar w:fldCharType="end"/>
      </w:r>
      <w:r w:rsidR="001A0382" w:rsidRPr="001A6261">
        <w:rPr>
          <w:color w:val="000000"/>
        </w:rPr>
      </w:r>
      <w:r w:rsidR="001A0382" w:rsidRPr="001A6261">
        <w:rPr>
          <w:color w:val="000000"/>
        </w:rPr>
        <w:fldChar w:fldCharType="separate"/>
      </w:r>
      <w:r w:rsidR="001A0382">
        <w:rPr>
          <w:noProof/>
          <w:color w:val="000000"/>
        </w:rPr>
        <w:t>(</w:t>
      </w:r>
      <w:hyperlink w:anchor="_ENREF_75" w:tooltip="Cid, 1993 #14" w:history="1">
        <w:r w:rsidR="004A784D">
          <w:rPr>
            <w:noProof/>
            <w:color w:val="000000"/>
          </w:rPr>
          <w:t>Cid et al., 1993</w:t>
        </w:r>
      </w:hyperlink>
      <w:r w:rsidR="001A0382">
        <w:rPr>
          <w:noProof/>
          <w:color w:val="000000"/>
        </w:rPr>
        <w:t xml:space="preserve">, </w:t>
      </w:r>
      <w:hyperlink w:anchor="_ENREF_92" w:tooltip="de Kleijn, 2002 #8" w:history="1">
        <w:r w:rsidR="004A784D">
          <w:rPr>
            <w:noProof/>
            <w:color w:val="000000"/>
          </w:rPr>
          <w:t>de Kleijn et al., 2002</w:t>
        </w:r>
      </w:hyperlink>
      <w:r w:rsidR="001A0382">
        <w:rPr>
          <w:noProof/>
          <w:color w:val="000000"/>
        </w:rPr>
        <w:t>)</w:t>
      </w:r>
      <w:r w:rsidR="001A0382" w:rsidRPr="001A6261">
        <w:rPr>
          <w:color w:val="000000"/>
        </w:rPr>
        <w:fldChar w:fldCharType="end"/>
      </w:r>
      <w:r w:rsidRPr="001A6261">
        <w:t xml:space="preserve">. </w:t>
      </w:r>
    </w:p>
    <w:p w:rsidR="00B61503" w:rsidRPr="00902775" w:rsidRDefault="00B61503" w:rsidP="00057B42">
      <w:pPr>
        <w:spacing w:before="100" w:beforeAutospacing="1" w:after="100" w:afterAutospacing="1" w:line="360" w:lineRule="auto"/>
        <w:jc w:val="both"/>
        <w:rPr>
          <w:color w:val="000000"/>
          <w:sz w:val="36"/>
        </w:rPr>
      </w:pPr>
      <w:r w:rsidRPr="001A6261">
        <w:t>Hp is also an acute-phase response serum protein that has been known to play an important inhibitory role in inflammat</w:t>
      </w:r>
      <w:r w:rsidR="00DA6BCD">
        <w:t xml:space="preserve">ion.  Hp serum concentration </w:t>
      </w:r>
      <w:r w:rsidRPr="001A6261">
        <w:t xml:space="preserve">likewise increases in response to a variety of stimuli, such as: infection, neoplasia, as an acute phase reaction </w:t>
      </w:r>
      <w:r w:rsidRPr="001A6261">
        <w:rPr>
          <w:color w:val="000000"/>
        </w:rPr>
        <w:t xml:space="preserve">(Dobryszycka 1997). </w:t>
      </w:r>
      <w:r w:rsidRPr="001A6261">
        <w:t xml:space="preserve">Besides its scavenging and inflammatory response functions, Hp has been shown to be involved in the regulation </w:t>
      </w:r>
      <w:r w:rsidR="001A0382">
        <w:t xml:space="preserve">of </w:t>
      </w:r>
      <w:r w:rsidRPr="001A6261">
        <w:t xml:space="preserve">immune suppression in cancer, and angiogenesis </w:t>
      </w:r>
      <w:r w:rsidRPr="001A6261">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6F41FE">
        <w:rPr>
          <w:color w:val="000000"/>
        </w:rPr>
        <w:instrText xml:space="preserve"> ADDIN EN.CITE </w:instrText>
      </w:r>
      <w:r w:rsidR="006F41FE">
        <w:rPr>
          <w:color w:val="000000"/>
        </w:rPr>
        <w:fldChar w:fldCharType="begin">
          <w:fldData xml:space="preserve">PEVuZE5vdGU+PENpdGU+PEF1dGhvcj5DaWQ8L0F1dGhvcj48WWVhcj4xOTkzPC9ZZWFyPjxSZWNO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75" w:tooltip="Cid, 1993 #14" w:history="1">
        <w:r w:rsidR="004A784D">
          <w:rPr>
            <w:noProof/>
            <w:color w:val="000000"/>
          </w:rPr>
          <w:t>Cid et al., 1993</w:t>
        </w:r>
      </w:hyperlink>
      <w:r w:rsidR="006F41FE">
        <w:rPr>
          <w:noProof/>
          <w:color w:val="000000"/>
        </w:rPr>
        <w:t xml:space="preserve">, </w:t>
      </w:r>
      <w:hyperlink w:anchor="_ENREF_92" w:tooltip="de Kleijn, 2002 #8" w:history="1">
        <w:r w:rsidR="004A784D">
          <w:rPr>
            <w:noProof/>
            <w:color w:val="000000"/>
          </w:rPr>
          <w:t>de Kleijn et al., 2002</w:t>
        </w:r>
      </w:hyperlink>
      <w:r w:rsidR="006F41FE">
        <w:rPr>
          <w:noProof/>
          <w:color w:val="000000"/>
        </w:rPr>
        <w:t>)</w:t>
      </w:r>
      <w:r w:rsidRPr="001A6261">
        <w:rPr>
          <w:color w:val="000000"/>
        </w:rPr>
        <w:fldChar w:fldCharType="end"/>
      </w:r>
      <w:r w:rsidRPr="001A6261">
        <w:rPr>
          <w:color w:val="000000"/>
        </w:rPr>
        <w:t xml:space="preserve">. </w:t>
      </w:r>
      <w:r w:rsidRPr="001A6261">
        <w:rPr>
          <w:color w:val="000000"/>
          <w:lang w:val="en-GB"/>
        </w:rPr>
        <w:t xml:space="preserve">Active myeloma disease is significantly more common among patients with biologic evidence of inflammation, as compared with myeloma patients without biologic inflammation </w:t>
      </w:r>
      <w:r w:rsidRPr="001A6261">
        <w:rPr>
          <w:color w:val="000000"/>
          <w:lang w:val="en-GB"/>
        </w:rPr>
        <w:fldChar w:fldCharType="begin">
          <w:fldData xml:space="preserve">PEVuZE5vdGU+PENpdGU+PEF1dGhvcj5EdWJvc3Q8L0F1dGhvcj48WWVhcj4xOTkxPC9ZZWFyPjxS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</w:fldData>
        </w:fldChar>
      </w:r>
      <w:r w:rsidR="003C0ABB">
        <w:rPr>
          <w:color w:val="000000"/>
          <w:lang w:val="en-GB"/>
        </w:rPr>
        <w:instrText xml:space="preserve"> ADDIN EN.CITE </w:instrText>
      </w:r>
      <w:r w:rsidR="003C0ABB">
        <w:rPr>
          <w:color w:val="000000"/>
          <w:lang w:val="en-GB"/>
        </w:rPr>
        <w:fldChar w:fldCharType="begin">
          <w:fldData xml:space="preserve">PEVuZE5vdGU+PENpdGU+PEF1dGhvcj5EdWJvc3Q8L0F1dGhvcj48WWVhcj4xOTkxPC9ZZWFyPjxS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</w:fldData>
        </w:fldChar>
      </w:r>
      <w:r w:rsidR="003C0ABB">
        <w:rPr>
          <w:color w:val="000000"/>
          <w:lang w:val="en-GB"/>
        </w:rPr>
        <w:instrText xml:space="preserve"> ADDIN EN.CITE.DATA </w:instrText>
      </w:r>
      <w:r w:rsidR="003C0ABB">
        <w:rPr>
          <w:color w:val="000000"/>
          <w:lang w:val="en-GB"/>
        </w:rPr>
      </w:r>
      <w:r w:rsidR="003C0ABB">
        <w:rPr>
          <w:color w:val="000000"/>
          <w:lang w:val="en-GB"/>
        </w:rPr>
        <w:fldChar w:fldCharType="end"/>
      </w:r>
      <w:r w:rsidRPr="001A6261">
        <w:rPr>
          <w:color w:val="000000"/>
          <w:lang w:val="en-GB"/>
        </w:rPr>
      </w:r>
      <w:r w:rsidRPr="001A6261">
        <w:rPr>
          <w:color w:val="000000"/>
          <w:lang w:val="en-GB"/>
        </w:rPr>
        <w:fldChar w:fldCharType="separate"/>
      </w:r>
      <w:r w:rsidR="006F41FE">
        <w:rPr>
          <w:noProof/>
          <w:color w:val="000000"/>
          <w:lang w:val="en-GB"/>
        </w:rPr>
        <w:t>(</w:t>
      </w:r>
      <w:hyperlink w:anchor="_ENREF_109" w:tooltip="Dubost, 1991 #5872" w:history="1">
        <w:r w:rsidR="004A784D">
          <w:rPr>
            <w:noProof/>
            <w:color w:val="000000"/>
            <w:lang w:val="en-GB"/>
          </w:rPr>
          <w:t>Dubost et al., 1991</w:t>
        </w:r>
      </w:hyperlink>
      <w:r w:rsidR="006F41FE">
        <w:rPr>
          <w:noProof/>
          <w:color w:val="000000"/>
          <w:lang w:val="en-GB"/>
        </w:rPr>
        <w:t xml:space="preserve">, </w:t>
      </w:r>
      <w:hyperlink w:anchor="_ENREF_11" w:tooltip="Alexandrakis, 2003 #5868" w:history="1">
        <w:r w:rsidR="004A784D">
          <w:rPr>
            <w:noProof/>
            <w:color w:val="000000"/>
            <w:lang w:val="en-GB"/>
          </w:rPr>
          <w:t>Alexandrakis et al., 2003</w:t>
        </w:r>
      </w:hyperlink>
      <w:r w:rsidR="006F41FE">
        <w:rPr>
          <w:noProof/>
          <w:color w:val="000000"/>
          <w:lang w:val="en-GB"/>
        </w:rPr>
        <w:t xml:space="preserve">, </w:t>
      </w:r>
      <w:hyperlink w:anchor="_ENREF_372" w:tooltip="Schots, 2011 #3293" w:history="1">
        <w:r w:rsidR="004A784D">
          <w:rPr>
            <w:noProof/>
            <w:color w:val="000000"/>
            <w:lang w:val="en-GB"/>
          </w:rPr>
          <w:t>Schots, 2011</w:t>
        </w:r>
      </w:hyperlink>
      <w:r w:rsidR="006F41FE">
        <w:rPr>
          <w:noProof/>
          <w:color w:val="000000"/>
          <w:lang w:val="en-GB"/>
        </w:rPr>
        <w:t>)</w:t>
      </w:r>
      <w:r w:rsidRPr="001A6261">
        <w:rPr>
          <w:color w:val="000000"/>
        </w:rPr>
        <w:fldChar w:fldCharType="end"/>
      </w:r>
      <w:r w:rsidRPr="001A6261">
        <w:rPr>
          <w:color w:val="000000"/>
          <w:lang w:val="en-GB"/>
        </w:rPr>
        <w:t xml:space="preserve">. Several </w:t>
      </w:r>
      <w:r w:rsidRPr="001A6261">
        <w:rPr>
          <w:color w:val="000000"/>
          <w:lang w:val="en-GB"/>
        </w:rPr>
        <w:lastRenderedPageBreak/>
        <w:t xml:space="preserve">of the acute phase proteins including Hp are believed to predict prognosis and influence survival in cancer </w:t>
      </w:r>
      <w:r w:rsidRPr="001A6261">
        <w:rPr>
          <w:color w:val="000000"/>
          <w:lang w:val="en-GB"/>
        </w:rPr>
        <w:fldChar w:fldCharType="begin"/>
      </w:r>
      <w:r w:rsidR="003C0ABB">
        <w:rPr>
          <w:color w:val="000000"/>
          <w:lang w:val="en-GB"/>
        </w:rPr>
        <w:instrText xml:space="preserve"> ADDIN EN.CITE &lt;EndNote&gt;&lt;Cite&gt;&lt;Author&gt;Merlini&lt;/Author&gt;&lt;Year&gt;1993&lt;/Year&gt;&lt;RecNum&gt;5871&lt;/RecNum&gt;&lt;DisplayText&gt;(Merlini et al., 1993)&lt;/DisplayText&gt;&lt;record&gt;&lt;rec-number&gt;5871&lt;/rec-number&gt;&lt;foreign-keys&gt;&lt;key app="EN" db-id="zf0awxsaczrdd3eft5qvw9wrtxxawdfrvw2a"&gt;5871&lt;/key&gt;&lt;/foreign-keys&gt;&lt;ref-type name="Journal Article"&gt;17&lt;/ref-type&gt;&lt;contributors&gt;&lt;authors&gt;&lt;author&gt;Merlini, G.&lt;/author&gt;&lt;author&gt;Perfetti, V.&lt;/author&gt;&lt;author&gt;Gobbi, P. G.&lt;/author&gt;&lt;author&gt;Quaglini, S.&lt;/author&gt;&lt;author&gt;Franciotta, D. M.&lt;/author&gt;&lt;author&gt;Marinone, G.&lt;/author&gt;&lt;author&gt;Ascari, E.&lt;/author&gt;&lt;/authors&gt;&lt;/contributors&gt;&lt;auth-address&gt;Istituto di Clinica Medica II, University of Pavia, Italy.&lt;/auth-address&gt;&lt;titles&gt;&lt;title&gt;Acute phase proteins and prognosis in multiple myeloma&lt;/title&gt;&lt;secondary-title&gt;Br J Haematol&lt;/secondary-title&gt;&lt;/titles&gt;&lt;periodical&gt;&lt;full-title&gt;Br J Haematol&lt;/full-title&gt;&lt;/periodical&gt;&lt;pages&gt;595-601&lt;/pages&gt;&lt;volume&gt;83&lt;/volume&gt;&lt;number&gt;4&lt;/number&gt;&lt;edition&gt;1993/04/01&lt;/edition&gt;&lt;keywords&gt;&lt;keyword&gt;Acute-Phase Proteins/*analysis&lt;/keyword&gt;&lt;keyword&gt;Adult&lt;/keyword&gt;&lt;keyword&gt;Aged&lt;/keyword&gt;&lt;keyword&gt;Aged, 80 and over&lt;/keyword&gt;&lt;keyword&gt;Biological Markers/analysis&lt;/keyword&gt;&lt;keyword&gt;C-Reactive Protein/analysis&lt;/keyword&gt;&lt;keyword&gt;Female&lt;/keyword&gt;&lt;keyword&gt;Humans&lt;/keyword&gt;&lt;keyword&gt;Male&lt;/keyword&gt;&lt;keyword&gt;Middle Aged&lt;/keyword&gt;&lt;keyword&gt;Multiple Myeloma/*blood/mortality&lt;/keyword&gt;&lt;keyword&gt;Prognosis&lt;/keyword&gt;&lt;keyword&gt;alpha 1-Antitrypsin/analysis&lt;/keyword&gt;&lt;keyword&gt;beta 2-Microglobulin/analysis&lt;/keyword&gt;&lt;/keywords&gt;&lt;dates&gt;&lt;year&gt;1993&lt;/year&gt;&lt;pub-dates&gt;&lt;date&gt;Apr&lt;/date&gt;&lt;/pub-dates&gt;&lt;/dates&gt;&lt;isbn&gt;0007-1048 (Print)&amp;#xD;0007-1048 (Linking)&lt;/isbn&gt;&lt;accession-num&gt;7686034&lt;/accession-num&gt;&lt;urls&gt;&lt;related-urls&gt;&lt;url&gt;http://www.ncbi.nlm.nih.gov/pubmed/7686034&lt;/url&gt;&lt;/related-urls&gt;&lt;/urls&gt;&lt;language&gt;eng&lt;/language&gt;&lt;/record&gt;&lt;/Cite&gt;&lt;/EndNote&gt;</w:instrText>
      </w:r>
      <w:r w:rsidRPr="001A6261">
        <w:rPr>
          <w:color w:val="000000"/>
          <w:lang w:val="en-GB"/>
        </w:rPr>
        <w:fldChar w:fldCharType="separate"/>
      </w:r>
      <w:r w:rsidR="006F41FE">
        <w:rPr>
          <w:noProof/>
          <w:color w:val="000000"/>
          <w:lang w:val="en-GB"/>
        </w:rPr>
        <w:t>(</w:t>
      </w:r>
      <w:hyperlink w:anchor="_ENREF_273" w:tooltip="Merlini, 1993 #5871" w:history="1">
        <w:r w:rsidR="004A784D">
          <w:rPr>
            <w:noProof/>
            <w:color w:val="000000"/>
            <w:lang w:val="en-GB"/>
          </w:rPr>
          <w:t>Merlini et al., 1993</w:t>
        </w:r>
      </w:hyperlink>
      <w:r w:rsidR="006F41FE">
        <w:rPr>
          <w:noProof/>
          <w:color w:val="000000"/>
          <w:lang w:val="en-GB"/>
        </w:rPr>
        <w:t>)</w:t>
      </w:r>
      <w:r w:rsidRPr="001A6261">
        <w:rPr>
          <w:color w:val="000000"/>
        </w:rPr>
        <w:fldChar w:fldCharType="end"/>
      </w:r>
      <w:r w:rsidRPr="001A6261">
        <w:rPr>
          <w:color w:val="000000"/>
          <w:lang w:val="en-GB"/>
        </w:rPr>
        <w:t>.</w:t>
      </w:r>
      <w:r>
        <w:rPr>
          <w:color w:val="000000"/>
          <w:lang w:val="en-GB"/>
        </w:rPr>
        <w:t xml:space="preserve"> </w:t>
      </w:r>
      <w:r w:rsidRPr="00902775">
        <w:rPr>
          <w:szCs w:val="18"/>
        </w:rPr>
        <w:t xml:space="preserve">We suggest that the inflammatory cells and cytokines found in </w:t>
      </w:r>
      <w:r>
        <w:rPr>
          <w:szCs w:val="18"/>
        </w:rPr>
        <w:t>myeloma</w:t>
      </w:r>
      <w:r w:rsidRPr="00902775">
        <w:rPr>
          <w:szCs w:val="18"/>
        </w:rPr>
        <w:t xml:space="preserve"> are more likely to contribute to tumour growth, progression, and immuno</w:t>
      </w:r>
      <w:r>
        <w:rPr>
          <w:szCs w:val="18"/>
        </w:rPr>
        <w:t xml:space="preserve"> activation is an</w:t>
      </w:r>
      <w:r w:rsidRPr="00902775">
        <w:rPr>
          <w:szCs w:val="18"/>
        </w:rPr>
        <w:t xml:space="preserve"> effective host anti</w:t>
      </w:r>
      <w:r>
        <w:rPr>
          <w:szCs w:val="18"/>
        </w:rPr>
        <w:t>-</w:t>
      </w:r>
      <w:r w:rsidRPr="00902775">
        <w:rPr>
          <w:szCs w:val="18"/>
        </w:rPr>
        <w:t>tumour response</w:t>
      </w:r>
      <w:r w:rsidR="003C0ABB">
        <w:rPr>
          <w:szCs w:val="18"/>
        </w:rPr>
        <w:t xml:space="preserve"> </w:t>
      </w:r>
      <w:r w:rsidR="003C0ABB">
        <w:rPr>
          <w:szCs w:val="18"/>
        </w:rPr>
        <w:fldChar w:fldCharType="begin">
          <w:fldData xml:space="preserve">PEVuZE5vdGU+PENpdGU+PEF1dGhvcj5BbGV4YW5kcmFraXM8L0F1dGhvcj48WWVhcj4yMDAzPC9Z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</w:fldData>
        </w:fldChar>
      </w:r>
      <w:r w:rsidR="003C0ABB">
        <w:rPr>
          <w:szCs w:val="18"/>
        </w:rPr>
        <w:instrText xml:space="preserve"> ADDIN EN.CITE </w:instrText>
      </w:r>
      <w:r w:rsidR="003C0ABB">
        <w:rPr>
          <w:szCs w:val="18"/>
        </w:rPr>
        <w:fldChar w:fldCharType="begin">
          <w:fldData xml:space="preserve">PEVuZE5vdGU+PENpdGU+PEF1dGhvcj5BbGV4YW5kcmFraXM8L0F1dGhvcj48WWVhcj4yMDAzPC9Z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</w:fldData>
        </w:fldChar>
      </w:r>
      <w:r w:rsidR="003C0ABB">
        <w:rPr>
          <w:szCs w:val="18"/>
        </w:rPr>
        <w:instrText xml:space="preserve"> ADDIN EN.CITE.DATA </w:instrText>
      </w:r>
      <w:r w:rsidR="003C0ABB">
        <w:rPr>
          <w:szCs w:val="18"/>
        </w:rPr>
      </w:r>
      <w:r w:rsidR="003C0ABB">
        <w:rPr>
          <w:szCs w:val="18"/>
        </w:rPr>
        <w:fldChar w:fldCharType="end"/>
      </w:r>
      <w:r w:rsidR="003C0ABB">
        <w:rPr>
          <w:szCs w:val="18"/>
        </w:rPr>
      </w:r>
      <w:r w:rsidR="003C0ABB">
        <w:rPr>
          <w:szCs w:val="18"/>
        </w:rPr>
        <w:fldChar w:fldCharType="separate"/>
      </w:r>
      <w:r w:rsidR="003C0ABB">
        <w:rPr>
          <w:noProof/>
          <w:szCs w:val="18"/>
        </w:rPr>
        <w:t>(</w:t>
      </w:r>
      <w:hyperlink w:anchor="_ENREF_11" w:tooltip="Alexandrakis, 2003 #5868" w:history="1">
        <w:r w:rsidR="004A784D">
          <w:rPr>
            <w:noProof/>
            <w:szCs w:val="18"/>
          </w:rPr>
          <w:t>Alexandrakis et al., 2003</w:t>
        </w:r>
      </w:hyperlink>
      <w:r w:rsidR="003C0ABB">
        <w:rPr>
          <w:noProof/>
          <w:szCs w:val="18"/>
        </w:rPr>
        <w:t>)</w:t>
      </w:r>
      <w:r w:rsidR="003C0ABB">
        <w:rPr>
          <w:szCs w:val="18"/>
        </w:rPr>
        <w:fldChar w:fldCharType="end"/>
      </w:r>
      <w:r>
        <w:rPr>
          <w:szCs w:val="18"/>
        </w:rPr>
        <w:t xml:space="preserve">. </w:t>
      </w:r>
    </w:p>
    <w:p w:rsidR="000A4841" w:rsidRDefault="000A4841" w:rsidP="00057B42">
      <w:pPr>
        <w:spacing w:line="360" w:lineRule="auto"/>
        <w:rPr>
          <w:rFonts w:cs="Arial"/>
          <w:b/>
          <w:bCs/>
          <w:iCs/>
          <w:sz w:val="26"/>
          <w:szCs w:val="26"/>
          <w:lang w:eastAsia="en-US"/>
        </w:rPr>
      </w:pPr>
      <w:bookmarkStart w:id="1987" w:name="_Toc305690104"/>
      <w:bookmarkStart w:id="1988" w:name="_Toc306570796"/>
      <w:bookmarkStart w:id="1989" w:name="_Toc307067857"/>
      <w:r>
        <w:br w:type="page"/>
      </w:r>
    </w:p>
    <w:p w:rsidR="00B61503" w:rsidRPr="001A6261" w:rsidRDefault="00B61503" w:rsidP="00645687">
      <w:pPr>
        <w:pStyle w:val="Heading2"/>
        <w:numPr>
          <w:ilvl w:val="3"/>
          <w:numId w:val="19"/>
        </w:numPr>
      </w:pPr>
      <w:bookmarkStart w:id="1990" w:name="_Toc312169423"/>
      <w:bookmarkStart w:id="1991" w:name="_Toc312172350"/>
      <w:bookmarkStart w:id="1992" w:name="_Toc312257899"/>
      <w:r w:rsidRPr="001A6261">
        <w:lastRenderedPageBreak/>
        <w:t>Thalidomide anti-angiogenic effects</w:t>
      </w:r>
      <w:bookmarkEnd w:id="1987"/>
      <w:bookmarkEnd w:id="1988"/>
      <w:bookmarkEnd w:id="1989"/>
      <w:bookmarkEnd w:id="1990"/>
      <w:bookmarkEnd w:id="1991"/>
      <w:bookmarkEnd w:id="1992"/>
      <w:r w:rsidRPr="001A6261">
        <w:t xml:space="preserve"> </w:t>
      </w:r>
    </w:p>
    <w:p w:rsidR="00B61503" w:rsidRPr="001A6261" w:rsidRDefault="00B61503" w:rsidP="00057B42">
      <w:pPr>
        <w:spacing w:before="100" w:beforeAutospacing="1" w:after="100" w:afterAutospacing="1" w:line="360" w:lineRule="auto"/>
        <w:jc w:val="both"/>
      </w:pPr>
      <w:r w:rsidRPr="001A6261">
        <w:t xml:space="preserve">The next important discovery that revealed the clinical potential of thalidomide came in 1994, when thalidomide was found to inhibit angiogenesis </w:t>
      </w:r>
      <w:r>
        <w:t>(</w:t>
      </w:r>
      <w:r w:rsidRPr="001A6261">
        <w:t>the</w:t>
      </w:r>
      <w:r>
        <w:t xml:space="preserve"> formation of new blood vessels)</w:t>
      </w:r>
      <w:r w:rsidRPr="001A6261">
        <w:t xml:space="preserve"> which is an essential process in the growth and metastasis of cancer cells</w:t>
      </w:r>
      <w:r w:rsidR="00AE202D">
        <w:t xml:space="preserve"> </w:t>
      </w:r>
      <w:r w:rsidR="00AE202D">
        <w:fldChar w:fldCharType="begin">
          <w:fldData xml:space="preserve">PEVuZE5vdGU+PENpdGU+PEF1dGhvcj5TaW5naGFsPC9BdXRob3I+PFllYXI+MjAwMjwvWWVhcj48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</w:fldData>
        </w:fldChar>
      </w:r>
      <w:r w:rsidR="00AE202D">
        <w:instrText xml:space="preserve"> ADDIN EN.CITE </w:instrText>
      </w:r>
      <w:r w:rsidR="00AE202D">
        <w:fldChar w:fldCharType="begin">
          <w:fldData xml:space="preserve">PEVuZE5vdGU+PENpdGU+PEF1dGhvcj5TaW5naGFsPC9BdXRob3I+PFllYXI+MjAwMjwvWWVhcj48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</w:fldData>
        </w:fldChar>
      </w:r>
      <w:r w:rsidR="00AE202D">
        <w:instrText xml:space="preserve"> ADDIN EN.CITE.DATA </w:instrText>
      </w:r>
      <w:r w:rsidR="00AE202D">
        <w:fldChar w:fldCharType="end"/>
      </w:r>
      <w:r w:rsidR="00AE202D">
        <w:fldChar w:fldCharType="separate"/>
      </w:r>
      <w:r w:rsidR="00AE202D">
        <w:rPr>
          <w:noProof/>
        </w:rPr>
        <w:t>(</w:t>
      </w:r>
      <w:hyperlink w:anchor="_ENREF_387" w:tooltip="Singhal, 2002 #4934" w:history="1">
        <w:r w:rsidR="004A784D">
          <w:rPr>
            <w:noProof/>
          </w:rPr>
          <w:t>Singhal and Mehta, 2002</w:t>
        </w:r>
      </w:hyperlink>
      <w:r w:rsidR="00AE202D">
        <w:rPr>
          <w:noProof/>
        </w:rPr>
        <w:t xml:space="preserve">, </w:t>
      </w:r>
      <w:hyperlink w:anchor="_ENREF_388" w:tooltip="Singhal, 1999 #4933" w:history="1">
        <w:r w:rsidR="004A784D">
          <w:rPr>
            <w:noProof/>
          </w:rPr>
          <w:t>Singhal et al., 1999</w:t>
        </w:r>
      </w:hyperlink>
      <w:r w:rsidR="00AE202D">
        <w:rPr>
          <w:noProof/>
        </w:rPr>
        <w:t>)</w:t>
      </w:r>
      <w:r w:rsidR="00AE202D">
        <w:fldChar w:fldCharType="end"/>
      </w:r>
      <w:r w:rsidRPr="001A6261">
        <w:t>. Thalidomide inhibits basic fibroblast growth factor (bFGF) and vascular en</w:t>
      </w:r>
      <w:r w:rsidR="001A0382">
        <w:t>dothelial growth factor required</w:t>
      </w:r>
      <w:r w:rsidRPr="001A6261">
        <w:t xml:space="preserve"> for these neovascularisation. The anti-angiogenic properties of thalidomide in MM are probably independent of its immunomodulatory activity. However, it is unclear whether thalidomide or one of its metabolites has the specific anti-angiogenic properties.</w:t>
      </w:r>
      <w:r w:rsidRPr="006F4D2B">
        <w:rPr>
          <w:bCs/>
          <w:i/>
          <w:color w:val="000000"/>
        </w:rPr>
        <w:t xml:space="preserve"> </w:t>
      </w:r>
      <w:r>
        <w:rPr>
          <w:bCs/>
          <w:i/>
          <w:color w:val="000000"/>
        </w:rPr>
        <w:t>I</w:t>
      </w:r>
      <w:r w:rsidRPr="006F4D2B">
        <w:rPr>
          <w:bCs/>
          <w:i/>
          <w:color w:val="000000"/>
        </w:rPr>
        <w:t>n vitro</w:t>
      </w:r>
      <w:r w:rsidRPr="001A6261">
        <w:t xml:space="preserve"> thalidomide also decreases the up regulation and secretion of pro angiogenic factors induced by MM cells and bone marrow stromal interaction, such as VEGF and IL-6 </w:t>
      </w:r>
      <w:r w:rsidRPr="001A6261">
        <w:fldChar w:fldCharType="begin">
          <w:fldData xml:space="preserve">PEVuZE5vdGU+PENpdGU+PEF1dGhvcj5MaXU8L0F1dGhvcj48WWVhcj4yMDA0PC9ZZWFyPjxSZWNO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</w:fldData>
        </w:fldChar>
      </w:r>
      <w:r w:rsidR="006F41FE">
        <w:instrText xml:space="preserve"> ADDIN EN.CITE </w:instrText>
      </w:r>
      <w:r w:rsidR="006F41FE">
        <w:fldChar w:fldCharType="begin">
          <w:fldData xml:space="preserve">PEVuZE5vdGU+PENpdGU+PEF1dGhvcj5MaXU8L0F1dGhvcj48WWVhcj4yMDA0PC9ZZWFyPjxSZWNO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</w:fldData>
        </w:fldChar>
      </w:r>
      <w:r w:rsidR="006F41FE">
        <w:instrText xml:space="preserve"> ADDIN EN.CITE.DATA </w:instrText>
      </w:r>
      <w:r w:rsidR="006F41FE">
        <w:fldChar w:fldCharType="end"/>
      </w:r>
      <w:r w:rsidRPr="001A6261">
        <w:fldChar w:fldCharType="separate"/>
      </w:r>
      <w:r w:rsidR="006F41FE">
        <w:rPr>
          <w:noProof/>
        </w:rPr>
        <w:t>(</w:t>
      </w:r>
      <w:hyperlink w:anchor="_ENREF_250" w:tooltip="Liu, 2004 #3980" w:history="1">
        <w:r w:rsidR="004A784D">
          <w:rPr>
            <w:noProof/>
          </w:rPr>
          <w:t>Liu et al., 2004</w:t>
        </w:r>
      </w:hyperlink>
      <w:r w:rsidR="006F41FE">
        <w:rPr>
          <w:noProof/>
        </w:rPr>
        <w:t xml:space="preserve">, </w:t>
      </w:r>
      <w:hyperlink w:anchor="_ENREF_274" w:tooltip="Mesters, 2001 #3827" w:history="1">
        <w:r w:rsidR="004A784D">
          <w:rPr>
            <w:noProof/>
          </w:rPr>
          <w:t>Mesters et al., 2001</w:t>
        </w:r>
      </w:hyperlink>
      <w:r w:rsidR="006F41FE">
        <w:rPr>
          <w:noProof/>
        </w:rPr>
        <w:t>)</w:t>
      </w:r>
      <w:r w:rsidRPr="001A6261">
        <w:fldChar w:fldCharType="end"/>
      </w:r>
      <w:r w:rsidRPr="001A6261">
        <w:t xml:space="preserve">.  </w:t>
      </w:r>
    </w:p>
    <w:p w:rsidR="00B61503" w:rsidRPr="001A6261" w:rsidRDefault="00E0681D" w:rsidP="00057B42">
      <w:pPr>
        <w:spacing w:before="100" w:beforeAutospacing="1" w:after="100" w:afterAutospacing="1" w:line="360" w:lineRule="auto"/>
        <w:jc w:val="both"/>
      </w:pPr>
      <w:r>
        <w:t>A study by</w:t>
      </w:r>
      <w:r w:rsidR="00B61503">
        <w:t xml:space="preserve"> Vacca et al. suggested</w:t>
      </w:r>
      <w:r w:rsidR="00B61503" w:rsidRPr="001A6261">
        <w:t xml:space="preserve"> that the anti-angiogenic activity of thalidomide might be mediated through its inhibition of TNF-</w:t>
      </w:r>
      <w:r w:rsidR="00734A45">
        <w:t>alpha</w:t>
      </w:r>
      <w:r w:rsidR="00B61503" w:rsidRPr="001A6261">
        <w:t>, but this is unlikely, because more potent inhibitors of TNF-</w:t>
      </w:r>
      <w:r w:rsidR="00734A45">
        <w:t>alpha</w:t>
      </w:r>
      <w:r w:rsidR="00B61503" w:rsidRPr="001A6261">
        <w:t xml:space="preserve">, such as 3-amino thalidomide, do not inhibit vessel formation. Therefore, inhibition of </w:t>
      </w:r>
      <w:r w:rsidRPr="001A6261">
        <w:t>TNF-</w:t>
      </w:r>
      <w:r w:rsidR="00734A45">
        <w:t>alpha</w:t>
      </w:r>
      <w:r w:rsidRPr="001A6261">
        <w:t xml:space="preserve"> </w:t>
      </w:r>
      <w:r w:rsidR="00B61503" w:rsidRPr="001A6261">
        <w:t xml:space="preserve">and anti-angiogenic activity seems to be independent effects of thalidomide </w:t>
      </w:r>
      <w:r w:rsidR="00B61503" w:rsidRPr="001A6261">
        <w:fldChar w:fldCharType="begin">
          <w:fldData xml:space="preserve">PEVuZE5vdGU+PENpdGU+PEF1dGhvcj5WYWNjYTwvQXV0aG9yPjxZZWFyPjIwMDU8L1llYXI+PFJl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=
</w:fldData>
        </w:fldChar>
      </w:r>
      <w:r w:rsidR="006F41FE">
        <w:instrText xml:space="preserve"> ADDIN EN.CITE </w:instrText>
      </w:r>
      <w:r w:rsidR="006F41FE">
        <w:fldChar w:fldCharType="begin">
          <w:fldData xml:space="preserve">PEVuZE5vdGU+PENpdGU+PEF1dGhvcj5WYWNjYTwvQXV0aG9yPjxZZWFyPjIwMDU8L1llYXI+PFJl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=
</w:fldData>
        </w:fldChar>
      </w:r>
      <w:r w:rsidR="006F41FE">
        <w:instrText xml:space="preserve"> ADDIN EN.CITE.DATA </w:instrText>
      </w:r>
      <w:r w:rsidR="006F41FE">
        <w:fldChar w:fldCharType="end"/>
      </w:r>
      <w:r w:rsidR="00B61503" w:rsidRPr="001A6261">
        <w:fldChar w:fldCharType="separate"/>
      </w:r>
      <w:r w:rsidR="006F41FE">
        <w:rPr>
          <w:noProof/>
        </w:rPr>
        <w:t>(</w:t>
      </w:r>
      <w:hyperlink w:anchor="_ENREF_425" w:tooltip="Vacca, 2005 #3660" w:history="1">
        <w:r w:rsidR="004A784D">
          <w:rPr>
            <w:noProof/>
          </w:rPr>
          <w:t>Vacca et al., 2005</w:t>
        </w:r>
      </w:hyperlink>
      <w:r w:rsidR="006F41FE">
        <w:rPr>
          <w:noProof/>
        </w:rPr>
        <w:t>)</w:t>
      </w:r>
      <w:r w:rsidR="00B61503" w:rsidRPr="001A6261">
        <w:fldChar w:fldCharType="end"/>
      </w:r>
      <w:r w:rsidR="00B61503" w:rsidRPr="001A6261">
        <w:t>.</w:t>
      </w:r>
      <w:r>
        <w:t xml:space="preserve"> </w:t>
      </w:r>
    </w:p>
    <w:p w:rsidR="00B61503" w:rsidRDefault="00B61503" w:rsidP="00057B42">
      <w:pPr>
        <w:spacing w:line="360" w:lineRule="auto"/>
        <w:jc w:val="both"/>
        <w:rPr>
          <w:color w:val="000000"/>
        </w:rPr>
      </w:pPr>
      <w:r w:rsidRPr="001A6261">
        <w:rPr>
          <w:color w:val="000000"/>
        </w:rPr>
        <w:t xml:space="preserve">Several other studies indicate that the anti-myeloma effect of thalidomide is not achieved through its anti-angiogenic activity. The rapidity of response to thalidomide in myeloma patients and the fact that myeloma cells usually grow in highly vascularized bone marrow are additional arguments against an anti-angiogenic effect as the central mode of action of thalidomide in myeloma. Nevertheless, how the anti-angiogenesis property of thalidomide can influence MM cells is still not fully understood </w:t>
      </w:r>
      <w:r w:rsidRPr="001A6261">
        <w:rPr>
          <w:color w:val="000000"/>
        </w:rPr>
        <w:fldChar w:fldCharType="begin">
          <w:fldData xml:space="preserve">PEVuZE5vdGU+PENpdGU+PEF1dGhvcj5MdTwvQXV0aG9yPjxZZWFyPjIwMDk8L1llYXI+PFJlY051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=
</w:fldData>
        </w:fldChar>
      </w:r>
      <w:r w:rsidR="00857D49">
        <w:rPr>
          <w:color w:val="000000"/>
        </w:rPr>
        <w:instrText xml:space="preserve"> ADDIN EN.CITE </w:instrText>
      </w:r>
      <w:r w:rsidR="00857D49">
        <w:rPr>
          <w:color w:val="000000"/>
        </w:rPr>
        <w:fldChar w:fldCharType="begin">
          <w:fldData xml:space="preserve">PEVuZE5vdGU+PENpdGU+PEF1dGhvcj5MdTwvQXV0aG9yPjxZZWFyPjIwMDk8L1llYXI+PFJlY051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=
</w:fldData>
        </w:fldChar>
      </w:r>
      <w:r w:rsidR="00857D49">
        <w:rPr>
          <w:color w:val="000000"/>
        </w:rPr>
        <w:instrText xml:space="preserve"> ADDIN EN.CITE.DATA </w:instrText>
      </w:r>
      <w:r w:rsidR="00857D49">
        <w:rPr>
          <w:color w:val="000000"/>
        </w:rPr>
      </w:r>
      <w:r w:rsidR="00857D49">
        <w:rPr>
          <w:color w:val="000000"/>
        </w:rPr>
        <w:fldChar w:fldCharType="end"/>
      </w:r>
      <w:r w:rsidRPr="001A6261">
        <w:rPr>
          <w:color w:val="000000"/>
        </w:rPr>
      </w:r>
      <w:r w:rsidRPr="001A6261">
        <w:rPr>
          <w:color w:val="000000"/>
        </w:rPr>
        <w:fldChar w:fldCharType="separate"/>
      </w:r>
      <w:r w:rsidR="006F41FE">
        <w:rPr>
          <w:noProof/>
          <w:color w:val="000000"/>
        </w:rPr>
        <w:t>(</w:t>
      </w:r>
      <w:hyperlink w:anchor="_ENREF_252" w:tooltip="Lu, 2009 #6786" w:history="1">
        <w:r w:rsidR="004A784D">
          <w:rPr>
            <w:noProof/>
            <w:color w:val="000000"/>
          </w:rPr>
          <w:t>Lu et al., 2009</w:t>
        </w:r>
      </w:hyperlink>
      <w:r w:rsidR="006F41FE">
        <w:rPr>
          <w:noProof/>
          <w:color w:val="000000"/>
        </w:rPr>
        <w:t xml:space="preserve">, </w:t>
      </w:r>
      <w:hyperlink w:anchor="_ENREF_437" w:tooltip="Vidal, 2005 #3668" w:history="1">
        <w:r w:rsidR="004A784D">
          <w:rPr>
            <w:noProof/>
            <w:color w:val="000000"/>
          </w:rPr>
          <w:t>Vidal et al., 2005</w:t>
        </w:r>
      </w:hyperlink>
      <w:r w:rsidR="006F41FE">
        <w:rPr>
          <w:noProof/>
          <w:color w:val="000000"/>
        </w:rPr>
        <w:t>)</w:t>
      </w:r>
      <w:r w:rsidRPr="001A6261">
        <w:rPr>
          <w:color w:val="000000"/>
        </w:rPr>
        <w:fldChar w:fldCharType="end"/>
      </w:r>
      <w:r w:rsidRPr="001A6261">
        <w:rPr>
          <w:color w:val="000000"/>
        </w:rPr>
        <w:t xml:space="preserve">. </w:t>
      </w:r>
    </w:p>
    <w:p w:rsidR="008E15EA" w:rsidRPr="001A6261" w:rsidRDefault="008E15EA"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The VDB acts as a potent anti-angiogenic factor and inhibits tumor growth </w:t>
      </w:r>
      <w:r w:rsidRPr="00A4742B">
        <w:rPr>
          <w:i/>
          <w:color w:val="000000"/>
        </w:rPr>
        <w:t>in vivo</w:t>
      </w:r>
      <w:r w:rsidRPr="001A6261">
        <w:rPr>
          <w:color w:val="000000"/>
        </w:rPr>
        <w:t xml:space="preserve">. VDB can act directly on endothelium as well as stimulate macrophages to attack both the endothelial and tumor cell compartment of a growing malignancy </w:t>
      </w:r>
      <w:r w:rsidRPr="001A6261">
        <w:rPr>
          <w:color w:val="000000"/>
        </w:rPr>
        <w:fldChar w:fldCharType="begin">
          <w:fldData xml:space="preserve">PEVuZE5vdGU+PENpdGU+PEF1dGhvcj5LYWxrdW50ZTwvQXV0aG9yPjxZZWFyPjIwMDU8L1llYXI+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==
</w:fldData>
        </w:fldChar>
      </w:r>
      <w:r w:rsidR="006F41FE">
        <w:rPr>
          <w:color w:val="000000"/>
        </w:rPr>
        <w:instrText xml:space="preserve"> ADDIN EN.CITE </w:instrText>
      </w:r>
      <w:r w:rsidR="006F41FE">
        <w:rPr>
          <w:color w:val="000000"/>
        </w:rPr>
        <w:fldChar w:fldCharType="begin">
          <w:fldData xml:space="preserve">PEVuZE5vdGU+PENpdGU+PEF1dGhvcj5LYWxrdW50ZTwvQXV0aG9yPjxZZWFyPjIwMDU8L1llYXI+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==
</w:fldData>
        </w:fldChar>
      </w:r>
      <w:r w:rsidR="006F41FE">
        <w:rPr>
          <w:color w:val="000000"/>
        </w:rPr>
        <w:instrText xml:space="preserve"> ADDIN EN.CITE.DATA </w:instrText>
      </w:r>
      <w:r w:rsidR="006F41FE">
        <w:rPr>
          <w:color w:val="000000"/>
        </w:rPr>
      </w:r>
      <w:r w:rsidR="006F41FE">
        <w:rPr>
          <w:color w:val="000000"/>
        </w:rPr>
        <w:fldChar w:fldCharType="end"/>
      </w:r>
      <w:r w:rsidRPr="001A6261">
        <w:rPr>
          <w:color w:val="000000"/>
        </w:rPr>
      </w:r>
      <w:r w:rsidRPr="001A6261">
        <w:rPr>
          <w:color w:val="000000"/>
        </w:rPr>
        <w:fldChar w:fldCharType="separate"/>
      </w:r>
      <w:r w:rsidR="006F41FE">
        <w:rPr>
          <w:noProof/>
          <w:color w:val="000000"/>
        </w:rPr>
        <w:t>(</w:t>
      </w:r>
      <w:hyperlink w:anchor="_ENREF_197" w:tooltip="Kalkunte, 2005 #1872" w:history="1">
        <w:r w:rsidR="004A784D">
          <w:rPr>
            <w:noProof/>
            <w:color w:val="000000"/>
          </w:rPr>
          <w:t>Kalkunte et al., 2005</w:t>
        </w:r>
      </w:hyperlink>
      <w:r w:rsidR="006F41FE">
        <w:rPr>
          <w:noProof/>
          <w:color w:val="000000"/>
        </w:rPr>
        <w:t xml:space="preserve">, </w:t>
      </w:r>
      <w:hyperlink w:anchor="_ENREF_212" w:tooltip="Kisker, 2003 #1892" w:history="1">
        <w:r w:rsidR="004A784D">
          <w:rPr>
            <w:noProof/>
            <w:color w:val="000000"/>
          </w:rPr>
          <w:t>Kisker et al., 2003</w:t>
        </w:r>
      </w:hyperlink>
      <w:r w:rsidR="006F41FE">
        <w:rPr>
          <w:noProof/>
          <w:color w:val="000000"/>
        </w:rPr>
        <w:t>)</w:t>
      </w:r>
      <w:r w:rsidRPr="001A6261">
        <w:rPr>
          <w:color w:val="000000"/>
        </w:rPr>
        <w:fldChar w:fldCharType="end"/>
      </w:r>
      <w:r w:rsidRPr="001A6261">
        <w:rPr>
          <w:color w:val="000000"/>
        </w:rPr>
        <w:t>. Despite anti angiogenic propertie</w:t>
      </w:r>
      <w:r w:rsidR="001A0382">
        <w:rPr>
          <w:color w:val="000000"/>
        </w:rPr>
        <w:t>s of VDB, in our study a</w:t>
      </w:r>
      <w:r w:rsidRPr="001A6261">
        <w:rPr>
          <w:color w:val="000000"/>
        </w:rPr>
        <w:t xml:space="preserve"> higher level was associated with resistance to thalidomide based regimen. This might be related to the potential immuno</w:t>
      </w:r>
      <w:r>
        <w:rPr>
          <w:color w:val="000000"/>
        </w:rPr>
        <w:t>modulatory properties of VDB, which can</w:t>
      </w:r>
      <w:r w:rsidRPr="001A6261">
        <w:rPr>
          <w:color w:val="000000"/>
        </w:rPr>
        <w:t xml:space="preserve"> alter </w:t>
      </w:r>
      <w:r w:rsidR="00AE202D">
        <w:rPr>
          <w:color w:val="000000"/>
        </w:rPr>
        <w:t>patient</w:t>
      </w:r>
      <w:r>
        <w:rPr>
          <w:color w:val="000000"/>
        </w:rPr>
        <w:t xml:space="preserve"> </w:t>
      </w:r>
      <w:r w:rsidRPr="001A6261">
        <w:rPr>
          <w:color w:val="000000"/>
        </w:rPr>
        <w:t xml:space="preserve">immune response to myeloma cancer cells.  </w:t>
      </w:r>
    </w:p>
    <w:p w:rsidR="00B61503" w:rsidRDefault="000A4841" w:rsidP="00645687">
      <w:pPr>
        <w:pStyle w:val="Heading2"/>
        <w:numPr>
          <w:ilvl w:val="3"/>
          <w:numId w:val="19"/>
        </w:numPr>
      </w:pPr>
      <w:bookmarkStart w:id="1993" w:name="_Toc305690105"/>
      <w:bookmarkStart w:id="1994" w:name="_Toc306570797"/>
      <w:bookmarkStart w:id="1995" w:name="_Toc307067858"/>
      <w:r>
        <w:lastRenderedPageBreak/>
        <w:t xml:space="preserve"> </w:t>
      </w:r>
      <w:bookmarkStart w:id="1996" w:name="_Toc312169424"/>
      <w:bookmarkStart w:id="1997" w:name="_Toc312172351"/>
      <w:bookmarkStart w:id="1998" w:name="_Toc312257900"/>
      <w:r w:rsidR="00B61503" w:rsidRPr="001A6261">
        <w:t xml:space="preserve">Effect on bone marrow </w:t>
      </w:r>
      <w:r>
        <w:t>micro</w:t>
      </w:r>
      <w:r w:rsidR="00B61503" w:rsidRPr="001A6261">
        <w:t>environment,</w:t>
      </w:r>
      <w:r>
        <w:t xml:space="preserve"> </w:t>
      </w:r>
      <w:r w:rsidR="00B61503" w:rsidRPr="001A6261">
        <w:t>stromal cells and inhibition</w:t>
      </w:r>
      <w:r>
        <w:t xml:space="preserve"> </w:t>
      </w:r>
      <w:r w:rsidR="00B61503" w:rsidRPr="001A6261">
        <w:t>of cell adhesion</w:t>
      </w:r>
      <w:bookmarkEnd w:id="1993"/>
      <w:bookmarkEnd w:id="1994"/>
      <w:bookmarkEnd w:id="1995"/>
      <w:bookmarkEnd w:id="1996"/>
      <w:bookmarkEnd w:id="1997"/>
      <w:bookmarkEnd w:id="1998"/>
    </w:p>
    <w:p w:rsidR="00B61503" w:rsidRDefault="00B61503" w:rsidP="00000025">
      <w:pPr>
        <w:spacing w:before="240" w:line="360" w:lineRule="auto"/>
        <w:jc w:val="both"/>
      </w:pPr>
      <w:r w:rsidRPr="001A6261">
        <w:t xml:space="preserve">Thalidomide can interfere in </w:t>
      </w:r>
      <w:r>
        <w:t>MM</w:t>
      </w:r>
      <w:r w:rsidRPr="001A6261">
        <w:t xml:space="preserve"> bone marrow microenvironments. The growth and survival of myeloma cells are enhanced by cytokines secreted in response to myeloma cell adhesion to bone marrow stroma. Thalidomide has been shown to selectively modify the density of cell surface molecules involved in the adhesion cascade by decreasing the density of </w:t>
      </w:r>
      <w:r w:rsidR="00E0681D" w:rsidRPr="001A6261">
        <w:t>TNF-</w:t>
      </w:r>
      <w:r w:rsidR="00734A45">
        <w:t>alpha</w:t>
      </w:r>
      <w:r w:rsidR="00E0681D" w:rsidRPr="001A6261">
        <w:t xml:space="preserve"> </w:t>
      </w:r>
      <w:r w:rsidRPr="001A6261">
        <w:t>induced intercellular adhesion on the endothelial cells</w:t>
      </w:r>
      <w:r w:rsidR="00493517">
        <w:t xml:space="preserve"> </w:t>
      </w:r>
      <w:r w:rsidR="00493517">
        <w:fldChar w:fldCharType="begin">
          <w:fldData xml:space="preserve">PEVuZE5vdGU+PENpdGU+PEF1dGhvcj5Cb3ljb3R0PC9BdXRob3I+PFllYXI+MjAwODwvWWVhcj48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</w:fldData>
        </w:fldChar>
      </w:r>
      <w:r w:rsidR="00493517">
        <w:instrText xml:space="preserve"> ADDIN EN.CITE </w:instrText>
      </w:r>
      <w:r w:rsidR="00493517">
        <w:fldChar w:fldCharType="begin">
          <w:fldData xml:space="preserve">PEVuZE5vdGU+PENpdGU+PEF1dGhvcj5Cb3ljb3R0PC9BdXRob3I+PFllYXI+MjAwODwvWWVhcj48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</w:fldData>
        </w:fldChar>
      </w:r>
      <w:r w:rsidR="00493517">
        <w:instrText xml:space="preserve"> ADDIN EN.CITE.DATA </w:instrText>
      </w:r>
      <w:r w:rsidR="00493517">
        <w:fldChar w:fldCharType="end"/>
      </w:r>
      <w:r w:rsidR="00493517">
        <w:fldChar w:fldCharType="separate"/>
      </w:r>
      <w:r w:rsidR="00493517">
        <w:rPr>
          <w:noProof/>
        </w:rPr>
        <w:t>(</w:t>
      </w:r>
      <w:hyperlink w:anchor="_ENREF_52" w:tooltip="Boycott, 2008 #6472" w:history="1">
        <w:r w:rsidR="004A784D">
          <w:rPr>
            <w:noProof/>
          </w:rPr>
          <w:t>Boycott et al., 2008</w:t>
        </w:r>
      </w:hyperlink>
      <w:r w:rsidR="00493517">
        <w:rPr>
          <w:noProof/>
        </w:rPr>
        <w:t xml:space="preserve">, </w:t>
      </w:r>
      <w:hyperlink w:anchor="_ENREF_360" w:tooltip="Ryu, 2008 #6485" w:history="1">
        <w:r w:rsidR="004A784D">
          <w:rPr>
            <w:noProof/>
          </w:rPr>
          <w:t>Ryu and McLarnon, 2008</w:t>
        </w:r>
      </w:hyperlink>
      <w:r w:rsidR="00493517">
        <w:rPr>
          <w:noProof/>
        </w:rPr>
        <w:t>)</w:t>
      </w:r>
      <w:r w:rsidR="00493517">
        <w:fldChar w:fldCharType="end"/>
      </w:r>
      <w:r w:rsidRPr="001A6261">
        <w:t xml:space="preserve">. This effect might interfere with interactions between myeloma cells and the bone marrow microenvironment, thus depriving myeloma cells of important growth and survival stimuli. This concept is supported by the activity of thalidomide in patients with bone marrow </w:t>
      </w:r>
      <w:r>
        <w:t>MM</w:t>
      </w:r>
      <w:r w:rsidRPr="001A6261">
        <w:t xml:space="preserve"> cells as compared to its lack of efficacy in patients with extra medullary myeloma tumours </w:t>
      </w:r>
      <w:r w:rsidRPr="001A6261">
        <w:fldChar w:fldCharType="begin">
          <w:fldData xml:space="preserve">PEVuZE5vdGU+PENpdGU+PEF1dGhvcj5IYXJvdXNzZWF1PC9BdXRob3I+PFllYXI+MjAwNDwvWWVh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</w:fldData>
        </w:fldChar>
      </w:r>
      <w:r w:rsidR="006F41FE">
        <w:instrText xml:space="preserve"> ADDIN EN.CITE </w:instrText>
      </w:r>
      <w:r w:rsidR="006F41FE">
        <w:fldChar w:fldCharType="begin">
          <w:fldData xml:space="preserve">PEVuZE5vdGU+PENpdGU+PEF1dGhvcj5IYXJvdXNzZWF1PC9BdXRob3I+PFllYXI+MjAwNDwvWWVh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</w:fldData>
        </w:fldChar>
      </w:r>
      <w:r w:rsidR="006F41FE">
        <w:instrText xml:space="preserve"> ADDIN EN.CITE.DATA </w:instrText>
      </w:r>
      <w:r w:rsidR="006F41FE">
        <w:fldChar w:fldCharType="end"/>
      </w:r>
      <w:r w:rsidRPr="001A6261">
        <w:fldChar w:fldCharType="separate"/>
      </w:r>
      <w:r w:rsidR="006F41FE">
        <w:rPr>
          <w:noProof/>
        </w:rPr>
        <w:t>(</w:t>
      </w:r>
      <w:hyperlink w:anchor="_ENREF_166" w:tooltip="Harousseau, 2004 #3691" w:history="1">
        <w:r w:rsidR="004A784D">
          <w:rPr>
            <w:noProof/>
          </w:rPr>
          <w:t>Harousseau et al., 2004</w:t>
        </w:r>
      </w:hyperlink>
      <w:r w:rsidR="006F41FE">
        <w:rPr>
          <w:noProof/>
        </w:rPr>
        <w:t xml:space="preserve">, </w:t>
      </w:r>
      <w:hyperlink w:anchor="_ENREF_425" w:tooltip="Vacca, 2005 #3660" w:history="1">
        <w:r w:rsidR="004A784D">
          <w:rPr>
            <w:noProof/>
          </w:rPr>
          <w:t>Vacca et al., 2005</w:t>
        </w:r>
      </w:hyperlink>
      <w:r w:rsidR="006F41FE">
        <w:rPr>
          <w:noProof/>
        </w:rPr>
        <w:t>)</w:t>
      </w:r>
      <w:r w:rsidRPr="001A6261">
        <w:fldChar w:fldCharType="end"/>
      </w:r>
      <w:r w:rsidRPr="001A6261">
        <w:t>.</w:t>
      </w:r>
    </w:p>
    <w:p w:rsidR="00B61503" w:rsidRPr="001A6261" w:rsidRDefault="00B61503" w:rsidP="00057B42">
      <w:pPr>
        <w:spacing w:line="360" w:lineRule="auto"/>
        <w:jc w:val="both"/>
      </w:pPr>
    </w:p>
    <w:p w:rsidR="000A4841" w:rsidRDefault="000A4841" w:rsidP="00057B42">
      <w:pPr>
        <w:spacing w:line="360" w:lineRule="auto"/>
        <w:rPr>
          <w:rFonts w:cs="Arial"/>
          <w:b/>
          <w:bCs/>
          <w:iCs/>
          <w:sz w:val="26"/>
          <w:szCs w:val="26"/>
          <w:lang w:eastAsia="en-US"/>
        </w:rPr>
      </w:pPr>
      <w:bookmarkStart w:id="1999" w:name="_Toc305690106"/>
      <w:bookmarkStart w:id="2000" w:name="_Toc306570798"/>
      <w:bookmarkStart w:id="2001" w:name="_Toc307067859"/>
      <w:r>
        <w:br w:type="page"/>
      </w:r>
    </w:p>
    <w:p w:rsidR="00B61503" w:rsidRDefault="00B61503" w:rsidP="00645687">
      <w:pPr>
        <w:pStyle w:val="Heading2"/>
        <w:numPr>
          <w:ilvl w:val="3"/>
          <w:numId w:val="19"/>
        </w:numPr>
      </w:pPr>
      <w:bookmarkStart w:id="2002" w:name="_Toc312169425"/>
      <w:bookmarkStart w:id="2003" w:name="_Toc312172352"/>
      <w:bookmarkStart w:id="2004" w:name="_Toc312257901"/>
      <w:r w:rsidRPr="001A6261">
        <w:lastRenderedPageBreak/>
        <w:t>Direct inhibition of myeloma cells growth and survival</w:t>
      </w:r>
      <w:bookmarkEnd w:id="1999"/>
      <w:bookmarkEnd w:id="2000"/>
      <w:bookmarkEnd w:id="2001"/>
      <w:bookmarkEnd w:id="2002"/>
      <w:bookmarkEnd w:id="2003"/>
      <w:bookmarkEnd w:id="2004"/>
    </w:p>
    <w:p w:rsidR="002E7FDB" w:rsidRDefault="003368E0" w:rsidP="001A0382">
      <w:pPr>
        <w:spacing w:before="240" w:line="360" w:lineRule="auto"/>
        <w:jc w:val="both"/>
      </w:pPr>
      <w:r>
        <w:t xml:space="preserve">Thalidomide </w:t>
      </w:r>
      <w:r w:rsidR="002C45BF">
        <w:t>produces</w:t>
      </w:r>
      <w:r>
        <w:t xml:space="preserve"> less than 20% inhibition o</w:t>
      </w:r>
      <w:r w:rsidR="002C45BF">
        <w:t>f DNA synthesis respectively in MM</w:t>
      </w:r>
      <w:r>
        <w:t xml:space="preserve"> ce</w:t>
      </w:r>
      <w:r w:rsidR="002C45BF">
        <w:t>ll lines</w:t>
      </w:r>
      <w:r>
        <w:t>.</w:t>
      </w:r>
      <w:r w:rsidR="002C45BF">
        <w:t xml:space="preserve"> </w:t>
      </w:r>
      <w:r w:rsidR="00B61503" w:rsidRPr="001A6261">
        <w:t xml:space="preserve">Thalidomide </w:t>
      </w:r>
      <w:r w:rsidR="002C45BF">
        <w:t xml:space="preserve">also </w:t>
      </w:r>
      <w:r w:rsidR="00B61503" w:rsidRPr="001A6261">
        <w:t xml:space="preserve">induces apoptosis in myeloma cell lines in the absence of accessory bone marrow and T cells. This finding may be related to oxidative damage to DNA mediated by free radicals, an effect that has been implicated as the mechanism of thalidomide </w:t>
      </w:r>
      <w:r w:rsidR="00493517">
        <w:t>teratogenicity. The direct anti-</w:t>
      </w:r>
      <w:r w:rsidR="00B61503" w:rsidRPr="001A6261">
        <w:t>myeloma effect of thalidomide can be overcome by IL-6, which can block the activation of RAFTK and consequently apoptosis, indicating that activation of RAFTK might be another mechanism of direct thalidomide induced apoptosis</w:t>
      </w:r>
      <w:r w:rsidR="00493517">
        <w:t xml:space="preserve"> </w:t>
      </w:r>
      <w:r w:rsidR="00493517">
        <w:fldChar w:fldCharType="begin"/>
      </w:r>
      <w:r w:rsidR="00493517">
        <w:instrText xml:space="preserve"> ADDIN EN.CITE &lt;EndNote&gt;&lt;Cite&gt;&lt;Author&gt;Anderson&lt;/Author&gt;&lt;Year&gt;2001&lt;/Year&gt;&lt;RecNum&gt;6494&lt;/RecNum&gt;&lt;DisplayText&gt;(Anderson, 2001)&lt;/DisplayText&gt;&lt;record&gt;&lt;rec-number&gt;6494&lt;/rec-number&gt;&lt;foreign-keys&gt;&lt;key app="EN" db-id="zf0awxsaczrdd3eft5qvw9wrtxxawdfrvw2a"&gt;6494&lt;/key&gt;&lt;/foreign-keys&gt;&lt;ref-type name="Journal Article"&gt;17&lt;/ref-type&gt;&lt;contributors&gt;&lt;authors&gt;&lt;author&gt;Anderson, K. C.&lt;/author&gt;&lt;/authors&gt;&lt;/contributors&gt;&lt;auth-address&gt;Department of Medicine, Harvard Medical School, Boston, MA, USA.&lt;/auth-address&gt;&lt;titles&gt;&lt;title&gt;Multiple Myeloma. Advances in disease biology: therapeutic implications&lt;/title&gt;&lt;secondary-title&gt;Semin Hematol&lt;/secondary-title&gt;&lt;/titles&gt;&lt;periodical&gt;&lt;full-title&gt;Semin Hematol&lt;/full-title&gt;&lt;/periodical&gt;&lt;pages&gt;6-10&lt;/pages&gt;&lt;volume&gt;38&lt;/volume&gt;&lt;number&gt;2 Suppl 3&lt;/number&gt;&lt;edition&gt;2001/04/20&lt;/edition&gt;&lt;keywords&gt;&lt;keyword&gt;Antibodies/therapeutic use&lt;/keyword&gt;&lt;keyword&gt;Humans&lt;/keyword&gt;&lt;keyword&gt;Immunotherapy/methods&lt;/keyword&gt;&lt;keyword&gt;Interleukin-6/immunology/pharmacology&lt;/keyword&gt;&lt;keyword&gt;Multiple Myeloma/*drug therapy/etiology/therapy&lt;/keyword&gt;&lt;/keywords&gt;&lt;dates&gt;&lt;year&gt;2001&lt;/year&gt;&lt;pub-dates&gt;&lt;date&gt;Apr&lt;/date&gt;&lt;/pub-dates&gt;&lt;/dates&gt;&lt;isbn&gt;0037-1963 (Print)&amp;#xD;0037-1963 (Linking)&lt;/isbn&gt;&lt;accession-num&gt;11309702&lt;/accession-num&gt;&lt;urls&gt;&lt;related-urls&gt;&lt;url&gt;http://www.ncbi.nlm.nih.gov/pubmed/11309702&lt;/url&gt;&lt;/related-urls&gt;&lt;/urls&gt;&lt;electronic-resource-num&gt;ashem0380006 [pii]&lt;/electronic-resource-num&gt;&lt;language&gt;eng&lt;/language&gt;&lt;/record&gt;&lt;/Cite&gt;&lt;/EndNote&gt;</w:instrText>
      </w:r>
      <w:r w:rsidR="00493517">
        <w:fldChar w:fldCharType="separate"/>
      </w:r>
      <w:r w:rsidR="00493517">
        <w:rPr>
          <w:noProof/>
        </w:rPr>
        <w:t>(</w:t>
      </w:r>
      <w:hyperlink w:anchor="_ENREF_20" w:tooltip="Anderson, 2001 #6494" w:history="1">
        <w:r w:rsidR="004A784D">
          <w:rPr>
            <w:noProof/>
          </w:rPr>
          <w:t>Anderson, 2001</w:t>
        </w:r>
      </w:hyperlink>
      <w:r w:rsidR="00493517">
        <w:rPr>
          <w:noProof/>
        </w:rPr>
        <w:t>)</w:t>
      </w:r>
      <w:r w:rsidR="00493517">
        <w:fldChar w:fldCharType="end"/>
      </w:r>
      <w:r w:rsidR="00B61503" w:rsidRPr="001A6261">
        <w:t xml:space="preserve">. </w:t>
      </w:r>
    </w:p>
    <w:p w:rsidR="002E7FDB" w:rsidRDefault="002E7FDB" w:rsidP="00057B42">
      <w:pPr>
        <w:spacing w:line="360" w:lineRule="auto"/>
        <w:jc w:val="both"/>
      </w:pPr>
    </w:p>
    <w:p w:rsidR="00B61503" w:rsidRDefault="00B61503" w:rsidP="00057B42">
      <w:pPr>
        <w:spacing w:line="360" w:lineRule="auto"/>
        <w:jc w:val="both"/>
      </w:pPr>
      <w:r w:rsidRPr="001A6261">
        <w:t xml:space="preserve">Thalidomide </w:t>
      </w:r>
      <w:r>
        <w:t xml:space="preserve">in high concentration can </w:t>
      </w:r>
      <w:r w:rsidRPr="001A6261">
        <w:t>also blocks the stimulatory effect of insulin-like growth factor 1 (IGF-1) on NFkB activity and potentiates the activity of apoptos</w:t>
      </w:r>
      <w:r w:rsidR="00493517">
        <w:t xml:space="preserve">is inducing ligand </w:t>
      </w:r>
      <w:r w:rsidRPr="001A6261">
        <w:fldChar w:fldCharType="begin">
          <w:fldData xml:space="preserve">PEVuZE5vdGU+PENpdGU+PEF1dGhvcj5SYWplPC9BdXRob3I+PFllYXI+MjAwNDwvWWVhcj48UmVj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=
</w:fldData>
        </w:fldChar>
      </w:r>
      <w:r w:rsidR="006F41FE">
        <w:instrText xml:space="preserve"> ADDIN EN.CITE </w:instrText>
      </w:r>
      <w:r w:rsidR="006F41FE">
        <w:fldChar w:fldCharType="begin">
          <w:fldData xml:space="preserve">PEVuZE5vdGU+PENpdGU+PEF1dGhvcj5SYWplPC9BdXRob3I+PFllYXI+MjAwNDwvWWVhcj48UmVj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=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331" w:tooltip="Raje, 2004 #3700" w:history="1">
        <w:r w:rsidR="004A784D">
          <w:rPr>
            <w:noProof/>
          </w:rPr>
          <w:t>Raje et al., 2004</w:t>
        </w:r>
      </w:hyperlink>
      <w:r w:rsidR="006F41FE">
        <w:rPr>
          <w:noProof/>
        </w:rPr>
        <w:t xml:space="preserve">, </w:t>
      </w:r>
      <w:hyperlink w:anchor="_ENREF_398" w:tooltip="Sprynski, 2009 #430" w:history="1">
        <w:r w:rsidR="004A784D">
          <w:rPr>
            <w:noProof/>
          </w:rPr>
          <w:t>Sprynski et al., 2009</w:t>
        </w:r>
      </w:hyperlink>
      <w:r w:rsidR="006F41FE">
        <w:rPr>
          <w:noProof/>
        </w:rPr>
        <w:t>)</w:t>
      </w:r>
      <w:r w:rsidRPr="001A6261">
        <w:fldChar w:fldCharType="end"/>
      </w:r>
      <w:r w:rsidRPr="001A6261">
        <w:t xml:space="preserve">. In </w:t>
      </w:r>
      <w:r>
        <w:t>practical term</w:t>
      </w:r>
      <w:r w:rsidRPr="001A6261">
        <w:t xml:space="preserve"> these effects can only be </w:t>
      </w:r>
      <w:r>
        <w:t>carried out as an experiment</w:t>
      </w:r>
      <w:r w:rsidRPr="001A6261">
        <w:t xml:space="preserve"> </w:t>
      </w:r>
      <w:r w:rsidRPr="006F4D2B">
        <w:rPr>
          <w:i/>
        </w:rPr>
        <w:t>in vitro</w:t>
      </w:r>
      <w:r>
        <w:t>.</w:t>
      </w:r>
      <w:r w:rsidRPr="001A6261">
        <w:t xml:space="preserve"> </w:t>
      </w:r>
      <w:r>
        <w:t xml:space="preserve">The </w:t>
      </w:r>
      <w:r w:rsidRPr="001A6261">
        <w:t>high co</w:t>
      </w:r>
      <w:r>
        <w:t>ncentrations of thalidomide</w:t>
      </w:r>
      <w:r w:rsidRPr="001A6261">
        <w:t xml:space="preserve"> are not inducible in the patient’s plasma because of </w:t>
      </w:r>
      <w:r>
        <w:t>high grade</w:t>
      </w:r>
      <w:r w:rsidRPr="001A6261">
        <w:t xml:space="preserve"> toxicity and severity of side effects </w:t>
      </w:r>
      <w:r w:rsidRPr="001A6261">
        <w:fldChar w:fldCharType="begin">
          <w:fldData xml:space="preserve">PEVuZE5vdGU+PENpdGU+PEF1dGhvcj5Ub3NpPC9BdXRob3I+PFllYXI+MjAwNTwvWWVhcj48UmVj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</w:fldData>
        </w:fldChar>
      </w:r>
      <w:r w:rsidR="006F41FE">
        <w:instrText xml:space="preserve"> ADDIN EN.CITE </w:instrText>
      </w:r>
      <w:r w:rsidR="006F41FE">
        <w:fldChar w:fldCharType="begin">
          <w:fldData xml:space="preserve">PEVuZE5vdGU+PENpdGU+PEF1dGhvcj5Ub3NpPC9BdXRob3I+PFllYXI+MjAwNTwvWWVhcj48UmVj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</w:fldData>
        </w:fldChar>
      </w:r>
      <w:r w:rsidR="006F41FE">
        <w:instrText xml:space="preserve"> ADDIN EN.CITE.DATA </w:instrText>
      </w:r>
      <w:r w:rsidR="006F41FE">
        <w:fldChar w:fldCharType="end"/>
      </w:r>
      <w:r w:rsidRPr="001A6261">
        <w:fldChar w:fldCharType="separate"/>
      </w:r>
      <w:r w:rsidR="006F41FE">
        <w:rPr>
          <w:noProof/>
        </w:rPr>
        <w:t>(</w:t>
      </w:r>
      <w:hyperlink w:anchor="_ENREF_422" w:tooltip="Tosi, 2005 #3678" w:history="1">
        <w:r w:rsidR="004A784D">
          <w:rPr>
            <w:noProof/>
          </w:rPr>
          <w:t>Tosi et al., 2005</w:t>
        </w:r>
      </w:hyperlink>
      <w:r w:rsidR="006F41FE">
        <w:rPr>
          <w:noProof/>
        </w:rPr>
        <w:t xml:space="preserve">, </w:t>
      </w:r>
      <w:hyperlink w:anchor="_ENREF_462" w:tooltip="Zangari, 2004 #3699" w:history="1">
        <w:r w:rsidR="004A784D">
          <w:rPr>
            <w:noProof/>
          </w:rPr>
          <w:t>Zangari et al., 2004</w:t>
        </w:r>
      </w:hyperlink>
      <w:r w:rsidR="006F41FE">
        <w:rPr>
          <w:noProof/>
        </w:rPr>
        <w:t xml:space="preserve">, </w:t>
      </w:r>
      <w:hyperlink w:anchor="_ENREF_317" w:tooltip="Patrick, 2010 #3361" w:history="1">
        <w:r w:rsidR="004A784D">
          <w:rPr>
            <w:noProof/>
          </w:rPr>
          <w:t>Patrick and Bowcock, 2010</w:t>
        </w:r>
      </w:hyperlink>
      <w:r w:rsidR="006F41FE">
        <w:rPr>
          <w:noProof/>
        </w:rPr>
        <w:t>)</w:t>
      </w:r>
      <w:r w:rsidRPr="001A6261">
        <w:fldChar w:fldCharType="end"/>
      </w:r>
      <w:r w:rsidRPr="001A6261">
        <w:t>.</w:t>
      </w:r>
    </w:p>
    <w:p w:rsidR="00B61503" w:rsidRDefault="00B61503" w:rsidP="00057B42">
      <w:pPr>
        <w:spacing w:line="360" w:lineRule="auto"/>
        <w:jc w:val="both"/>
      </w:pPr>
    </w:p>
    <w:p w:rsidR="00B61503" w:rsidRDefault="00B61503" w:rsidP="00645687">
      <w:pPr>
        <w:pStyle w:val="Heading2"/>
        <w:numPr>
          <w:ilvl w:val="3"/>
          <w:numId w:val="19"/>
        </w:numPr>
      </w:pPr>
      <w:bookmarkStart w:id="2005" w:name="_Toc305690107"/>
      <w:bookmarkStart w:id="2006" w:name="_Toc306570799"/>
      <w:bookmarkStart w:id="2007" w:name="_Toc307067860"/>
      <w:bookmarkStart w:id="2008" w:name="_Toc312169426"/>
      <w:bookmarkStart w:id="2009" w:name="_Toc312172353"/>
      <w:bookmarkStart w:id="2010" w:name="_Toc312257902"/>
      <w:r>
        <w:t xml:space="preserve">Serum protein level of </w:t>
      </w:r>
      <w:r w:rsidRPr="001A6261">
        <w:t xml:space="preserve">VDB, </w:t>
      </w:r>
      <w:r>
        <w:t>SAA, ZAG, B2M and myeloma microenvironment</w:t>
      </w:r>
      <w:bookmarkEnd w:id="2005"/>
      <w:bookmarkEnd w:id="2006"/>
      <w:bookmarkEnd w:id="2007"/>
      <w:bookmarkEnd w:id="2008"/>
      <w:bookmarkEnd w:id="2009"/>
      <w:bookmarkEnd w:id="2010"/>
      <w:r>
        <w:t xml:space="preserve"> </w:t>
      </w:r>
    </w:p>
    <w:p w:rsidR="00B61503" w:rsidRDefault="00B61503" w:rsidP="001A0382">
      <w:pPr>
        <w:spacing w:before="240" w:line="360" w:lineRule="auto"/>
        <w:jc w:val="both"/>
        <w:rPr>
          <w:color w:val="000000"/>
        </w:rPr>
      </w:pPr>
      <w:r w:rsidRPr="001A6261">
        <w:rPr>
          <w:color w:val="000000"/>
        </w:rPr>
        <w:t xml:space="preserve">MM like </w:t>
      </w:r>
      <w:r>
        <w:rPr>
          <w:color w:val="000000"/>
        </w:rPr>
        <w:t xml:space="preserve">many </w:t>
      </w:r>
      <w:r w:rsidRPr="001A6261">
        <w:rPr>
          <w:color w:val="000000"/>
        </w:rPr>
        <w:t>other cancer is a product of the tissue microenvironment</w:t>
      </w:r>
      <w:r>
        <w:rPr>
          <w:color w:val="000000"/>
        </w:rPr>
        <w:t xml:space="preserve"> </w:t>
      </w:r>
      <w:r>
        <w:rPr>
          <w:color w:val="000000"/>
        </w:rPr>
        <w:fldChar w:fldCharType="begin"/>
      </w:r>
      <w:r w:rsidR="006F41FE">
        <w:rPr>
          <w:color w:val="000000"/>
        </w:rPr>
        <w:instrText xml:space="preserve"> ADDIN EN.CITE &lt;EndNote&gt;&lt;Cite&gt;&lt;Author&gt;Vanderkerken&lt;/Author&gt;&lt;Year&gt;2003&lt;/Year&gt;&lt;RecNum&gt;4915&lt;/RecNum&gt;&lt;DisplayText&gt;(Vanderkerken et al., 2003)&lt;/DisplayText&gt;&lt;record&gt;&lt;rec-number&gt;4915&lt;/rec-number&gt;&lt;foreign-keys&gt;&lt;key app="EN" db-id="zf0awxsaczrdd3eft5qvw9wrtxxawdfrvw2a"&gt;4915&lt;/key&gt;&lt;/foreign-keys&gt;&lt;ref-type name="Journal Article"&gt;17&lt;/ref-type&gt;&lt;contributors&gt;&lt;authors&gt;&lt;author&gt;Vanderkerken, K.&lt;/author&gt;&lt;author&gt;Asosingh, K.&lt;/author&gt;&lt;author&gt;Croucher, P.&lt;/author&gt;&lt;author&gt;Van Camp, B.&lt;/author&gt;&lt;/authors&gt;&lt;/contributors&gt;&lt;auth-address&gt;Vrije Universiteit Brussel, Department of Hematology and Immunology, Brussels, Belgium. Karin.Vanderkerken@vub.ac.be&lt;/auth-address&gt;&lt;titles&gt;&lt;title&gt;Multiple myeloma biology: lessons from the 5TMM models&lt;/title&gt;&lt;secondary-title&gt;Immunol Rev&lt;/secondary-title&gt;&lt;/titles&gt;&lt;periodical&gt;&lt;full-title&gt;Immunol Rev&lt;/full-title&gt;&lt;/periodical&gt;&lt;pages&gt;196-206&lt;/pages&gt;&lt;volume&gt;194&lt;/volume&gt;&lt;edition&gt;2003/07/09&lt;/edition&gt;&lt;keywords&gt;&lt;keyword&gt;Animals&lt;/keyword&gt;&lt;keyword&gt;Antigens, CD45/metabolism&lt;/keyword&gt;&lt;keyword&gt;Bone Marrow Cells/pathology&lt;/keyword&gt;&lt;keyword&gt;Bone and Bones/pathology&lt;/keyword&gt;&lt;keyword&gt;Cell Movement&lt;/keyword&gt;&lt;keyword&gt;*Disease Models, Animal&lt;/keyword&gt;&lt;keyword&gt;Humans&lt;/keyword&gt;&lt;keyword&gt;Multiple Myeloma/drug therapy/immunology/metabolism/*pathology&lt;/keyword&gt;&lt;/keywords&gt;&lt;dates&gt;&lt;year&gt;2003&lt;/year&gt;&lt;pub-dates&gt;&lt;date&gt;Aug&lt;/date&gt;&lt;/pub-dates&gt;&lt;/dates&gt;&lt;isbn&gt;0105-2896 (Print)&amp;#xD;0105-2896 (Linking)&lt;/isbn&gt;&lt;accession-num&gt;12846816&lt;/accession-num&gt;&lt;urls&gt;&lt;related-urls&gt;&lt;url&gt;http://www.ncbi.nlm.nih.gov/pubmed/12846816&lt;/url&gt;&lt;/related-urls&gt;&lt;/urls&gt;&lt;electronic-resource-num&gt;035 [pii]&lt;/electronic-resource-num&gt;&lt;language&gt;eng&lt;/language&gt;&lt;/record&gt;&lt;/Cite&gt;&lt;/EndNote&gt;</w:instrText>
      </w:r>
      <w:r>
        <w:rPr>
          <w:color w:val="000000"/>
        </w:rPr>
        <w:fldChar w:fldCharType="separate"/>
      </w:r>
      <w:r w:rsidR="006F41FE">
        <w:rPr>
          <w:noProof/>
          <w:color w:val="000000"/>
        </w:rPr>
        <w:t>(</w:t>
      </w:r>
      <w:hyperlink w:anchor="_ENREF_431" w:tooltip="Vanderkerken, 2003 #4915" w:history="1">
        <w:r w:rsidR="004A784D">
          <w:rPr>
            <w:noProof/>
            <w:color w:val="000000"/>
          </w:rPr>
          <w:t>Vanderkerken et al., 2003</w:t>
        </w:r>
      </w:hyperlink>
      <w:r w:rsidR="006F41FE">
        <w:rPr>
          <w:noProof/>
          <w:color w:val="000000"/>
        </w:rPr>
        <w:t>)</w:t>
      </w:r>
      <w:r>
        <w:rPr>
          <w:color w:val="000000"/>
        </w:rPr>
        <w:fldChar w:fldCharType="end"/>
      </w:r>
      <w:r>
        <w:rPr>
          <w:color w:val="000000"/>
        </w:rPr>
        <w:t xml:space="preserve">. The </w:t>
      </w:r>
      <w:r w:rsidRPr="001A6261">
        <w:rPr>
          <w:color w:val="000000"/>
        </w:rPr>
        <w:t>interactions between the myeloma cell</w:t>
      </w:r>
      <w:r>
        <w:rPr>
          <w:color w:val="000000"/>
        </w:rPr>
        <w:t>s, the surrounding epithelial and stromal cells, vascular</w:t>
      </w:r>
      <w:r w:rsidRPr="001A6261">
        <w:rPr>
          <w:color w:val="000000"/>
        </w:rPr>
        <w:t xml:space="preserve"> and the immune system are all </w:t>
      </w:r>
      <w:r>
        <w:rPr>
          <w:color w:val="000000"/>
        </w:rPr>
        <w:t xml:space="preserve">part of </w:t>
      </w:r>
      <w:r w:rsidRPr="001A6261">
        <w:rPr>
          <w:color w:val="000000"/>
        </w:rPr>
        <w:t xml:space="preserve">ultimate determinant of the final </w:t>
      </w:r>
      <w:r>
        <w:rPr>
          <w:color w:val="000000"/>
        </w:rPr>
        <w:t xml:space="preserve">MM </w:t>
      </w:r>
      <w:r w:rsidRPr="001A6261">
        <w:rPr>
          <w:color w:val="000000"/>
        </w:rPr>
        <w:t>pathology</w:t>
      </w:r>
      <w:r>
        <w:rPr>
          <w:color w:val="000000"/>
        </w:rPr>
        <w:t xml:space="preserve">. This also include MM patient response to a given </w:t>
      </w:r>
      <w:r w:rsidR="000A4841">
        <w:rPr>
          <w:color w:val="000000"/>
        </w:rPr>
        <w:t>anti-myeloma</w:t>
      </w:r>
      <w:r>
        <w:rPr>
          <w:color w:val="000000"/>
        </w:rPr>
        <w:t xml:space="preserve"> therapy </w:t>
      </w:r>
      <w:r>
        <w:rPr>
          <w:color w:val="000000"/>
        </w:rPr>
        <w:fldChar w:fldCharType="begin"/>
      </w:r>
      <w:r w:rsidR="006F41FE">
        <w:rPr>
          <w:color w:val="000000"/>
        </w:rPr>
        <w:instrText xml:space="preserve"> ADDIN EN.CITE &lt;EndNote&gt;&lt;Cite&gt;&lt;Author&gt;Aggarwal&lt;/Author&gt;&lt;Year&gt;2006&lt;/Year&gt;&lt;RecNum&gt;4911&lt;/RecNum&gt;&lt;DisplayText&gt;(Aggarwal et al., 2006)&lt;/DisplayText&gt;&lt;record&gt;&lt;rec-number&gt;4911&lt;/rec-number&gt;&lt;foreign-keys&gt;&lt;key app="EN" db-id="zf0awxsaczrdd3eft5qvw9wrtxxawdfrvw2a"&gt;4911&lt;/key&gt;&lt;/foreign-keys&gt;&lt;ref-type name="Journal Article"&gt;17&lt;/ref-type&gt;&lt;contributors&gt;&lt;authors&gt;&lt;author&gt;Aggarwal, R.&lt;/author&gt;&lt;author&gt;Ghobrial, I. M.&lt;/author&gt;&lt;author&gt;Roodman, G. D.&lt;/author&gt;&lt;/authors&gt;&lt;/contributors&gt;&lt;auth-address&gt;Department of Internal Medicine, University of Pittsburgh, Pittsburgh, PA 15240, USA.&lt;/auth-address&gt;&lt;titles&gt;&lt;title&gt;Chemokines in multiple myeloma&lt;/title&gt;&lt;secondary-title&gt;Exp Hematol&lt;/secondary-title&gt;&lt;/titles&gt;&lt;periodical&gt;&lt;full-title&gt;Exp Hematol&lt;/full-title&gt;&lt;/periodical&gt;&lt;pages&gt;1289-95&lt;/pages&gt;&lt;volume&gt;34&lt;/volume&gt;&lt;number&gt;10&lt;/number&gt;&lt;edition&gt;2006/09/20&lt;/edition&gt;&lt;keywords&gt;&lt;keyword&gt;Animals&lt;/keyword&gt;&lt;keyword&gt;Bone Marrow/metabolism/pathology&lt;/keyword&gt;&lt;keyword&gt;Bone Neoplasms/drug therapy/*metabolism/pathology/secondary&lt;/keyword&gt;&lt;keyword&gt;*Cell Differentiation&lt;/keyword&gt;&lt;keyword&gt;*Cell Movement&lt;/keyword&gt;&lt;keyword&gt;Chemokines/antagonists &amp;amp; inhibitors/*metabolism&lt;/keyword&gt;&lt;keyword&gt;Humans&lt;/keyword&gt;&lt;keyword&gt;Multiple Myeloma/drug therapy/*metabolism/pathology&lt;/keyword&gt;&lt;keyword&gt;Osteoclasts/metabolism/pathology&lt;/keyword&gt;&lt;keyword&gt;Receptors, Chemokine/*metabolism&lt;/keyword&gt;&lt;/keywords&gt;&lt;dates&gt;&lt;year&gt;2006&lt;/year&gt;&lt;pub-dates&gt;&lt;date&gt;Oct&lt;/date&gt;&lt;/pub-dates&gt;&lt;/dates&gt;&lt;isbn&gt;0301-472X (Print)&amp;#xD;0301-472X (Linking)&lt;/isbn&gt;&lt;accession-num&gt;16982321&lt;/accession-num&gt;&lt;urls&gt;&lt;related-urls&gt;&lt;url&gt;http://www.ncbi.nlm.nih.gov/pubmed/16982321&lt;/url&gt;&lt;/related-urls&gt;&lt;/urls&gt;&lt;custom2&gt;3134145&lt;/custom2&gt;&lt;electronic-resource-num&gt;S0301-472X(06)00425-5 [pii]&amp;#xD;10.1016/j.exphem.2006.06.017&lt;/electronic-resource-num&gt;&lt;language&gt;eng&lt;/language&gt;&lt;/record&gt;&lt;/Cite&gt;&lt;/EndNote&gt;</w:instrText>
      </w:r>
      <w:r>
        <w:rPr>
          <w:color w:val="000000"/>
        </w:rPr>
        <w:fldChar w:fldCharType="separate"/>
      </w:r>
      <w:r w:rsidR="006F41FE">
        <w:rPr>
          <w:noProof/>
          <w:color w:val="000000"/>
        </w:rPr>
        <w:t>(</w:t>
      </w:r>
      <w:hyperlink w:anchor="_ENREF_7" w:tooltip="Aggarwal, 2006 #4911" w:history="1">
        <w:r w:rsidR="004A784D">
          <w:rPr>
            <w:noProof/>
            <w:color w:val="000000"/>
          </w:rPr>
          <w:t>Aggarwal et al., 2006</w:t>
        </w:r>
      </w:hyperlink>
      <w:r w:rsidR="006F41FE">
        <w:rPr>
          <w:noProof/>
          <w:color w:val="000000"/>
        </w:rPr>
        <w:t>)</w:t>
      </w:r>
      <w:r>
        <w:rPr>
          <w:color w:val="000000"/>
        </w:rPr>
        <w:fldChar w:fldCharType="end"/>
      </w:r>
      <w:r w:rsidRPr="001A6261">
        <w:rPr>
          <w:color w:val="000000"/>
        </w:rPr>
        <w:t xml:space="preserve">. </w:t>
      </w:r>
    </w:p>
    <w:p w:rsidR="002E7FDB" w:rsidRDefault="002E7FDB" w:rsidP="00057B42">
      <w:pPr>
        <w:spacing w:line="360" w:lineRule="auto"/>
        <w:jc w:val="both"/>
        <w:rPr>
          <w:color w:val="000000"/>
        </w:rPr>
      </w:pPr>
    </w:p>
    <w:p w:rsidR="00300A1B" w:rsidRDefault="00B61503" w:rsidP="00057B42">
      <w:pPr>
        <w:spacing w:line="360" w:lineRule="auto"/>
        <w:jc w:val="both"/>
      </w:pPr>
      <w:r w:rsidRPr="001A6261">
        <w:t xml:space="preserve">The finding of this study; the elevated serum level of VDB, SAA, ZAG and B2M level in non-responders and </w:t>
      </w:r>
      <w:r>
        <w:t xml:space="preserve">increase </w:t>
      </w:r>
      <w:r w:rsidRPr="001A6261">
        <w:t>serum Hp lev</w:t>
      </w:r>
      <w:r>
        <w:t xml:space="preserve">el in responders to thalidomide </w:t>
      </w:r>
      <w:r w:rsidRPr="001A6261">
        <w:rPr>
          <w:color w:val="000000"/>
        </w:rPr>
        <w:t xml:space="preserve">may </w:t>
      </w:r>
      <w:r>
        <w:rPr>
          <w:color w:val="000000"/>
        </w:rPr>
        <w:t>result of</w:t>
      </w:r>
      <w:r w:rsidRPr="001A6261">
        <w:rPr>
          <w:color w:val="000000"/>
        </w:rPr>
        <w:t xml:space="preserve"> various pathophysiological events in the MM</w:t>
      </w:r>
      <w:r>
        <w:rPr>
          <w:color w:val="000000"/>
        </w:rPr>
        <w:t xml:space="preserve"> cells </w:t>
      </w:r>
      <w:r w:rsidRPr="001A6261">
        <w:rPr>
          <w:color w:val="000000"/>
        </w:rPr>
        <w:t xml:space="preserve">and </w:t>
      </w:r>
      <w:r>
        <w:rPr>
          <w:color w:val="000000"/>
        </w:rPr>
        <w:t xml:space="preserve">the </w:t>
      </w:r>
      <w:r w:rsidRPr="001A6261">
        <w:rPr>
          <w:color w:val="000000"/>
        </w:rPr>
        <w:t>patients serum</w:t>
      </w:r>
      <w:r>
        <w:rPr>
          <w:color w:val="000000"/>
        </w:rPr>
        <w:t>. It</w:t>
      </w:r>
      <w:r w:rsidRPr="001A6261">
        <w:t xml:space="preserve"> is most likely attributable to </w:t>
      </w:r>
      <w:r>
        <w:t>overall interaction between thalidomide, myeloma and normal cells, immune system as well as</w:t>
      </w:r>
      <w:r w:rsidRPr="001A6261">
        <w:t xml:space="preserve"> protein–protein interaction in the serum rather than over produ</w:t>
      </w:r>
      <w:r w:rsidR="00300A1B">
        <w:t>ction from myeloma tumor cells.</w:t>
      </w:r>
    </w:p>
    <w:p w:rsidR="00300A1B" w:rsidRDefault="00300A1B" w:rsidP="00057B42">
      <w:pPr>
        <w:spacing w:line="360" w:lineRule="auto"/>
        <w:jc w:val="both"/>
      </w:pPr>
    </w:p>
    <w:p w:rsidR="00B61503" w:rsidRDefault="00B61503" w:rsidP="00057B42">
      <w:pPr>
        <w:spacing w:line="360" w:lineRule="auto"/>
        <w:jc w:val="both"/>
        <w:rPr>
          <w:color w:val="000000"/>
        </w:rPr>
      </w:pPr>
      <w:r>
        <w:t xml:space="preserve">Therefore </w:t>
      </w:r>
      <w:r>
        <w:rPr>
          <w:color w:val="000000"/>
        </w:rPr>
        <w:t>variation in abundance level of proteins may reflect</w:t>
      </w:r>
      <w:r w:rsidRPr="001A6261">
        <w:rPr>
          <w:color w:val="000000"/>
        </w:rPr>
        <w:t xml:space="preserve"> the </w:t>
      </w:r>
      <w:r>
        <w:rPr>
          <w:color w:val="000000"/>
        </w:rPr>
        <w:t xml:space="preserve">MM </w:t>
      </w:r>
      <w:r w:rsidRPr="001A6261">
        <w:rPr>
          <w:color w:val="000000"/>
        </w:rPr>
        <w:t>microenvironment as a whole.</w:t>
      </w:r>
      <w:r>
        <w:rPr>
          <w:color w:val="000000"/>
        </w:rPr>
        <w:t xml:space="preserve"> </w:t>
      </w:r>
      <w:r w:rsidRPr="001A6261">
        <w:rPr>
          <w:color w:val="000000"/>
        </w:rPr>
        <w:t>It is difficult to know whether these proteins are from tumour-plasma cells or secreted from normal cell in response to myeloma.</w:t>
      </w:r>
      <w:r>
        <w:rPr>
          <w:color w:val="000000"/>
        </w:rPr>
        <w:t xml:space="preserve"> Many other </w:t>
      </w:r>
      <w:r w:rsidR="00C5350B">
        <w:rPr>
          <w:color w:val="000000"/>
        </w:rPr>
        <w:t>researchers</w:t>
      </w:r>
      <w:r>
        <w:rPr>
          <w:color w:val="000000"/>
        </w:rPr>
        <w:t xml:space="preserve"> have reported similar difficulties. P</w:t>
      </w:r>
      <w:r w:rsidRPr="001A6261">
        <w:rPr>
          <w:color w:val="000000"/>
        </w:rPr>
        <w:t>revious stud</w:t>
      </w:r>
      <w:r>
        <w:rPr>
          <w:color w:val="000000"/>
        </w:rPr>
        <w:t>ies</w:t>
      </w:r>
      <w:r w:rsidRPr="001A6261">
        <w:rPr>
          <w:color w:val="000000"/>
        </w:rPr>
        <w:t xml:space="preserve"> in </w:t>
      </w:r>
      <w:r>
        <w:rPr>
          <w:color w:val="000000"/>
        </w:rPr>
        <w:t xml:space="preserve">breast cancer indicated that higher level </w:t>
      </w:r>
      <w:r w:rsidRPr="001A6261">
        <w:rPr>
          <w:color w:val="000000"/>
        </w:rPr>
        <w:t xml:space="preserve">of IL-6 in the serum of breast cancer patients compared with </w:t>
      </w:r>
      <w:r>
        <w:rPr>
          <w:color w:val="000000"/>
        </w:rPr>
        <w:t xml:space="preserve">normal </w:t>
      </w:r>
      <w:r w:rsidRPr="001A6261">
        <w:rPr>
          <w:color w:val="000000"/>
        </w:rPr>
        <w:t>individuals</w:t>
      </w:r>
      <w:r>
        <w:rPr>
          <w:color w:val="000000"/>
        </w:rPr>
        <w:t xml:space="preserve"> is an important biomarker</w:t>
      </w:r>
      <w:r w:rsidRPr="001A6261">
        <w:rPr>
          <w:color w:val="000000"/>
        </w:rPr>
        <w:t xml:space="preserve">, </w:t>
      </w:r>
      <w:r w:rsidR="00FB65A2" w:rsidRPr="001A6261">
        <w:rPr>
          <w:color w:val="000000"/>
        </w:rPr>
        <w:fldChar w:fldCharType="begin">
          <w:fldData xml:space="preserve">PEVuZE5vdGU+PENpdGU+PEF1dGhvcj5TY2hhZmVyPC9BdXRob3I+PFllYXI+MjAwNzwvWWVhcj48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</w:fldData>
        </w:fldChar>
      </w:r>
      <w:r w:rsidR="00FB65A2">
        <w:rPr>
          <w:color w:val="000000"/>
        </w:rPr>
        <w:instrText xml:space="preserve"> ADDIN EN.CITE </w:instrText>
      </w:r>
      <w:r w:rsidR="00FB65A2">
        <w:rPr>
          <w:color w:val="000000"/>
        </w:rPr>
        <w:fldChar w:fldCharType="begin">
          <w:fldData xml:space="preserve">PEVuZE5vdGU+PENpdGU+PEF1dGhvcj5TY2hhZmVyPC9BdXRob3I+PFllYXI+MjAwNzwvWWVhcj48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</w:fldData>
        </w:fldChar>
      </w:r>
      <w:r w:rsidR="00FB65A2">
        <w:rPr>
          <w:color w:val="000000"/>
        </w:rPr>
        <w:instrText xml:space="preserve"> ADDIN EN.CITE.DATA </w:instrText>
      </w:r>
      <w:r w:rsidR="00FB65A2">
        <w:rPr>
          <w:color w:val="000000"/>
        </w:rPr>
      </w:r>
      <w:r w:rsidR="00FB65A2">
        <w:rPr>
          <w:color w:val="000000"/>
        </w:rPr>
        <w:fldChar w:fldCharType="end"/>
      </w:r>
      <w:r w:rsidR="00FB65A2" w:rsidRPr="001A6261">
        <w:rPr>
          <w:color w:val="000000"/>
        </w:rPr>
      </w:r>
      <w:r w:rsidR="00FB65A2" w:rsidRPr="001A6261">
        <w:rPr>
          <w:color w:val="000000"/>
        </w:rPr>
        <w:fldChar w:fldCharType="separate"/>
      </w:r>
      <w:r w:rsidR="00FB65A2">
        <w:rPr>
          <w:noProof/>
          <w:color w:val="000000"/>
        </w:rPr>
        <w:t>(</w:t>
      </w:r>
      <w:hyperlink w:anchor="_ENREF_369" w:tooltip="Schafer, 2007 #1028" w:history="1">
        <w:r w:rsidR="004A784D">
          <w:rPr>
            <w:noProof/>
            <w:color w:val="000000"/>
          </w:rPr>
          <w:t>Schafer and Brugge, 2007</w:t>
        </w:r>
      </w:hyperlink>
      <w:r w:rsidR="00FB65A2">
        <w:rPr>
          <w:noProof/>
          <w:color w:val="000000"/>
        </w:rPr>
        <w:t xml:space="preserve">, </w:t>
      </w:r>
      <w:hyperlink w:anchor="_ENREF_391" w:tooltip="Slattery, 2008 #1025" w:history="1">
        <w:r w:rsidR="004A784D">
          <w:rPr>
            <w:noProof/>
            <w:color w:val="000000"/>
          </w:rPr>
          <w:t>Slattery et al., 2008</w:t>
        </w:r>
      </w:hyperlink>
      <w:r w:rsidR="00FB65A2">
        <w:rPr>
          <w:noProof/>
          <w:color w:val="000000"/>
        </w:rPr>
        <w:t>)</w:t>
      </w:r>
      <w:r w:rsidR="00FB65A2" w:rsidRPr="001A6261">
        <w:rPr>
          <w:color w:val="000000"/>
        </w:rPr>
        <w:fldChar w:fldCharType="end"/>
      </w:r>
      <w:r w:rsidR="00FB65A2">
        <w:rPr>
          <w:color w:val="000000"/>
        </w:rPr>
        <w:t xml:space="preserve"> </w:t>
      </w:r>
      <w:r>
        <w:rPr>
          <w:color w:val="000000"/>
        </w:rPr>
        <w:t xml:space="preserve">However, </w:t>
      </w:r>
      <w:r w:rsidR="001A0382">
        <w:rPr>
          <w:color w:val="000000"/>
        </w:rPr>
        <w:t xml:space="preserve">the </w:t>
      </w:r>
      <w:r>
        <w:rPr>
          <w:color w:val="000000"/>
        </w:rPr>
        <w:t>author</w:t>
      </w:r>
      <w:r w:rsidR="001A0382">
        <w:rPr>
          <w:color w:val="000000"/>
        </w:rPr>
        <w:t>s</w:t>
      </w:r>
      <w:r>
        <w:rPr>
          <w:color w:val="000000"/>
        </w:rPr>
        <w:t xml:space="preserve"> were proposing that it was</w:t>
      </w:r>
      <w:r w:rsidRPr="001A6261">
        <w:rPr>
          <w:color w:val="000000"/>
        </w:rPr>
        <w:t xml:space="preserve"> difficult to distinguish</w:t>
      </w:r>
      <w:r>
        <w:rPr>
          <w:color w:val="000000"/>
        </w:rPr>
        <w:t xml:space="preserve"> whether this protein was</w:t>
      </w:r>
      <w:r w:rsidRPr="001A6261">
        <w:rPr>
          <w:color w:val="000000"/>
        </w:rPr>
        <w:t xml:space="preserve"> released directly from the tumour or whether IL-6 </w:t>
      </w:r>
      <w:r>
        <w:rPr>
          <w:color w:val="000000"/>
        </w:rPr>
        <w:t>higher abundance</w:t>
      </w:r>
      <w:r w:rsidRPr="001A6261">
        <w:rPr>
          <w:color w:val="000000"/>
        </w:rPr>
        <w:t xml:space="preserve"> </w:t>
      </w:r>
      <w:r>
        <w:rPr>
          <w:color w:val="000000"/>
        </w:rPr>
        <w:t>was</w:t>
      </w:r>
      <w:r w:rsidRPr="001A6261">
        <w:rPr>
          <w:color w:val="000000"/>
        </w:rPr>
        <w:t xml:space="preserve"> a systemic reaction to the </w:t>
      </w:r>
      <w:r>
        <w:rPr>
          <w:color w:val="000000"/>
        </w:rPr>
        <w:t xml:space="preserve">breast cancer </w:t>
      </w:r>
      <w:r w:rsidRPr="001A6261">
        <w:rPr>
          <w:color w:val="000000"/>
        </w:rPr>
        <w:t>tumour and</w:t>
      </w:r>
      <w:r>
        <w:rPr>
          <w:color w:val="000000"/>
        </w:rPr>
        <w:t xml:space="preserve"> consequently</w:t>
      </w:r>
      <w:r w:rsidRPr="001A6261">
        <w:rPr>
          <w:color w:val="000000"/>
        </w:rPr>
        <w:t xml:space="preserve"> released by non-tumour tissues.</w:t>
      </w:r>
      <w:r w:rsidR="00FB65A2">
        <w:rPr>
          <w:color w:val="000000"/>
        </w:rPr>
        <w:t xml:space="preserve"> </w:t>
      </w:r>
      <w:r>
        <w:rPr>
          <w:color w:val="000000"/>
        </w:rPr>
        <w:t xml:space="preserve"> </w:t>
      </w:r>
    </w:p>
    <w:p w:rsidR="00E676DF" w:rsidRDefault="00E676DF" w:rsidP="00057B42">
      <w:pPr>
        <w:spacing w:line="360" w:lineRule="auto"/>
        <w:jc w:val="both"/>
        <w:rPr>
          <w:color w:val="000000"/>
        </w:rPr>
      </w:pPr>
    </w:p>
    <w:p w:rsidR="00B61503" w:rsidRDefault="00B61503" w:rsidP="00057B42">
      <w:pPr>
        <w:spacing w:line="360" w:lineRule="auto"/>
        <w:jc w:val="both"/>
      </w:pPr>
      <w:r>
        <w:rPr>
          <w:color w:val="000000"/>
        </w:rPr>
        <w:t xml:space="preserve">In addition, </w:t>
      </w:r>
      <w:r>
        <w:t xml:space="preserve">other published </w:t>
      </w:r>
      <w:r>
        <w:rPr>
          <w:color w:val="000000"/>
        </w:rPr>
        <w:t xml:space="preserve">studies are also </w:t>
      </w:r>
      <w:r w:rsidRPr="001A6261">
        <w:t>providing evidence that valuable cancer</w:t>
      </w:r>
      <w:r>
        <w:t xml:space="preserve"> s</w:t>
      </w:r>
      <w:r w:rsidRPr="001A6261">
        <w:t>erum protein fragments or peptides markers</w:t>
      </w:r>
      <w:r>
        <w:t xml:space="preserve">, </w:t>
      </w:r>
      <w:r w:rsidRPr="001A6261">
        <w:t>may not always need to be derived directly from cancer cells</w:t>
      </w:r>
      <w:r>
        <w:t xml:space="preserve"> </w:t>
      </w:r>
      <w:r>
        <w:fldChar w:fldCharType="begin">
          <w:fldData xml:space="preserve">PEVuZE5vdGU+PENpdGU+PEF1dGhvcj5CaWVuPC9BdXRob3I+PFllYXI+MjAwODwvWWVhcj48UmVj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</w:fldData>
        </w:fldChar>
      </w:r>
      <w:r w:rsidR="006F41FE">
        <w:instrText xml:space="preserve"> ADDIN EN.CITE </w:instrText>
      </w:r>
      <w:r w:rsidR="006F41FE">
        <w:fldChar w:fldCharType="begin">
          <w:fldData xml:space="preserve">PEVuZE5vdGU+PENpdGU+PEF1dGhvcj5CaWVuPC9BdXRob3I+PFllYXI+MjAwODwvWWVhcj48UmVj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</w:fldData>
        </w:fldChar>
      </w:r>
      <w:r w:rsidR="006F41FE">
        <w:instrText xml:space="preserve"> ADDIN EN.CITE.DATA </w:instrText>
      </w:r>
      <w:r w:rsidR="006F41FE">
        <w:fldChar w:fldCharType="end"/>
      </w:r>
      <w:r>
        <w:fldChar w:fldCharType="separate"/>
      </w:r>
      <w:r w:rsidR="006F41FE">
        <w:rPr>
          <w:noProof/>
        </w:rPr>
        <w:t>(</w:t>
      </w:r>
      <w:hyperlink w:anchor="_ENREF_44" w:tooltip="Bien, 2008 #4931" w:history="1">
        <w:r w:rsidR="004A784D">
          <w:rPr>
            <w:noProof/>
          </w:rPr>
          <w:t>Bien and Balcerska, 2008</w:t>
        </w:r>
      </w:hyperlink>
      <w:r w:rsidR="006F41FE">
        <w:rPr>
          <w:noProof/>
        </w:rPr>
        <w:t xml:space="preserve">, </w:t>
      </w:r>
      <w:hyperlink w:anchor="_ENREF_416" w:tooltip="Theodorescu, 2008 #4932" w:history="1">
        <w:r w:rsidR="004A784D">
          <w:rPr>
            <w:noProof/>
          </w:rPr>
          <w:t>Theodorescu et al., 2008</w:t>
        </w:r>
      </w:hyperlink>
      <w:r w:rsidR="006F41FE">
        <w:rPr>
          <w:noProof/>
        </w:rPr>
        <w:t>)</w:t>
      </w:r>
      <w:r>
        <w:fldChar w:fldCharType="end"/>
      </w:r>
      <w:r>
        <w:t xml:space="preserve">. We also suggest that discovered </w:t>
      </w:r>
      <w:r w:rsidRPr="001A6261">
        <w:rPr>
          <w:color w:val="000000"/>
        </w:rPr>
        <w:t>differentially expressed</w:t>
      </w:r>
      <w:r>
        <w:t xml:space="preserve"> protein biomarkers might have </w:t>
      </w:r>
      <w:r w:rsidRPr="001A6261">
        <w:t xml:space="preserve">derived indirectly from cancer antigens </w:t>
      </w:r>
      <w:r>
        <w:t>through microenvironment interaction.</w:t>
      </w:r>
    </w:p>
    <w:p w:rsidR="002E7FDB" w:rsidRDefault="002E7FDB" w:rsidP="00057B42">
      <w:pPr>
        <w:spacing w:line="360" w:lineRule="auto"/>
        <w:jc w:val="both"/>
      </w:pPr>
    </w:p>
    <w:p w:rsidR="00B61503" w:rsidRDefault="00B61503" w:rsidP="00057B42">
      <w:pPr>
        <w:spacing w:line="360" w:lineRule="auto"/>
        <w:jc w:val="both"/>
      </w:pPr>
      <w:r>
        <w:t>On other hand, t</w:t>
      </w:r>
      <w:r w:rsidRPr="001A6261">
        <w:t>he quantitative changes of serum Hp, SAA, ZAG and VDB are well known acu</w:t>
      </w:r>
      <w:r>
        <w:t>te-phase reactants proteins. Thi</w:t>
      </w:r>
      <w:r w:rsidRPr="001A6261">
        <w:t>s might reflect changes in these proteins as manifestation of their roles in the pathophysiologic developme</w:t>
      </w:r>
      <w:r>
        <w:t>nt and propagation of MM or</w:t>
      </w:r>
      <w:r w:rsidRPr="001A6261">
        <w:t xml:space="preserve"> simply a nonspecific indicators of an inflammatory or immune status of myeloma patient and their respective response to anti myeloma treatment; thalidomide.</w:t>
      </w:r>
      <w:r>
        <w:t xml:space="preserve"> </w:t>
      </w:r>
      <w:r w:rsidRPr="001A6261">
        <w:t xml:space="preserve"> </w:t>
      </w:r>
    </w:p>
    <w:p w:rsidR="00B61503" w:rsidRPr="001A6261" w:rsidRDefault="00B61503" w:rsidP="00645687">
      <w:pPr>
        <w:pStyle w:val="Heading2"/>
        <w:numPr>
          <w:ilvl w:val="2"/>
          <w:numId w:val="19"/>
        </w:numPr>
      </w:pPr>
      <w:r>
        <w:rPr>
          <w:sz w:val="24"/>
          <w:szCs w:val="24"/>
        </w:rPr>
        <w:br w:type="page"/>
      </w:r>
      <w:r>
        <w:rPr>
          <w:sz w:val="24"/>
          <w:szCs w:val="24"/>
        </w:rPr>
        <w:lastRenderedPageBreak/>
        <w:tab/>
      </w:r>
      <w:r w:rsidRPr="001A6261">
        <w:rPr>
          <w:sz w:val="24"/>
          <w:szCs w:val="24"/>
        </w:rPr>
        <w:t xml:space="preserve"> </w:t>
      </w:r>
      <w:bookmarkStart w:id="2011" w:name="_Toc305690108"/>
      <w:bookmarkStart w:id="2012" w:name="_Toc306570800"/>
      <w:bookmarkStart w:id="2013" w:name="_Toc307067861"/>
      <w:bookmarkStart w:id="2014" w:name="_Toc312169427"/>
      <w:bookmarkStart w:id="2015" w:name="_Toc312172354"/>
      <w:bookmarkStart w:id="2016" w:name="_Toc312257903"/>
      <w:r w:rsidRPr="001A6261">
        <w:t>Impact and correlation between additional biological parameters and efficacy potential biomarkers</w:t>
      </w:r>
      <w:bookmarkEnd w:id="2011"/>
      <w:bookmarkEnd w:id="2012"/>
      <w:bookmarkEnd w:id="2013"/>
      <w:bookmarkEnd w:id="2014"/>
      <w:bookmarkEnd w:id="2015"/>
      <w:bookmarkEnd w:id="2016"/>
    </w:p>
    <w:p w:rsidR="00B61503" w:rsidRDefault="00B61503" w:rsidP="00000025">
      <w:pPr>
        <w:spacing w:before="240" w:line="360" w:lineRule="auto"/>
        <w:jc w:val="both"/>
        <w:rPr>
          <w:color w:val="000000"/>
        </w:rPr>
      </w:pPr>
      <w:r w:rsidRPr="001A6261">
        <w:rPr>
          <w:color w:val="000000"/>
        </w:rPr>
        <w:t xml:space="preserve">In this study we also comprehensively analysed and correlated the predictive value of various laboratory variables with standard clinical parameters used in </w:t>
      </w:r>
      <w:r>
        <w:rPr>
          <w:color w:val="000000"/>
        </w:rPr>
        <w:t>MM</w:t>
      </w:r>
      <w:r w:rsidRPr="001A6261">
        <w:rPr>
          <w:color w:val="000000"/>
        </w:rPr>
        <w:t xml:space="preserve"> patients</w:t>
      </w:r>
      <w:r>
        <w:rPr>
          <w:color w:val="000000"/>
        </w:rPr>
        <w:t xml:space="preserve"> such as serum </w:t>
      </w:r>
      <w:r w:rsidRPr="00E25602">
        <w:rPr>
          <w:color w:val="000000"/>
        </w:rPr>
        <w:t>C-reactive protein (CRP)</w:t>
      </w:r>
      <w:r>
        <w:rPr>
          <w:color w:val="000000"/>
        </w:rPr>
        <w:t>, serum haemoglobin and</w:t>
      </w:r>
      <w:r w:rsidR="00493517">
        <w:rPr>
          <w:color w:val="000000"/>
        </w:rPr>
        <w:t xml:space="preserve"> patient</w:t>
      </w:r>
      <w:r w:rsidRPr="001A6261">
        <w:rPr>
          <w:color w:val="000000"/>
        </w:rPr>
        <w:t xml:space="preserve"> age at diagnosis</w:t>
      </w:r>
      <w:r>
        <w:rPr>
          <w:color w:val="000000"/>
        </w:rPr>
        <w:t xml:space="preserve"> and their correlation with response to thalidomide</w:t>
      </w:r>
      <w:r w:rsidRPr="001A6261">
        <w:rPr>
          <w:color w:val="000000"/>
        </w:rPr>
        <w:t xml:space="preserve">. </w:t>
      </w:r>
      <w:r>
        <w:rPr>
          <w:color w:val="000000"/>
        </w:rPr>
        <w:t>W</w:t>
      </w:r>
      <w:r w:rsidRPr="001A6261">
        <w:rPr>
          <w:color w:val="000000"/>
        </w:rPr>
        <w:t xml:space="preserve">e also assess the influence of </w:t>
      </w:r>
      <w:r>
        <w:rPr>
          <w:color w:val="000000"/>
        </w:rPr>
        <w:t>these parameters</w:t>
      </w:r>
      <w:r w:rsidRPr="001A6261">
        <w:rPr>
          <w:color w:val="000000"/>
        </w:rPr>
        <w:t xml:space="preserve"> on the predictive capability of discovered biomarker</w:t>
      </w:r>
      <w:r>
        <w:rPr>
          <w:color w:val="000000"/>
        </w:rPr>
        <w:t xml:space="preserve"> as described below.</w:t>
      </w:r>
    </w:p>
    <w:p w:rsidR="00B61503" w:rsidRPr="001A6261" w:rsidRDefault="00B61503" w:rsidP="00057B42">
      <w:pPr>
        <w:spacing w:line="360" w:lineRule="auto"/>
        <w:jc w:val="both"/>
        <w:rPr>
          <w:color w:val="000000"/>
        </w:rPr>
      </w:pPr>
    </w:p>
    <w:p w:rsidR="00B61503" w:rsidRPr="001A6261" w:rsidRDefault="00B61503" w:rsidP="00645687">
      <w:pPr>
        <w:pStyle w:val="Heading2"/>
        <w:numPr>
          <w:ilvl w:val="3"/>
          <w:numId w:val="19"/>
        </w:numPr>
      </w:pPr>
      <w:bookmarkStart w:id="2017" w:name="_Toc305690109"/>
      <w:bookmarkStart w:id="2018" w:name="_Toc306570801"/>
      <w:bookmarkStart w:id="2019" w:name="_Toc307067862"/>
      <w:bookmarkStart w:id="2020" w:name="_Toc312169428"/>
      <w:bookmarkStart w:id="2021" w:name="_Toc312172355"/>
      <w:bookmarkStart w:id="2022" w:name="_Toc312257904"/>
      <w:r>
        <w:t>CRP</w:t>
      </w:r>
      <w:r w:rsidRPr="001A6261">
        <w:t xml:space="preserve"> and response to thalidomide</w:t>
      </w:r>
      <w:bookmarkEnd w:id="2017"/>
      <w:bookmarkEnd w:id="2018"/>
      <w:bookmarkEnd w:id="2019"/>
      <w:bookmarkEnd w:id="2020"/>
      <w:bookmarkEnd w:id="2021"/>
      <w:bookmarkEnd w:id="2022"/>
    </w:p>
    <w:p w:rsidR="00B61503" w:rsidRDefault="00B61503" w:rsidP="00645687">
      <w:pPr>
        <w:pStyle w:val="Heading2"/>
        <w:numPr>
          <w:ilvl w:val="4"/>
          <w:numId w:val="19"/>
        </w:numPr>
      </w:pPr>
      <w:bookmarkStart w:id="2023" w:name="_Toc305690110"/>
      <w:bookmarkStart w:id="2024" w:name="_Toc306570802"/>
      <w:bookmarkStart w:id="2025" w:name="_Toc307067863"/>
      <w:bookmarkStart w:id="2026" w:name="_Toc312169429"/>
      <w:bookmarkStart w:id="2027" w:name="_Toc312172356"/>
      <w:bookmarkStart w:id="2028" w:name="_Toc312257905"/>
      <w:r w:rsidRPr="001A6261">
        <w:t>Background</w:t>
      </w:r>
      <w:bookmarkEnd w:id="2023"/>
      <w:bookmarkEnd w:id="2024"/>
      <w:bookmarkEnd w:id="2025"/>
      <w:bookmarkEnd w:id="2026"/>
      <w:bookmarkEnd w:id="2027"/>
      <w:bookmarkEnd w:id="2028"/>
    </w:p>
    <w:p w:rsidR="00B61503" w:rsidRDefault="00B61503" w:rsidP="00FB65A2">
      <w:pPr>
        <w:spacing w:before="240" w:line="360" w:lineRule="auto"/>
        <w:jc w:val="both"/>
        <w:rPr>
          <w:color w:val="000000"/>
        </w:rPr>
      </w:pPr>
      <w:r w:rsidRPr="001A6261">
        <w:rPr>
          <w:color w:val="000000"/>
        </w:rPr>
        <w:t>CRP is produced by the liver and can be detected in blood serum by using an immunological test. CRP is secreted systemically during the process of inflammation in response to the inflammatory cytokine IL-6. The blood level of CRP is elevated in patients with in</w:t>
      </w:r>
      <w:r>
        <w:rPr>
          <w:color w:val="000000"/>
        </w:rPr>
        <w:t>fections, inflammatory diseases and</w:t>
      </w:r>
      <w:r w:rsidRPr="001A6261">
        <w:rPr>
          <w:color w:val="000000"/>
        </w:rPr>
        <w:t xml:space="preserve"> some cardiovascular diseases. </w:t>
      </w:r>
    </w:p>
    <w:p w:rsidR="00B61503" w:rsidRDefault="00B61503" w:rsidP="00645687">
      <w:pPr>
        <w:pStyle w:val="Heading2"/>
        <w:numPr>
          <w:ilvl w:val="4"/>
          <w:numId w:val="19"/>
        </w:numPr>
      </w:pPr>
      <w:bookmarkStart w:id="2029" w:name="_Toc305690111"/>
      <w:bookmarkStart w:id="2030" w:name="_Toc306570803"/>
      <w:bookmarkStart w:id="2031" w:name="_Toc307067864"/>
      <w:bookmarkStart w:id="2032" w:name="_Toc312169430"/>
      <w:bookmarkStart w:id="2033" w:name="_Toc312172357"/>
      <w:bookmarkStart w:id="2034" w:name="_Toc312257906"/>
      <w:r w:rsidRPr="001A6261">
        <w:t>Serum CRP</w:t>
      </w:r>
      <w:r>
        <w:t xml:space="preserve"> and cancer</w:t>
      </w:r>
      <w:bookmarkEnd w:id="2029"/>
      <w:bookmarkEnd w:id="2030"/>
      <w:bookmarkEnd w:id="2031"/>
      <w:bookmarkEnd w:id="2032"/>
      <w:bookmarkEnd w:id="2033"/>
      <w:bookmarkEnd w:id="2034"/>
    </w:p>
    <w:p w:rsidR="00B61503" w:rsidRDefault="00B61503" w:rsidP="00FB65A2">
      <w:pPr>
        <w:spacing w:before="240" w:line="360" w:lineRule="auto"/>
        <w:jc w:val="both"/>
      </w:pPr>
      <w:r w:rsidRPr="001A6261">
        <w:t>Serum CRP has also been found to be elevated in patients with many malignancies, implying a close linkage between inflammation and malignancy including gastric. Prospective studies have shown a higher risk of developing cancer in those with elevated serum CRP. Elevated CRP is a determinant predictor of lower survival rates in patients with several other cancers, including oesophageal, colorectal, hepatocellular, pan</w:t>
      </w:r>
      <w:r>
        <w:t>creatic, urinary bladder, renal,</w:t>
      </w:r>
      <w:r w:rsidRPr="001A6261">
        <w:t xml:space="preserve"> </w:t>
      </w:r>
      <w:r>
        <w:t>ovarian and cervical cancer</w:t>
      </w:r>
      <w:r w:rsidR="00715389">
        <w:t xml:space="preserve"> after surgical resection.</w:t>
      </w:r>
    </w:p>
    <w:p w:rsidR="00B61503" w:rsidRDefault="00B61503" w:rsidP="00645687">
      <w:pPr>
        <w:pStyle w:val="Heading2"/>
        <w:numPr>
          <w:ilvl w:val="4"/>
          <w:numId w:val="19"/>
        </w:numPr>
      </w:pPr>
      <w:bookmarkStart w:id="2035" w:name="_Toc305690112"/>
      <w:bookmarkStart w:id="2036" w:name="_Toc306570804"/>
      <w:bookmarkStart w:id="2037" w:name="_Toc307067865"/>
      <w:bookmarkStart w:id="2038" w:name="_Toc312169431"/>
      <w:bookmarkStart w:id="2039" w:name="_Toc312172358"/>
      <w:bookmarkStart w:id="2040" w:name="_Toc312257907"/>
      <w:r w:rsidRPr="001A6261">
        <w:t xml:space="preserve">CRP and </w:t>
      </w:r>
      <w:r>
        <w:t>MM</w:t>
      </w:r>
      <w:bookmarkEnd w:id="2035"/>
      <w:bookmarkEnd w:id="2036"/>
      <w:bookmarkEnd w:id="2037"/>
      <w:bookmarkEnd w:id="2038"/>
      <w:bookmarkEnd w:id="2039"/>
      <w:bookmarkEnd w:id="2040"/>
    </w:p>
    <w:p w:rsidR="00B61503" w:rsidRPr="001A6261" w:rsidRDefault="00B61503" w:rsidP="00FB65A2">
      <w:pPr>
        <w:spacing w:before="240" w:line="360" w:lineRule="auto"/>
        <w:jc w:val="both"/>
        <w:rPr>
          <w:color w:val="000000"/>
        </w:rPr>
      </w:pPr>
      <w:r w:rsidRPr="001A6261">
        <w:rPr>
          <w:color w:val="000000"/>
        </w:rPr>
        <w:t xml:space="preserve">Active myeloma disease is significantly more common among patients with biologic evidence of inflammation, as compared with myeloma patients without biologic inflammation (Dubost, Ristori et al. 1991; Alexandrakis, Passam et al. 2003), In addition the elevations of CRP serum levels in newly diagnosed MM patients have </w:t>
      </w:r>
      <w:r w:rsidRPr="001A6261">
        <w:rPr>
          <w:color w:val="000000"/>
        </w:rPr>
        <w:lastRenderedPageBreak/>
        <w:t xml:space="preserve">been consistently associated with a poor prognosis (Bataille et al, 1992; Tienhaara et al, 1994; Durie et al, 2003).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These results may suggest that inflammation may play a role in the pathophysiology of MM including response or resistance to immunomodulatory therapy. On other hand, it is a non-specific marker; an elevated CRP level indicates inflammation but won’t tell us where exactly it is located. So we might have high CRP levels due to a simple cold, arthritis or </w:t>
      </w:r>
      <w:r>
        <w:rPr>
          <w:color w:val="000000"/>
        </w:rPr>
        <w:t>an</w:t>
      </w:r>
      <w:r w:rsidRPr="001A6261">
        <w:rPr>
          <w:color w:val="000000"/>
        </w:rPr>
        <w:t xml:space="preserve"> infection rather than resistant myeloma cells. </w:t>
      </w:r>
    </w:p>
    <w:p w:rsidR="002E7FDB" w:rsidRPr="001A6261" w:rsidRDefault="002E7FDB"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 xml:space="preserve">A recent study also suggested that serum CRP level can predict the final outcome of patients with MM receiving an anthracycline/thalidomide–based regimen indicating a powerful prognostic factor (Offidani, Corvatta et al. 2008).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Therefore in this study, we also assess</w:t>
      </w:r>
      <w:r w:rsidR="00FB65A2">
        <w:rPr>
          <w:color w:val="000000"/>
        </w:rPr>
        <w:t>ed</w:t>
      </w:r>
      <w:r w:rsidRPr="001A6261">
        <w:rPr>
          <w:color w:val="000000"/>
        </w:rPr>
        <w:t xml:space="preserve"> the influence of CRP on the predictive capability of </w:t>
      </w:r>
      <w:r w:rsidR="00FB65A2">
        <w:rPr>
          <w:color w:val="000000"/>
        </w:rPr>
        <w:t xml:space="preserve">the </w:t>
      </w:r>
      <w:r w:rsidRPr="001A6261">
        <w:rPr>
          <w:color w:val="000000"/>
        </w:rPr>
        <w:t>discovered biomarker</w:t>
      </w:r>
      <w:r w:rsidR="00FB65A2">
        <w:rPr>
          <w:color w:val="000000"/>
        </w:rPr>
        <w:t>s</w:t>
      </w:r>
      <w:r w:rsidRPr="001A6261">
        <w:rPr>
          <w:color w:val="000000"/>
        </w:rPr>
        <w:t>. The ROC curves were generated from the serum CRP, ELISA data and showed an AUC 0.40 with sensitivity of</w:t>
      </w:r>
      <w:r w:rsidR="000D641E">
        <w:rPr>
          <w:color w:val="000000"/>
        </w:rPr>
        <w:t xml:space="preserve"> 59.1 and specificity of 65.5 (</w:t>
      </w:r>
      <w:r w:rsidR="00FB65A2">
        <w:rPr>
          <w:color w:val="000000"/>
        </w:rPr>
        <w:t xml:space="preserve">Table 3-10 and </w:t>
      </w:r>
      <w:r w:rsidR="000D641E">
        <w:rPr>
          <w:color w:val="000000"/>
        </w:rPr>
        <w:t>Figure 3-42</w:t>
      </w:r>
      <w:r w:rsidRPr="001A6261">
        <w:rPr>
          <w:color w:val="000000"/>
        </w:rPr>
        <w:t>). This data signifies that CRP</w:t>
      </w:r>
      <w:r w:rsidR="00FB65A2">
        <w:rPr>
          <w:color w:val="000000"/>
        </w:rPr>
        <w:t>,</w:t>
      </w:r>
      <w:r w:rsidRPr="001A6261">
        <w:rPr>
          <w:color w:val="000000"/>
        </w:rPr>
        <w:t xml:space="preserve"> </w:t>
      </w:r>
      <w:r>
        <w:rPr>
          <w:color w:val="000000"/>
        </w:rPr>
        <w:t>as an isolated protein marker</w:t>
      </w:r>
      <w:r w:rsidRPr="001A6261">
        <w:rPr>
          <w:color w:val="000000"/>
        </w:rPr>
        <w:t xml:space="preserve"> has poor discriminatory significance for predicting response to thalidomide. In further analysis, the addition of MM patients serum CRP concentration to our constructive biomarker model also failed to improve its predictive capability for the response to thalidomide based therapy (</w:t>
      </w:r>
      <w:r w:rsidR="0010315E" w:rsidRPr="0010315E">
        <w:rPr>
          <w:i/>
          <w:color w:val="000000"/>
        </w:rPr>
        <w:t>p=</w:t>
      </w:r>
      <w:r w:rsidRPr="001A6261">
        <w:rPr>
          <w:color w:val="000000"/>
        </w:rPr>
        <w:t xml:space="preserve">0.77). </w:t>
      </w:r>
    </w:p>
    <w:p w:rsidR="002E7FDB" w:rsidRPr="001A6261" w:rsidRDefault="002E7FDB" w:rsidP="00057B42">
      <w:pPr>
        <w:spacing w:line="360" w:lineRule="auto"/>
        <w:jc w:val="both"/>
        <w:rPr>
          <w:color w:val="000000"/>
        </w:rPr>
      </w:pPr>
    </w:p>
    <w:p w:rsidR="00B61503" w:rsidRPr="001A6261" w:rsidRDefault="00B61503" w:rsidP="00057B42">
      <w:pPr>
        <w:spacing w:line="360" w:lineRule="auto"/>
        <w:jc w:val="both"/>
        <w:rPr>
          <w:color w:val="000000"/>
        </w:rPr>
      </w:pPr>
      <w:r w:rsidRPr="001A6261">
        <w:rPr>
          <w:color w:val="000000"/>
        </w:rPr>
        <w:t>Therefore CRP might be closely associated with the progression and survival rate of patients with many types of malignancies including MM</w:t>
      </w:r>
      <w:r w:rsidR="00493517">
        <w:rPr>
          <w:color w:val="000000"/>
        </w:rPr>
        <w:t xml:space="preserve"> </w:t>
      </w:r>
      <w:r w:rsidR="00493517">
        <w:rPr>
          <w:color w:val="000000"/>
        </w:rPr>
        <w:fldChar w:fldCharType="begin"/>
      </w:r>
      <w:r w:rsidR="00493517">
        <w:rPr>
          <w:color w:val="000000"/>
        </w:rPr>
        <w:instrText xml:space="preserve"> ADDIN EN.CITE &lt;EndNote&gt;&lt;Cite&gt;&lt;Author&gt;Adam&lt;/Author&gt;&lt;Year&gt;2008&lt;/Year&gt;&lt;RecNum&gt;5021&lt;/RecNum&gt;&lt;DisplayText&gt;(Adam et al., 2008)&lt;/DisplayText&gt;&lt;record&gt;&lt;rec-number&gt;5021&lt;/rec-number&gt;&lt;foreign-keys&gt;&lt;key app="EN" db-id="zf0awxsaczrdd3eft5qvw9wrtxxawdfrvw2a"&gt;5021&lt;/key&gt;&lt;/foreign-keys&gt;&lt;ref-type name="Journal Article"&gt;17&lt;/ref-type&gt;&lt;contributors&gt;&lt;authors&gt;&lt;author&gt;Adam, Z.&lt;/author&gt;&lt;author&gt;Krejci, M.&lt;/author&gt;&lt;author&gt;Pour, L.&lt;/author&gt;&lt;author&gt;Neubauer, J.&lt;/author&gt;&lt;author&gt;Prasek, J.&lt;/author&gt;&lt;author&gt;Hajek, R.&lt;/author&gt;&lt;/authors&gt;&lt;/contributors&gt;&lt;auth-address&gt;Interni hematoonkologicka klinika Lekarske fakulty MU a FN Brno. z.adam@fnbrno.cz&lt;/auth-address&gt;&lt;titles&gt;&lt;title&gt;[Schnitzler syndrome--report on a fourteen-year course of the disease and an overview of information on the disease]&lt;/title&gt;&lt;secondary-title&gt;Vnitr Lek&lt;/secondary-title&gt;&lt;/titles&gt;&lt;periodical&gt;&lt;full-title&gt;Vnitr Lek&lt;/full-title&gt;&lt;/periodical&gt;&lt;pages&gt;1140-53&lt;/pages&gt;&lt;volume&gt;54&lt;/volume&gt;&lt;number&gt;12&lt;/number&gt;&lt;edition&gt;2009/01/15&lt;/edition&gt;&lt;keywords&gt;&lt;keyword&gt;Aged&lt;/keyword&gt;&lt;keyword&gt;Humans&lt;/keyword&gt;&lt;keyword&gt;Male&lt;/keyword&gt;&lt;keyword&gt;*Schnitzler Syndrome/diagnosis/therapy&lt;/keyword&gt;&lt;/keywords&gt;&lt;dates&gt;&lt;year&gt;2008&lt;/year&gt;&lt;pub-dates&gt;&lt;date&gt;Dec&lt;/date&gt;&lt;/pub-dates&gt;&lt;/dates&gt;&lt;orig-pub&gt;Schnitzleruv syndrom--popis ctrnactileteho prubehu nemoci a prehled informaci o teto nemoci.&lt;/orig-pub&gt;&lt;isbn&gt;0042-773X (Print)&amp;#xD;0042-773X (Linking)&lt;/isbn&gt;&lt;accession-num&gt;19140523&lt;/accession-num&gt;&lt;urls&gt;&lt;related-urls&gt;&lt;url&gt;http://www.ncbi.nlm.nih.gov/pubmed/19140523&lt;/url&gt;&lt;/related-urls&gt;&lt;/urls&gt;&lt;language&gt;cze&lt;/language&gt;&lt;/record&gt;&lt;/Cite&gt;&lt;/EndNote&gt;</w:instrText>
      </w:r>
      <w:r w:rsidR="00493517">
        <w:rPr>
          <w:color w:val="000000"/>
        </w:rPr>
        <w:fldChar w:fldCharType="separate"/>
      </w:r>
      <w:r w:rsidR="00493517">
        <w:rPr>
          <w:noProof/>
          <w:color w:val="000000"/>
        </w:rPr>
        <w:t>(</w:t>
      </w:r>
      <w:hyperlink w:anchor="_ENREF_4" w:tooltip="Adam, 2008 #5021" w:history="1">
        <w:r w:rsidR="004A784D">
          <w:rPr>
            <w:noProof/>
            <w:color w:val="000000"/>
          </w:rPr>
          <w:t>Adam et al., 2008</w:t>
        </w:r>
      </w:hyperlink>
      <w:r w:rsidR="00493517">
        <w:rPr>
          <w:noProof/>
          <w:color w:val="000000"/>
        </w:rPr>
        <w:t>)</w:t>
      </w:r>
      <w:r w:rsidR="00493517">
        <w:rPr>
          <w:color w:val="000000"/>
        </w:rPr>
        <w:fldChar w:fldCharType="end"/>
      </w:r>
      <w:r w:rsidRPr="001A6261">
        <w:rPr>
          <w:color w:val="000000"/>
        </w:rPr>
        <w:t>. It may also serve as an additional prognostic predictor for survival and post-treatment monitoring MM patients</w:t>
      </w:r>
      <w:r w:rsidR="001B68DA">
        <w:rPr>
          <w:color w:val="000000"/>
        </w:rPr>
        <w:t xml:space="preserve"> </w:t>
      </w:r>
      <w:r w:rsidR="001B68DA">
        <w:rPr>
          <w:color w:val="000000"/>
        </w:rPr>
        <w:fldChar w:fldCharType="begin"/>
      </w:r>
      <w:r w:rsidR="001B68DA">
        <w:rPr>
          <w:color w:val="000000"/>
        </w:rPr>
        <w:instrText xml:space="preserve"> ADDIN EN.CITE &lt;EndNote&gt;&lt;Cite&gt;&lt;Author&gt;Amrani Hassani&lt;/Author&gt;&lt;Year&gt;2010&lt;/Year&gt;&lt;RecNum&gt;6498&lt;/RecNum&gt;&lt;DisplayText&gt;(Amrani Hassani et al., 2010)&lt;/DisplayText&gt;&lt;record&gt;&lt;rec-number&gt;6498&lt;/rec-number&gt;&lt;foreign-keys&gt;&lt;key app="EN" db-id="zf0awxsaczrdd3eft5qvw9wrtxxawdfrvw2a"&gt;6498&lt;/key&gt;&lt;/foreign-keys&gt;&lt;ref-type name="Journal Article"&gt;17&lt;/ref-type&gt;&lt;contributors&gt;&lt;authors&gt;&lt;author&gt;Amrani Hassani, M.&lt;/author&gt;&lt;author&gt;Filali Baba, A.&lt;/author&gt;&lt;author&gt;Alami, M.&lt;/author&gt;&lt;author&gt;Lahlou, H.&lt;/author&gt;&lt;/authors&gt;&lt;/contributors&gt;&lt;auth-address&gt;CHU Hassan-II Laboratoire central d&amp;apos;analyses medicales Laboratoire d&amp;apos;hematologie BP 1835 Atlas Fes Maroc.&lt;/auth-address&gt;&lt;titles&gt;&lt;title&gt;[Laboratory diagnostic and prognostic factors: Multiple myeloma in Morocco.]&lt;/title&gt;&lt;secondary-title&gt;Sante&lt;/secondary-title&gt;&lt;/titles&gt;&lt;periodical&gt;&lt;full-title&gt;Sante&lt;/full-title&gt;&lt;/periodical&gt;&lt;pages&gt;209-213&lt;/pages&gt;&lt;volume&gt;20&lt;/volume&gt;&lt;number&gt;4&lt;/number&gt;&lt;edition&gt;2011/02/16&lt;/edition&gt;&lt;dates&gt;&lt;year&gt;2010&lt;/year&gt;&lt;pub-dates&gt;&lt;date&gt;Oct 1&lt;/date&gt;&lt;/pub-dates&gt;&lt;/dates&gt;&lt;orig-pub&gt;Elements du diagnostic biologique et pronostique du myelome multiple : place d&amp;apos;une etude marocaine.&lt;/orig-pub&gt;&lt;isbn&gt;1157-5999 (Print)&amp;#xD;1157-5999 (Linking)&lt;/isbn&gt;&lt;accession-num&gt;21320814&lt;/accession-num&gt;&lt;urls&gt;&lt;related-urls&gt;&lt;url&gt;http://www.ncbi.nlm.nih.gov/pubmed/21320814&lt;/url&gt;&lt;/related-urls&gt;&lt;/urls&gt;&lt;electronic-resource-num&gt;san.2010.0214 [pii]&amp;#xD;10.1684/san.2010.0214&lt;/electronic-resource-num&gt;&lt;language&gt;Fre&lt;/language&gt;&lt;/record&gt;&lt;/Cite&gt;&lt;/EndNote&gt;</w:instrText>
      </w:r>
      <w:r w:rsidR="001B68DA">
        <w:rPr>
          <w:color w:val="000000"/>
        </w:rPr>
        <w:fldChar w:fldCharType="separate"/>
      </w:r>
      <w:r w:rsidR="001B68DA">
        <w:rPr>
          <w:noProof/>
          <w:color w:val="000000"/>
        </w:rPr>
        <w:t>(</w:t>
      </w:r>
      <w:hyperlink w:anchor="_ENREF_16" w:tooltip="Amrani Hassani, 2010 #6498" w:history="1">
        <w:r w:rsidR="004A784D">
          <w:rPr>
            <w:noProof/>
            <w:color w:val="000000"/>
          </w:rPr>
          <w:t>Amrani Hassani et al., 2010</w:t>
        </w:r>
      </w:hyperlink>
      <w:r w:rsidR="001B68DA">
        <w:rPr>
          <w:noProof/>
          <w:color w:val="000000"/>
        </w:rPr>
        <w:t>)</w:t>
      </w:r>
      <w:r w:rsidR="001B68DA">
        <w:rPr>
          <w:color w:val="000000"/>
        </w:rPr>
        <w:fldChar w:fldCharType="end"/>
      </w:r>
      <w:r w:rsidRPr="001A6261">
        <w:rPr>
          <w:color w:val="000000"/>
        </w:rPr>
        <w:t xml:space="preserve">. However, patients’ serum CRP level is poorly correlated with </w:t>
      </w:r>
      <w:r>
        <w:rPr>
          <w:color w:val="000000"/>
        </w:rPr>
        <w:t xml:space="preserve">potential prediction of </w:t>
      </w:r>
      <w:r w:rsidRPr="001A6261">
        <w:rPr>
          <w:color w:val="000000"/>
        </w:rPr>
        <w:t>response to thalidomide</w:t>
      </w:r>
      <w:r>
        <w:rPr>
          <w:color w:val="000000"/>
        </w:rPr>
        <w:t xml:space="preserve"> based therapy</w:t>
      </w:r>
      <w:r w:rsidRPr="001A6261">
        <w:rPr>
          <w:color w:val="000000"/>
        </w:rPr>
        <w:t>.</w:t>
      </w:r>
    </w:p>
    <w:p w:rsidR="00FB65A2" w:rsidRDefault="00FB65A2">
      <w:pPr>
        <w:rPr>
          <w:rFonts w:cs="Arial"/>
          <w:b/>
          <w:bCs/>
          <w:iCs/>
          <w:sz w:val="26"/>
          <w:szCs w:val="26"/>
          <w:lang w:eastAsia="en-US"/>
        </w:rPr>
      </w:pPr>
      <w:bookmarkStart w:id="2041" w:name="_Toc305690113"/>
      <w:bookmarkStart w:id="2042" w:name="_Toc306570805"/>
      <w:bookmarkStart w:id="2043" w:name="_Toc307067866"/>
      <w:r>
        <w:br w:type="page"/>
      </w:r>
    </w:p>
    <w:p w:rsidR="00B61503" w:rsidRPr="001A6261" w:rsidRDefault="00B61503" w:rsidP="00645687">
      <w:pPr>
        <w:pStyle w:val="Heading2"/>
        <w:numPr>
          <w:ilvl w:val="3"/>
          <w:numId w:val="19"/>
        </w:numPr>
      </w:pPr>
      <w:bookmarkStart w:id="2044" w:name="_Toc312169432"/>
      <w:bookmarkStart w:id="2045" w:name="_Toc312172359"/>
      <w:bookmarkStart w:id="2046" w:name="_Toc312257908"/>
      <w:r w:rsidRPr="001A6261">
        <w:lastRenderedPageBreak/>
        <w:t>Patients age at diagnosis and response to thalidomide</w:t>
      </w:r>
      <w:bookmarkEnd w:id="2041"/>
      <w:bookmarkEnd w:id="2042"/>
      <w:bookmarkEnd w:id="2043"/>
      <w:bookmarkEnd w:id="2044"/>
      <w:bookmarkEnd w:id="2045"/>
      <w:bookmarkEnd w:id="2046"/>
    </w:p>
    <w:p w:rsidR="00B61503" w:rsidRDefault="00B61503" w:rsidP="00645687">
      <w:pPr>
        <w:pStyle w:val="Heading2"/>
        <w:numPr>
          <w:ilvl w:val="4"/>
          <w:numId w:val="19"/>
        </w:numPr>
      </w:pPr>
      <w:bookmarkStart w:id="2047" w:name="_Toc305690114"/>
      <w:bookmarkStart w:id="2048" w:name="_Toc306570806"/>
      <w:bookmarkStart w:id="2049" w:name="_Toc307067867"/>
      <w:bookmarkStart w:id="2050" w:name="_Toc312169433"/>
      <w:bookmarkStart w:id="2051" w:name="_Toc312172360"/>
      <w:bookmarkStart w:id="2052" w:name="_Toc312257909"/>
      <w:r w:rsidRPr="001A6261">
        <w:t>Background</w:t>
      </w:r>
      <w:bookmarkEnd w:id="2047"/>
      <w:bookmarkEnd w:id="2048"/>
      <w:bookmarkEnd w:id="2049"/>
      <w:bookmarkEnd w:id="2050"/>
      <w:bookmarkEnd w:id="2051"/>
      <w:bookmarkEnd w:id="2052"/>
    </w:p>
    <w:p w:rsidR="00B61503" w:rsidRPr="001A6261" w:rsidRDefault="00B61503" w:rsidP="00FB65A2">
      <w:pPr>
        <w:spacing w:before="240" w:line="360" w:lineRule="auto"/>
        <w:jc w:val="both"/>
        <w:rPr>
          <w:color w:val="000000"/>
        </w:rPr>
      </w:pPr>
      <w:r w:rsidRPr="001A6261">
        <w:t>The majority of patients with newly diagnosed MM are aged &gt;65 years with 30% aged &gt;75 years. However,</w:t>
      </w:r>
      <w:r w:rsidRPr="001A6261">
        <w:rPr>
          <w:color w:val="000000"/>
        </w:rPr>
        <w:t xml:space="preserve"> the average age at diagnosis is the early 60’s, with some patients being much younger</w:t>
      </w:r>
      <w:r w:rsidRPr="001A6261">
        <w:t>. The prevalence of MM is expected to rise over time due to an aging population</w:t>
      </w:r>
      <w:r>
        <w:t xml:space="preserve"> and </w:t>
      </w:r>
      <w:r w:rsidRPr="001A6261">
        <w:t>many of elderly patients are also vulnerable due to comorbidities that complicate the management of MM</w:t>
      </w:r>
      <w:r w:rsidR="00493517">
        <w:t xml:space="preserve"> </w:t>
      </w:r>
      <w:r w:rsidR="00493517">
        <w:fldChar w:fldCharType="begin"/>
      </w:r>
      <w:r w:rsidR="00493517">
        <w:instrText xml:space="preserve"> ADDIN EN.CITE &lt;EndNote&gt;&lt;Cite&gt;&lt;Author&gt;Palumbo&lt;/Author&gt;&lt;Year&gt;2007&lt;/Year&gt;&lt;RecNum&gt;5013&lt;/RecNum&gt;&lt;DisplayText&gt;(Palumbo and Boccadoro, 2007)&lt;/DisplayText&gt;&lt;record&gt;&lt;rec-number&gt;5013&lt;/rec-number&gt;&lt;foreign-keys&gt;&lt;key app="EN" db-id="zf0awxsaczrdd3eft5qvw9wrtxxawdfrvw2a"&gt;5013&lt;/key&gt;&lt;/foreign-keys&gt;&lt;ref-type name="Journal Article"&gt;17&lt;/ref-type&gt;&lt;contributors&gt;&lt;authors&gt;&lt;author&gt;Palumbo, A.&lt;/author&gt;&lt;author&gt;Boccadoro, M.&lt;/author&gt;&lt;/authors&gt;&lt;/contributors&gt;&lt;auth-address&gt;Divisione di Ematologia dell&amp;apos;Universita di Torino, Azienda Ospedaliera San Giovanni Battista, Torino 10126, Italy. appalumbo@yahoo.com&lt;/auth-address&gt;&lt;titles&gt;&lt;title&gt;A new standard of care for elderly patients with myeloma&lt;/title&gt;&lt;secondary-title&gt;Lancet&lt;/secondary-title&gt;&lt;/titles&gt;&lt;periodical&gt;&lt;full-title&gt;Lancet&lt;/full-title&gt;&lt;/periodical&gt;&lt;pages&gt;1191-2&lt;/pages&gt;&lt;volume&gt;370&lt;/volume&gt;&lt;number&gt;9594&lt;/number&gt;&lt;edition&gt;2007/10/09&lt;/edition&gt;&lt;keywords&gt;&lt;keyword&gt;Aged&lt;/keyword&gt;&lt;keyword&gt;Aged, 80 and over&lt;/keyword&gt;&lt;keyword&gt;Antineoplastic Agents, Alkylating/administration &amp;amp; dosage&lt;/keyword&gt;&lt;keyword&gt;Antineoplastic Combined Chemotherapy Protocols/*therapeutic use&lt;/keyword&gt;&lt;keyword&gt;Delivery of Health Care/*standards&lt;/keyword&gt;&lt;keyword&gt;Humans&lt;/keyword&gt;&lt;keyword&gt;Immunosuppressive Agents/administration &amp;amp; dosage&lt;/keyword&gt;&lt;keyword&gt;Melphalan/administration &amp;amp; dosage&lt;/keyword&gt;&lt;keyword&gt;Multiple Myeloma/*drug therapy/mortality&lt;/keyword&gt;&lt;keyword&gt;Prednisone/administration &amp;amp; dosage&lt;/keyword&gt;&lt;keyword&gt;Stem Cell Transplantation&lt;/keyword&gt;&lt;keyword&gt;Survival Rate&lt;/keyword&gt;&lt;keyword&gt;Thalidomide/administration &amp;amp; dosage&lt;/keyword&gt;&lt;/keywords&gt;&lt;dates&gt;&lt;year&gt;2007&lt;/year&gt;&lt;pub-dates&gt;&lt;date&gt;Oct 6&lt;/date&gt;&lt;/pub-dates&gt;&lt;/dates&gt;&lt;isbn&gt;1474-547X (Electronic)&amp;#xD;0140-6736 (Linking)&lt;/isbn&gt;&lt;accession-num&gt;17920906&lt;/accession-num&gt;&lt;urls&gt;&lt;related-urls&gt;&lt;url&gt;http://www.ncbi.nlm.nih.gov/pubmed/17920906&lt;/url&gt;&lt;/related-urls&gt;&lt;/urls&gt;&lt;electronic-resource-num&gt;S0140-6736(07)61522-0 [pii]&amp;#xD;10.1016/S0140-6736(07)61522-0&lt;/electronic-resource-num&gt;&lt;language&gt;eng&lt;/language&gt;&lt;/record&gt;&lt;/Cite&gt;&lt;/EndNote&gt;</w:instrText>
      </w:r>
      <w:r w:rsidR="00493517">
        <w:fldChar w:fldCharType="separate"/>
      </w:r>
      <w:r w:rsidR="00493517">
        <w:rPr>
          <w:noProof/>
        </w:rPr>
        <w:t>(</w:t>
      </w:r>
      <w:hyperlink w:anchor="_ENREF_309" w:tooltip="Palumbo, 2007 #5013" w:history="1">
        <w:r w:rsidR="004A784D">
          <w:rPr>
            <w:noProof/>
          </w:rPr>
          <w:t>Palumbo and Boccadoro, 2007</w:t>
        </w:r>
      </w:hyperlink>
      <w:r w:rsidR="00493517">
        <w:rPr>
          <w:noProof/>
        </w:rPr>
        <w:t>)</w:t>
      </w:r>
      <w:r w:rsidR="00493517">
        <w:fldChar w:fldCharType="end"/>
      </w:r>
      <w:r w:rsidRPr="001A6261">
        <w:t xml:space="preserve">. </w:t>
      </w:r>
    </w:p>
    <w:p w:rsidR="00E676DF" w:rsidRDefault="00E676DF" w:rsidP="00057B42">
      <w:pPr>
        <w:spacing w:line="360" w:lineRule="auto"/>
        <w:jc w:val="both"/>
        <w:rPr>
          <w:color w:val="000000"/>
        </w:rPr>
      </w:pPr>
    </w:p>
    <w:p w:rsidR="00B61503" w:rsidRPr="001A6261" w:rsidRDefault="00B61503" w:rsidP="00057B42">
      <w:pPr>
        <w:spacing w:line="360" w:lineRule="auto"/>
        <w:jc w:val="both"/>
      </w:pPr>
      <w:r w:rsidRPr="001A6261">
        <w:rPr>
          <w:color w:val="000000"/>
        </w:rPr>
        <w:t xml:space="preserve">The survival time of a multiple myeloma patient is strongly dependent on the patient’s age at diagnosis, according to a recent study published in the Journal of Clinical Oncology </w:t>
      </w:r>
      <w:r w:rsidRPr="001A6261">
        <w:rPr>
          <w:color w:val="000000"/>
        </w:rPr>
        <w:fldChar w:fldCharType="begin">
          <w:fldData xml:space="preserve">PEVuZE5vdGU+PENpdGU+PEF1dGhvcj5MdWR3aWc8L0F1dGhvcj48WWVhcj4yMDEwPC9ZZWFyPjxS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</w:fldData>
        </w:fldChar>
      </w:r>
      <w:r w:rsidR="00857D49">
        <w:rPr>
          <w:color w:val="000000"/>
        </w:rPr>
        <w:instrText xml:space="preserve"> ADDIN EN.CITE </w:instrText>
      </w:r>
      <w:r w:rsidR="00857D49">
        <w:rPr>
          <w:color w:val="000000"/>
        </w:rPr>
        <w:fldChar w:fldCharType="begin">
          <w:fldData xml:space="preserve">PEVuZE5vdGU+PENpdGU+PEF1dGhvcj5MdWR3aWc8L0F1dGhvcj48WWVhcj4yMDEwPC9ZZWFyPjxS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</w:fldData>
        </w:fldChar>
      </w:r>
      <w:r w:rsidR="00857D49">
        <w:rPr>
          <w:color w:val="000000"/>
        </w:rPr>
        <w:instrText xml:space="preserve"> ADDIN EN.CITE.DATA </w:instrText>
      </w:r>
      <w:r w:rsidR="00857D49">
        <w:rPr>
          <w:color w:val="000000"/>
        </w:rPr>
      </w:r>
      <w:r w:rsidR="00857D49">
        <w:rPr>
          <w:color w:val="000000"/>
        </w:rPr>
        <w:fldChar w:fldCharType="end"/>
      </w:r>
      <w:r w:rsidRPr="001A6261">
        <w:rPr>
          <w:color w:val="000000"/>
        </w:rPr>
      </w:r>
      <w:r w:rsidRPr="001A6261">
        <w:rPr>
          <w:color w:val="000000"/>
        </w:rPr>
        <w:fldChar w:fldCharType="separate"/>
      </w:r>
      <w:r w:rsidR="006F41FE">
        <w:rPr>
          <w:noProof/>
          <w:color w:val="000000"/>
        </w:rPr>
        <w:t>(</w:t>
      </w:r>
      <w:hyperlink w:anchor="_ENREF_255" w:tooltip="Ludwig, 2010 #7150" w:history="1">
        <w:r w:rsidR="004A784D">
          <w:rPr>
            <w:noProof/>
            <w:color w:val="000000"/>
          </w:rPr>
          <w:t>Ludwig et al., 2010</w:t>
        </w:r>
      </w:hyperlink>
      <w:r w:rsidR="006F41FE">
        <w:rPr>
          <w:noProof/>
          <w:color w:val="000000"/>
        </w:rPr>
        <w:t>)</w:t>
      </w:r>
      <w:r w:rsidRPr="001A6261">
        <w:rPr>
          <w:color w:val="000000"/>
        </w:rPr>
        <w:fldChar w:fldCharType="end"/>
      </w:r>
      <w:r w:rsidRPr="001A6261">
        <w:rPr>
          <w:color w:val="000000"/>
        </w:rPr>
        <w:t>. This study, which evaluated the impact of age on disease outcome, compared the survival time (from diagnosis) between patients in different age groups and treatment regimens. Th</w:t>
      </w:r>
      <w:r>
        <w:rPr>
          <w:color w:val="000000"/>
        </w:rPr>
        <w:t>e</w:t>
      </w:r>
      <w:r w:rsidRPr="001A6261">
        <w:rPr>
          <w:color w:val="000000"/>
        </w:rPr>
        <w:t xml:space="preserve"> survival time steadily decreased as the age of the patients increased.</w:t>
      </w:r>
      <w:r>
        <w:rPr>
          <w:color w:val="000000"/>
        </w:rPr>
        <w:t xml:space="preserve"> In addition patient</w:t>
      </w:r>
      <w:r w:rsidRPr="001A6261">
        <w:rPr>
          <w:color w:val="000000"/>
        </w:rPr>
        <w:t xml:space="preserve"> age at diagnosis also has implications for being eligible for specific types of treatment, such as high-dose therapy and stem cell transplantation. These patients </w:t>
      </w:r>
      <w:r w:rsidRPr="001A6261">
        <w:t xml:space="preserve"> are often unable to tolerate full drug doses because of serious side effects </w:t>
      </w:r>
      <w:r w:rsidRPr="001A6261">
        <w:fldChar w:fldCharType="begin"/>
      </w:r>
      <w:r w:rsidR="0063683C">
        <w:instrText xml:space="preserve"> ADDIN EN.CITE &lt;EndNote&gt;&lt;Cite&gt;&lt;Author&gt;Palumbo&lt;/Author&gt;&lt;Year&gt;2011&lt;/Year&gt;&lt;RecNum&gt;3271&lt;/RecNum&gt;&lt;DisplayText&gt;(Palumbo et al., 2011b)&lt;/DisplayText&gt;&lt;record&gt;&lt;rec-number&gt;3271&lt;/rec-number&gt;&lt;foreign-keys&gt;&lt;key app="EN" db-id="zf0awxsaczrdd3eft5qvw9wrtxxawdfrvw2a"&gt;3271&lt;/key&gt;&lt;/foreign-keys&gt;&lt;ref-type name="Journal Article"&gt;17&lt;/ref-type&gt;&lt;contributors&gt;&lt;authors&gt;&lt;author&gt;Palumbo, A.&lt;/author&gt;&lt;author&gt;Bringhen, S.&lt;/author&gt;&lt;author&gt;Ludwig, H.&lt;/author&gt;&lt;author&gt;Dimopoulos, M. A.&lt;/author&gt;&lt;author&gt;Blade, J.&lt;/author&gt;&lt;author&gt;Mateos, M. V.&lt;/author&gt;&lt;author&gt;Rosinol, L.&lt;/author&gt;&lt;author&gt;Boccadoro, M.&lt;/author&gt;&lt;author&gt;Cavo, M.&lt;/author&gt;&lt;author&gt;Lokhorst, H.&lt;/author&gt;&lt;author&gt;Zweegman, S.&lt;/author&gt;&lt;author&gt;Terpos, E.&lt;/author&gt;&lt;author&gt;Davies, F.&lt;/author&gt;&lt;author&gt;Driessen, C.&lt;/author&gt;&lt;author&gt;Gimsing, P.&lt;/author&gt;&lt;author&gt;Gramatzki, M.&lt;/author&gt;&lt;author&gt;Hajek, R.&lt;/author&gt;&lt;author&gt;Johnsen, H. E.&lt;/author&gt;&lt;author&gt;Leal Da Costa, F.&lt;/author&gt;&lt;author&gt;Sezer, O.&lt;/author&gt;&lt;author&gt;Spencer, A.&lt;/author&gt;&lt;author&gt;Beksac, M.&lt;/author&gt;&lt;author&gt;Morgan, G.&lt;/author&gt;&lt;author&gt;Einsele, H.&lt;/author&gt;&lt;author&gt;San Miguel, J. F.&lt;/author&gt;&lt;author&gt;Sonneveld, P.&lt;/author&gt;&lt;/authors&gt;&lt;/contributors&gt;&lt;auth-address&gt;Myeloma Unit, Division of Hematology, University of Torino, AOU S. Giovanni Battista, Torino, Italy;&lt;/auth-address&gt;&lt;titles&gt;&lt;title&gt;Personalized therapy in multiple myeloma according to patient age and vulnerability: a report of the European Myeloma Network (EMN)&lt;/title&gt;&lt;secondary-title&gt;Blood&lt;/secondary-title&gt;&lt;/titles&gt;&lt;periodical&gt;&lt;full-title&gt;Blood&lt;/full-title&gt;&lt;/periodical&gt;&lt;edition&gt;2011/08/16&lt;/edition&gt;&lt;dates&gt;&lt;year&gt;2011&lt;/year&gt;&lt;pub-dates&gt;&lt;date&gt;Aug 12&lt;/date&gt;&lt;/pub-dates&gt;&lt;/dates&gt;&lt;isbn&gt;1528-0020 (Electronic)&amp;#xD;0006-4971 (Linking)&lt;/isbn&gt;&lt;accession-num&gt;21841166&lt;/accession-num&gt;&lt;urls&gt;&lt;related-urls&gt;&lt;url&gt;http://www.ncbi.nlm.nih.gov/pubmed/21841166&lt;/url&gt;&lt;/related-urls&gt;&lt;/urls&gt;&lt;electronic-resource-num&gt;blood-2011-06-358812 [pii]&amp;#xD;10.1182/blood-2011-06-358812&lt;/electronic-resource-num&gt;&lt;language&gt;Eng&lt;/language&gt;&lt;/record&gt;&lt;/Cite&gt;&lt;/EndNote&gt;</w:instrText>
      </w:r>
      <w:r w:rsidRPr="001A6261">
        <w:fldChar w:fldCharType="separate"/>
      </w:r>
      <w:r w:rsidR="0063683C">
        <w:rPr>
          <w:noProof/>
        </w:rPr>
        <w:t>(</w:t>
      </w:r>
      <w:hyperlink w:anchor="_ENREF_312" w:tooltip="Palumbo, 2011 #3271" w:history="1">
        <w:r w:rsidR="004A784D">
          <w:rPr>
            <w:noProof/>
          </w:rPr>
          <w:t>Palumbo et al., 2011b</w:t>
        </w:r>
      </w:hyperlink>
      <w:r w:rsidR="0063683C">
        <w:rPr>
          <w:noProof/>
        </w:rPr>
        <w:t>)</w:t>
      </w:r>
      <w:r w:rsidRPr="001A6261">
        <w:fldChar w:fldCharType="end"/>
      </w:r>
      <w:r w:rsidRPr="001A6261">
        <w:t>.</w:t>
      </w:r>
    </w:p>
    <w:p w:rsidR="00B61503" w:rsidRPr="001A6261" w:rsidRDefault="00B61503" w:rsidP="00057B42">
      <w:pPr>
        <w:spacing w:line="360" w:lineRule="auto"/>
        <w:jc w:val="both"/>
        <w:rPr>
          <w:color w:val="000000"/>
        </w:rPr>
      </w:pPr>
    </w:p>
    <w:p w:rsidR="00C46C49" w:rsidRPr="00C46C49" w:rsidRDefault="00B61503" w:rsidP="00645687">
      <w:pPr>
        <w:pStyle w:val="Heading2"/>
        <w:numPr>
          <w:ilvl w:val="4"/>
          <w:numId w:val="19"/>
        </w:numPr>
      </w:pPr>
      <w:bookmarkStart w:id="2053" w:name="_Toc305690115"/>
      <w:bookmarkStart w:id="2054" w:name="_Toc306570807"/>
      <w:bookmarkStart w:id="2055" w:name="_Toc307067868"/>
      <w:bookmarkStart w:id="2056" w:name="_Toc312169434"/>
      <w:bookmarkStart w:id="2057" w:name="_Toc312172361"/>
      <w:bookmarkStart w:id="2058" w:name="_Toc312257910"/>
      <w:r>
        <w:t>Patient a</w:t>
      </w:r>
      <w:r w:rsidRPr="001A6261">
        <w:t>ge and predictive model</w:t>
      </w:r>
      <w:bookmarkEnd w:id="2053"/>
      <w:bookmarkEnd w:id="2054"/>
      <w:bookmarkEnd w:id="2055"/>
      <w:bookmarkEnd w:id="2056"/>
      <w:bookmarkEnd w:id="2057"/>
      <w:bookmarkEnd w:id="2058"/>
    </w:p>
    <w:p w:rsidR="00B61503" w:rsidRDefault="00B61503" w:rsidP="00FB65A2">
      <w:pPr>
        <w:spacing w:before="240" w:line="360" w:lineRule="auto"/>
        <w:jc w:val="both"/>
        <w:rPr>
          <w:color w:val="000000"/>
        </w:rPr>
      </w:pPr>
      <w:r w:rsidRPr="001A6261">
        <w:rPr>
          <w:color w:val="000000"/>
        </w:rPr>
        <w:t xml:space="preserve">Therefore in this study, the influence of </w:t>
      </w:r>
      <w:r>
        <w:rPr>
          <w:color w:val="000000"/>
        </w:rPr>
        <w:t xml:space="preserve">MM </w:t>
      </w:r>
      <w:r w:rsidR="001B68DA">
        <w:rPr>
          <w:color w:val="000000"/>
        </w:rPr>
        <w:t>patient</w:t>
      </w:r>
      <w:r w:rsidRPr="001A6261">
        <w:rPr>
          <w:color w:val="000000"/>
        </w:rPr>
        <w:t xml:space="preserve"> age at diagnosis on the predictive capability of discovered biomarker was also assessed. Patients’ age at time of diagnosis was added to the predictive model.  </w:t>
      </w:r>
      <w:r>
        <w:rPr>
          <w:color w:val="000000"/>
        </w:rPr>
        <w:t>Statistical analysis</w:t>
      </w:r>
      <w:r w:rsidRPr="001A6261">
        <w:rPr>
          <w:color w:val="000000"/>
        </w:rPr>
        <w:t xml:space="preserve"> was performed and results showed that </w:t>
      </w:r>
      <w:r>
        <w:rPr>
          <w:color w:val="000000"/>
        </w:rPr>
        <w:t xml:space="preserve">despite </w:t>
      </w:r>
      <w:r w:rsidRPr="001A6261">
        <w:rPr>
          <w:color w:val="000000"/>
        </w:rPr>
        <w:t xml:space="preserve">patients age at diagnosis </w:t>
      </w:r>
      <w:r>
        <w:rPr>
          <w:color w:val="000000"/>
        </w:rPr>
        <w:t>is</w:t>
      </w:r>
      <w:r w:rsidRPr="001A6261">
        <w:rPr>
          <w:color w:val="000000"/>
        </w:rPr>
        <w:t xml:space="preserve"> an important prognostic factor in </w:t>
      </w:r>
      <w:r>
        <w:rPr>
          <w:color w:val="000000"/>
        </w:rPr>
        <w:t>MM</w:t>
      </w:r>
      <w:r w:rsidRPr="001A6261">
        <w:rPr>
          <w:color w:val="000000"/>
        </w:rPr>
        <w:t xml:space="preserve">, </w:t>
      </w:r>
      <w:r>
        <w:rPr>
          <w:color w:val="000000"/>
        </w:rPr>
        <w:t xml:space="preserve">it </w:t>
      </w:r>
      <w:r w:rsidRPr="001A6261">
        <w:rPr>
          <w:color w:val="000000"/>
        </w:rPr>
        <w:t>did not improve the</w:t>
      </w:r>
      <w:r>
        <w:rPr>
          <w:color w:val="000000"/>
        </w:rPr>
        <w:t xml:space="preserve"> AUC of the predictive panel</w:t>
      </w:r>
      <w:r w:rsidRPr="001A6261">
        <w:rPr>
          <w:color w:val="000000"/>
        </w:rPr>
        <w:t xml:space="preserve">, which measures the overall performance of the predictive model. The ROC curve </w:t>
      </w:r>
      <w:r w:rsidR="001B68DA">
        <w:rPr>
          <w:color w:val="000000"/>
        </w:rPr>
        <w:t xml:space="preserve">was </w:t>
      </w:r>
      <w:r w:rsidRPr="001A6261">
        <w:rPr>
          <w:color w:val="000000"/>
        </w:rPr>
        <w:t xml:space="preserve">generated from 3 proteins without patient’s age yielded AUC of 0.96 and hereafter when we added patient age to this model, the ROC curve </w:t>
      </w:r>
      <w:r w:rsidR="00FB65A2">
        <w:rPr>
          <w:color w:val="000000"/>
        </w:rPr>
        <w:t xml:space="preserve">generated yielded AUC of 0.95. </w:t>
      </w:r>
      <w:r w:rsidRPr="001A6261">
        <w:rPr>
          <w:color w:val="000000"/>
        </w:rPr>
        <w:t>Thus these predictive biomarkers are</w:t>
      </w:r>
      <w:r w:rsidR="00FB65A2">
        <w:rPr>
          <w:color w:val="000000"/>
        </w:rPr>
        <w:t xml:space="preserve"> unique and distinctive in predic</w:t>
      </w:r>
      <w:r w:rsidR="00FB65A2" w:rsidRPr="001A6261">
        <w:rPr>
          <w:color w:val="000000"/>
        </w:rPr>
        <w:t>ting</w:t>
      </w:r>
      <w:r w:rsidRPr="001A6261">
        <w:rPr>
          <w:color w:val="000000"/>
        </w:rPr>
        <w:t xml:space="preserve"> response to thalidomide and are valuable in all newly diagnosed multiple myeloma patients regardless of patient age at diagnosis.  </w:t>
      </w:r>
    </w:p>
    <w:p w:rsidR="00E676DF" w:rsidRDefault="00E676DF"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lastRenderedPageBreak/>
        <w:t xml:space="preserve">Therefore once </w:t>
      </w:r>
      <w:r>
        <w:rPr>
          <w:color w:val="000000"/>
        </w:rPr>
        <w:t xml:space="preserve">the discovered biomarkers are </w:t>
      </w:r>
      <w:r w:rsidRPr="001A6261">
        <w:rPr>
          <w:color w:val="000000"/>
        </w:rPr>
        <w:t xml:space="preserve">validated in the clinical trial, elderly </w:t>
      </w:r>
      <w:r>
        <w:rPr>
          <w:color w:val="000000"/>
        </w:rPr>
        <w:t xml:space="preserve">MM </w:t>
      </w:r>
      <w:r w:rsidRPr="001A6261">
        <w:rPr>
          <w:color w:val="000000"/>
        </w:rPr>
        <w:t>patient</w:t>
      </w:r>
      <w:r>
        <w:rPr>
          <w:color w:val="000000"/>
        </w:rPr>
        <w:t>s can largely benefit from this</w:t>
      </w:r>
      <w:r w:rsidRPr="001A6261">
        <w:rPr>
          <w:color w:val="000000"/>
        </w:rPr>
        <w:t xml:space="preserve"> </w:t>
      </w:r>
      <w:r>
        <w:rPr>
          <w:color w:val="000000"/>
        </w:rPr>
        <w:t>predictive</w:t>
      </w:r>
      <w:r w:rsidRPr="001A6261">
        <w:rPr>
          <w:color w:val="000000"/>
        </w:rPr>
        <w:t xml:space="preserve"> </w:t>
      </w:r>
      <w:r>
        <w:rPr>
          <w:color w:val="000000"/>
        </w:rPr>
        <w:t>model</w:t>
      </w:r>
      <w:r w:rsidRPr="001A6261">
        <w:rPr>
          <w:color w:val="000000"/>
        </w:rPr>
        <w:t xml:space="preserve">. Thalidomide is now approved in the European Union as an adjunct to this treatment in elderly myeloma patients. Clinical evaluation is based on 5 trials, showing an increase in progression-free survival </w:t>
      </w:r>
      <w:r w:rsidRPr="001A6261">
        <w:rPr>
          <w:color w:val="000000"/>
        </w:rPr>
        <w:fldChar w:fldCharType="begin">
          <w:fldData xml:space="preserve">PEVuZE5vdGU+PENpdGU+PEF1dGhvcj5QYWx1bWJvPC9BdXRob3I+PFllYXI+MjAwODwvWWVhcj48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</w:fldData>
        </w:fldChar>
      </w:r>
      <w:r w:rsidR="00413040">
        <w:rPr>
          <w:color w:val="000000"/>
        </w:rPr>
        <w:instrText xml:space="preserve"> ADDIN EN.CITE </w:instrText>
      </w:r>
      <w:r w:rsidR="00413040">
        <w:rPr>
          <w:color w:val="000000"/>
        </w:rPr>
        <w:fldChar w:fldCharType="begin">
          <w:fldData xml:space="preserve">PEVuZE5vdGU+PENpdGU+PEF1dGhvcj5QYWx1bWJvPC9BdXRob3I+PFllYXI+MjAwODwvWWVhcj48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</w:fldData>
        </w:fldChar>
      </w:r>
      <w:r w:rsidR="00413040">
        <w:rPr>
          <w:color w:val="000000"/>
        </w:rPr>
        <w:instrText xml:space="preserve"> ADDIN EN.CITE.DATA </w:instrText>
      </w:r>
      <w:r w:rsidR="00413040">
        <w:rPr>
          <w:color w:val="000000"/>
        </w:rPr>
      </w:r>
      <w:r w:rsidR="00413040">
        <w:rPr>
          <w:color w:val="000000"/>
        </w:rPr>
        <w:fldChar w:fldCharType="end"/>
      </w:r>
      <w:r w:rsidRPr="001A6261">
        <w:rPr>
          <w:color w:val="000000"/>
        </w:rPr>
      </w:r>
      <w:r w:rsidRPr="001A6261">
        <w:rPr>
          <w:color w:val="000000"/>
        </w:rPr>
        <w:fldChar w:fldCharType="separate"/>
      </w:r>
      <w:r w:rsidR="00413040">
        <w:rPr>
          <w:noProof/>
          <w:color w:val="000000"/>
        </w:rPr>
        <w:t>(</w:t>
      </w:r>
      <w:hyperlink w:anchor="_ENREF_310" w:tooltip="Palumbo, 2008 #5003" w:history="1">
        <w:r w:rsidR="004A784D">
          <w:rPr>
            <w:noProof/>
            <w:color w:val="000000"/>
          </w:rPr>
          <w:t>Palumbo et al., 2008a</w:t>
        </w:r>
      </w:hyperlink>
      <w:r w:rsidR="00413040">
        <w:rPr>
          <w:noProof/>
          <w:color w:val="000000"/>
        </w:rPr>
        <w:t xml:space="preserve">, </w:t>
      </w:r>
      <w:hyperlink w:anchor="_ENREF_17" w:tooltip="Anagnostopoulos, 2004 #4978" w:history="1">
        <w:r w:rsidR="004A784D">
          <w:rPr>
            <w:noProof/>
            <w:color w:val="000000"/>
          </w:rPr>
          <w:t>Anagnostopoulos et al., 2004</w:t>
        </w:r>
      </w:hyperlink>
      <w:r w:rsidR="00413040">
        <w:rPr>
          <w:noProof/>
          <w:color w:val="000000"/>
        </w:rPr>
        <w:t>)</w:t>
      </w:r>
      <w:r w:rsidRPr="001A6261">
        <w:rPr>
          <w:color w:val="000000"/>
        </w:rPr>
        <w:fldChar w:fldCharType="end"/>
      </w:r>
      <w:r w:rsidRPr="001A6261">
        <w:rPr>
          <w:color w:val="000000"/>
        </w:rPr>
        <w:t xml:space="preserve">. </w:t>
      </w:r>
      <w:r w:rsidR="001B68DA" w:rsidRPr="001B68DA">
        <w:rPr>
          <w:color w:val="000000"/>
        </w:rPr>
        <w:t xml:space="preserve">Most patients with newly diagnosed multiple myeloma (MM) are aged &gt; 65 years with 30% aged &gt; 75 years. Many elderly patients are also vulnerable because of comorbidities that </w:t>
      </w:r>
      <w:r w:rsidR="001B68DA">
        <w:rPr>
          <w:color w:val="000000"/>
        </w:rPr>
        <w:t xml:space="preserve">complicate the management of MM </w:t>
      </w:r>
      <w:r w:rsidR="001B68DA">
        <w:rPr>
          <w:color w:val="000000"/>
        </w:rPr>
        <w:fldChar w:fldCharType="begin">
          <w:fldData xml:space="preserve">PEVuZE5vdGU+PENpdGU+PEF1dGhvcj5QYWx1bWJvPC9BdXRob3I+PFllYXI+MjAxMTwvWWVhcj48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</w:fldData>
        </w:fldChar>
      </w:r>
      <w:r w:rsidR="0063683C">
        <w:rPr>
          <w:color w:val="000000"/>
        </w:rPr>
        <w:instrText xml:space="preserve"> ADDIN EN.CITE </w:instrText>
      </w:r>
      <w:r w:rsidR="0063683C">
        <w:rPr>
          <w:color w:val="000000"/>
        </w:rPr>
        <w:fldChar w:fldCharType="begin">
          <w:fldData xml:space="preserve">PEVuZE5vdGU+PENpdGU+PEF1dGhvcj5QYWx1bWJvPC9BdXRob3I+PFllYXI+MjAxMTwvWWVhcj48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</w:fldData>
        </w:fldChar>
      </w:r>
      <w:r w:rsidR="0063683C">
        <w:rPr>
          <w:color w:val="000000"/>
        </w:rPr>
        <w:instrText xml:space="preserve"> ADDIN EN.CITE.DATA </w:instrText>
      </w:r>
      <w:r w:rsidR="0063683C">
        <w:rPr>
          <w:color w:val="000000"/>
        </w:rPr>
      </w:r>
      <w:r w:rsidR="0063683C">
        <w:rPr>
          <w:color w:val="000000"/>
        </w:rPr>
        <w:fldChar w:fldCharType="end"/>
      </w:r>
      <w:r w:rsidR="001B68DA">
        <w:rPr>
          <w:color w:val="000000"/>
        </w:rPr>
      </w:r>
      <w:r w:rsidR="001B68DA">
        <w:rPr>
          <w:color w:val="000000"/>
        </w:rPr>
        <w:fldChar w:fldCharType="separate"/>
      </w:r>
      <w:r w:rsidR="0063683C">
        <w:rPr>
          <w:noProof/>
          <w:color w:val="000000"/>
        </w:rPr>
        <w:t>(</w:t>
      </w:r>
      <w:hyperlink w:anchor="_ENREF_311" w:tooltip="Palumbo, 2011 #6560" w:history="1">
        <w:r w:rsidR="004A784D">
          <w:rPr>
            <w:noProof/>
            <w:color w:val="000000"/>
          </w:rPr>
          <w:t>Palumbo et al., 2011a</w:t>
        </w:r>
      </w:hyperlink>
      <w:r w:rsidR="0063683C">
        <w:rPr>
          <w:noProof/>
          <w:color w:val="000000"/>
        </w:rPr>
        <w:t xml:space="preserve">, </w:t>
      </w:r>
      <w:hyperlink w:anchor="_ENREF_442" w:tooltip="Wach, 2011 #6572" w:history="1">
        <w:r w:rsidR="004A784D">
          <w:rPr>
            <w:noProof/>
            <w:color w:val="000000"/>
          </w:rPr>
          <w:t>Wach et al., 2011</w:t>
        </w:r>
      </w:hyperlink>
      <w:r w:rsidR="0063683C">
        <w:rPr>
          <w:noProof/>
          <w:color w:val="000000"/>
        </w:rPr>
        <w:t>)</w:t>
      </w:r>
      <w:r w:rsidR="001B68DA">
        <w:rPr>
          <w:color w:val="000000"/>
        </w:rPr>
        <w:fldChar w:fldCharType="end"/>
      </w:r>
      <w:r w:rsidR="001B68DA">
        <w:rPr>
          <w:color w:val="000000"/>
        </w:rPr>
        <w:t>. He</w:t>
      </w:r>
      <w:r w:rsidRPr="001A6261">
        <w:rPr>
          <w:color w:val="000000"/>
        </w:rPr>
        <w:t xml:space="preserve">nce the predictive biomarker </w:t>
      </w:r>
      <w:r>
        <w:rPr>
          <w:color w:val="000000"/>
        </w:rPr>
        <w:t>can help</w:t>
      </w:r>
      <w:r w:rsidRPr="001A6261">
        <w:rPr>
          <w:color w:val="000000"/>
        </w:rPr>
        <w:t xml:space="preserve"> clinician</w:t>
      </w:r>
      <w:r>
        <w:rPr>
          <w:color w:val="000000"/>
        </w:rPr>
        <w:t>s</w:t>
      </w:r>
      <w:r w:rsidRPr="001A6261">
        <w:rPr>
          <w:color w:val="000000"/>
        </w:rPr>
        <w:t xml:space="preserve"> to prescribed thalidomide to the sensitive or potential responders’ patients only</w:t>
      </w:r>
      <w:r>
        <w:rPr>
          <w:color w:val="000000"/>
        </w:rPr>
        <w:t xml:space="preserve"> and avoiding other elderly patients who are potentially resistant and vulnerable to the side effects of non-effective treatment; thalidomide</w:t>
      </w:r>
      <w:r w:rsidR="001B68DA">
        <w:rPr>
          <w:color w:val="000000"/>
        </w:rPr>
        <w:t xml:space="preserve"> </w:t>
      </w:r>
      <w:r w:rsidRPr="001A6261">
        <w:rPr>
          <w:color w:val="000000"/>
        </w:rPr>
        <w:t xml:space="preserve">. </w:t>
      </w:r>
    </w:p>
    <w:p w:rsidR="00B61503" w:rsidRPr="00B933E7" w:rsidRDefault="00B61503" w:rsidP="00057B42">
      <w:pPr>
        <w:spacing w:line="360" w:lineRule="auto"/>
      </w:pPr>
    </w:p>
    <w:p w:rsidR="00B61503" w:rsidRDefault="00B61503" w:rsidP="00057B42">
      <w:pPr>
        <w:spacing w:line="360" w:lineRule="auto"/>
      </w:pPr>
      <w:r>
        <w:tab/>
      </w:r>
    </w:p>
    <w:p w:rsidR="00B61503" w:rsidRDefault="00B61503" w:rsidP="00645687">
      <w:pPr>
        <w:pStyle w:val="Heading2"/>
        <w:numPr>
          <w:ilvl w:val="3"/>
          <w:numId w:val="19"/>
        </w:numPr>
      </w:pPr>
      <w:r>
        <w:br w:type="page"/>
      </w:r>
      <w:bookmarkStart w:id="2059" w:name="_Toc305690116"/>
      <w:bookmarkStart w:id="2060" w:name="_Toc306570808"/>
      <w:bookmarkStart w:id="2061" w:name="_Toc307067869"/>
      <w:bookmarkStart w:id="2062" w:name="_Toc312169435"/>
      <w:bookmarkStart w:id="2063" w:name="_Toc312172362"/>
      <w:bookmarkStart w:id="2064" w:name="_Toc312257911"/>
      <w:r w:rsidRPr="001E471C">
        <w:lastRenderedPageBreak/>
        <w:t>Patients haemoglobin (Hb) levels at diagnosis and response to thalidomide</w:t>
      </w:r>
      <w:bookmarkEnd w:id="2059"/>
      <w:bookmarkEnd w:id="2060"/>
      <w:bookmarkEnd w:id="2061"/>
      <w:bookmarkEnd w:id="2062"/>
      <w:bookmarkEnd w:id="2063"/>
      <w:bookmarkEnd w:id="2064"/>
      <w:r>
        <w:t xml:space="preserve"> </w:t>
      </w:r>
    </w:p>
    <w:p w:rsidR="00B61503" w:rsidRDefault="00B61503" w:rsidP="00645687">
      <w:pPr>
        <w:pStyle w:val="Heading2"/>
        <w:numPr>
          <w:ilvl w:val="4"/>
          <w:numId w:val="19"/>
        </w:numPr>
      </w:pPr>
      <w:bookmarkStart w:id="2065" w:name="_Toc305690117"/>
      <w:bookmarkStart w:id="2066" w:name="_Toc306570809"/>
      <w:bookmarkStart w:id="2067" w:name="_Toc307067870"/>
      <w:bookmarkStart w:id="2068" w:name="_Toc312169436"/>
      <w:bookmarkStart w:id="2069" w:name="_Toc312172363"/>
      <w:bookmarkStart w:id="2070" w:name="_Toc312257912"/>
      <w:r w:rsidRPr="001A6261">
        <w:t>Background</w:t>
      </w:r>
      <w:bookmarkEnd w:id="2065"/>
      <w:bookmarkEnd w:id="2066"/>
      <w:bookmarkEnd w:id="2067"/>
      <w:bookmarkEnd w:id="2068"/>
      <w:bookmarkEnd w:id="2069"/>
      <w:bookmarkEnd w:id="2070"/>
    </w:p>
    <w:p w:rsidR="002E7FDB" w:rsidRDefault="00B61503" w:rsidP="00000025">
      <w:pPr>
        <w:spacing w:before="240" w:line="360" w:lineRule="auto"/>
        <w:jc w:val="both"/>
        <w:rPr>
          <w:color w:val="000000"/>
        </w:rPr>
      </w:pPr>
      <w:r w:rsidRPr="001A6261">
        <w:rPr>
          <w:color w:val="000000"/>
        </w:rPr>
        <w:t xml:space="preserve">Anaemia is a common complication in myeloma. A recent study in blood donors showed that haemoglobin levels may already decline years before the diagnosis of myeloma is established. At diagnosis, 30-60% of patients present with anaemia but the figures vary depending on the age of the patients, their tumour stage and the definition of anaemia used.  The anaemic </w:t>
      </w:r>
      <w:r>
        <w:rPr>
          <w:color w:val="000000"/>
        </w:rPr>
        <w:t xml:space="preserve">MM </w:t>
      </w:r>
      <w:r w:rsidRPr="001A6261">
        <w:rPr>
          <w:color w:val="000000"/>
        </w:rPr>
        <w:t>patients, comp</w:t>
      </w:r>
      <w:r>
        <w:rPr>
          <w:color w:val="000000"/>
        </w:rPr>
        <w:t>ared with non-anaemic patients the median survival</w:t>
      </w:r>
      <w:r w:rsidRPr="001A6261">
        <w:rPr>
          <w:color w:val="000000"/>
        </w:rPr>
        <w:t xml:space="preserve"> was reduced by 20–4</w:t>
      </w:r>
      <w:r>
        <w:rPr>
          <w:color w:val="000000"/>
        </w:rPr>
        <w:t>0</w:t>
      </w:r>
      <w:r w:rsidRPr="001A6261">
        <w:rPr>
          <w:color w:val="000000"/>
        </w:rPr>
        <w:t>%</w:t>
      </w:r>
      <w:r w:rsidR="00857D49">
        <w:rPr>
          <w:color w:val="000000"/>
        </w:rPr>
        <w:t xml:space="preserve"> </w:t>
      </w:r>
      <w:r w:rsidR="00857D49">
        <w:rPr>
          <w:color w:val="000000"/>
        </w:rPr>
        <w:fldChar w:fldCharType="begin">
          <w:fldData xml:space="preserve">PEVuZE5vdGU+PENpdGU+PEF1dGhvcj5MdWR3aWc8L0F1dGhvcj48WWVhcj4yMDExPC9ZZWFyPjxS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</w:fldData>
        </w:fldChar>
      </w:r>
      <w:r w:rsidR="00857D49">
        <w:rPr>
          <w:color w:val="000000"/>
        </w:rPr>
        <w:instrText xml:space="preserve"> ADDIN EN.CITE </w:instrText>
      </w:r>
      <w:r w:rsidR="00857D49">
        <w:rPr>
          <w:color w:val="000000"/>
        </w:rPr>
        <w:fldChar w:fldCharType="begin">
          <w:fldData xml:space="preserve">PEVuZE5vdGU+PENpdGU+PEF1dGhvcj5MdWR3aWc8L0F1dGhvcj48WWVhcj4yMDExPC9ZZWFyPjxS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</w:fldData>
        </w:fldChar>
      </w:r>
      <w:r w:rsidR="00857D49">
        <w:rPr>
          <w:color w:val="000000"/>
        </w:rPr>
        <w:instrText xml:space="preserve"> ADDIN EN.CITE.DATA </w:instrText>
      </w:r>
      <w:r w:rsidR="00857D49">
        <w:rPr>
          <w:color w:val="000000"/>
        </w:rPr>
      </w:r>
      <w:r w:rsidR="00857D49">
        <w:rPr>
          <w:color w:val="000000"/>
        </w:rPr>
        <w:fldChar w:fldCharType="end"/>
      </w:r>
      <w:r w:rsidR="00857D49">
        <w:rPr>
          <w:color w:val="000000"/>
        </w:rPr>
      </w:r>
      <w:r w:rsidR="00857D49">
        <w:rPr>
          <w:color w:val="000000"/>
        </w:rPr>
        <w:fldChar w:fldCharType="separate"/>
      </w:r>
      <w:r w:rsidR="00857D49">
        <w:rPr>
          <w:noProof/>
          <w:color w:val="000000"/>
        </w:rPr>
        <w:t>(</w:t>
      </w:r>
      <w:hyperlink w:anchor="_ENREF_256" w:tooltip="Ludwig, 2011 #6653" w:history="1">
        <w:r w:rsidR="004A784D">
          <w:rPr>
            <w:noProof/>
            <w:color w:val="000000"/>
          </w:rPr>
          <w:t>Ludwig and Zojer, 2011</w:t>
        </w:r>
      </w:hyperlink>
      <w:r w:rsidR="00857D49">
        <w:rPr>
          <w:noProof/>
          <w:color w:val="000000"/>
        </w:rPr>
        <w:t xml:space="preserve">, </w:t>
      </w:r>
      <w:hyperlink w:anchor="_ENREF_162" w:tooltip="Hanawa, 2011 #6659" w:history="1">
        <w:r w:rsidR="004A784D">
          <w:rPr>
            <w:noProof/>
            <w:color w:val="000000"/>
          </w:rPr>
          <w:t>Hanawa et al., 2011</w:t>
        </w:r>
      </w:hyperlink>
      <w:r w:rsidR="00857D49">
        <w:rPr>
          <w:noProof/>
          <w:color w:val="000000"/>
        </w:rPr>
        <w:t xml:space="preserve">, </w:t>
      </w:r>
      <w:hyperlink w:anchor="_ENREF_254" w:tooltip="Ludwig, 2010 #6688" w:history="1">
        <w:r w:rsidR="004A784D">
          <w:rPr>
            <w:noProof/>
            <w:color w:val="000000"/>
          </w:rPr>
          <w:t>Ludwig, 2010</w:t>
        </w:r>
      </w:hyperlink>
      <w:r w:rsidR="00857D49">
        <w:rPr>
          <w:noProof/>
          <w:color w:val="000000"/>
        </w:rPr>
        <w:t>)</w:t>
      </w:r>
      <w:r w:rsidR="00857D49">
        <w:rPr>
          <w:color w:val="000000"/>
        </w:rPr>
        <w:fldChar w:fldCharType="end"/>
      </w:r>
      <w:r w:rsidRPr="001A6261">
        <w:rPr>
          <w:color w:val="000000"/>
        </w:rPr>
        <w:t xml:space="preserve">. </w:t>
      </w:r>
    </w:p>
    <w:p w:rsidR="002E7FDB" w:rsidRDefault="002E7FDB" w:rsidP="00057B42">
      <w:pPr>
        <w:spacing w:line="360" w:lineRule="auto"/>
        <w:jc w:val="both"/>
        <w:rPr>
          <w:color w:val="000000"/>
        </w:rPr>
      </w:pPr>
    </w:p>
    <w:p w:rsidR="00B61503" w:rsidRDefault="00B61503" w:rsidP="00057B42">
      <w:pPr>
        <w:spacing w:line="360" w:lineRule="auto"/>
        <w:jc w:val="both"/>
        <w:rPr>
          <w:color w:val="000000"/>
        </w:rPr>
      </w:pPr>
      <w:r>
        <w:rPr>
          <w:color w:val="000000"/>
        </w:rPr>
        <w:t xml:space="preserve">In addition, </w:t>
      </w:r>
      <w:r w:rsidRPr="001A6261">
        <w:rPr>
          <w:color w:val="000000"/>
        </w:rPr>
        <w:t xml:space="preserve">Durie-Salmon MM staging system </w:t>
      </w:r>
      <w:r>
        <w:rPr>
          <w:color w:val="000000"/>
        </w:rPr>
        <w:t>uses</w:t>
      </w:r>
      <w:r w:rsidRPr="001A6261">
        <w:rPr>
          <w:color w:val="000000"/>
        </w:rPr>
        <w:t xml:space="preserve"> </w:t>
      </w:r>
      <w:r>
        <w:rPr>
          <w:color w:val="000000"/>
        </w:rPr>
        <w:t>various combinations</w:t>
      </w:r>
      <w:r w:rsidRPr="001A6261">
        <w:rPr>
          <w:color w:val="000000"/>
        </w:rPr>
        <w:t xml:space="preserve"> </w:t>
      </w:r>
      <w:r>
        <w:rPr>
          <w:color w:val="000000"/>
        </w:rPr>
        <w:t xml:space="preserve">of </w:t>
      </w:r>
      <w:r w:rsidRPr="001A6261">
        <w:rPr>
          <w:color w:val="000000"/>
        </w:rPr>
        <w:t xml:space="preserve">clinical factors </w:t>
      </w:r>
      <w:r>
        <w:rPr>
          <w:color w:val="000000"/>
        </w:rPr>
        <w:t>such as patients</w:t>
      </w:r>
      <w:r w:rsidRPr="001A6261">
        <w:rPr>
          <w:color w:val="000000"/>
        </w:rPr>
        <w:t xml:space="preserve"> haemoglobin level</w:t>
      </w:r>
      <w:r>
        <w:rPr>
          <w:color w:val="000000"/>
        </w:rPr>
        <w:t xml:space="preserve"> </w:t>
      </w:r>
      <w:r w:rsidRPr="001A6261">
        <w:rPr>
          <w:color w:val="000000"/>
        </w:rPr>
        <w:fldChar w:fldCharType="begin">
          <w:fldData xml:space="preserve">PEVuZE5vdGU+PENpdGU+PEF1dGhvcj5HYXJjaWEtU2FuejwvQXV0aG9yPjxZZWFyPjIwMDc8L1ll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=
</w:fldData>
        </w:fldChar>
      </w:r>
      <w:r w:rsidR="00857D49">
        <w:rPr>
          <w:color w:val="000000"/>
        </w:rPr>
        <w:instrText xml:space="preserve"> ADDIN EN.CITE </w:instrText>
      </w:r>
      <w:r w:rsidR="00857D49">
        <w:rPr>
          <w:color w:val="000000"/>
        </w:rPr>
        <w:fldChar w:fldCharType="begin">
          <w:fldData xml:space="preserve">PEVuZE5vdGU+PENpdGU+PEF1dGhvcj5HYXJjaWEtU2FuejwvQXV0aG9yPjxZZWFyPjIwMDc8L1ll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=
</w:fldData>
        </w:fldChar>
      </w:r>
      <w:r w:rsidR="00857D49">
        <w:rPr>
          <w:color w:val="000000"/>
        </w:rPr>
        <w:instrText xml:space="preserve"> ADDIN EN.CITE.DATA </w:instrText>
      </w:r>
      <w:r w:rsidR="00857D49">
        <w:rPr>
          <w:color w:val="000000"/>
        </w:rPr>
      </w:r>
      <w:r w:rsidR="00857D49">
        <w:rPr>
          <w:color w:val="000000"/>
        </w:rPr>
        <w:fldChar w:fldCharType="end"/>
      </w:r>
      <w:r w:rsidRPr="001A6261">
        <w:rPr>
          <w:color w:val="000000"/>
        </w:rPr>
      </w:r>
      <w:r w:rsidRPr="001A6261">
        <w:rPr>
          <w:color w:val="000000"/>
        </w:rPr>
        <w:fldChar w:fldCharType="separate"/>
      </w:r>
      <w:r w:rsidR="00857D49">
        <w:rPr>
          <w:noProof/>
          <w:color w:val="000000"/>
        </w:rPr>
        <w:t>(</w:t>
      </w:r>
      <w:hyperlink w:anchor="_ENREF_136" w:tooltip="Garcia-Sanz, 2007 #794" w:history="1">
        <w:r w:rsidR="004A784D">
          <w:rPr>
            <w:noProof/>
            <w:color w:val="000000"/>
          </w:rPr>
          <w:t>Garcia-Sanz et al., 2007</w:t>
        </w:r>
      </w:hyperlink>
      <w:r w:rsidR="00857D49">
        <w:rPr>
          <w:noProof/>
          <w:color w:val="000000"/>
        </w:rPr>
        <w:t xml:space="preserve">, </w:t>
      </w:r>
      <w:hyperlink w:anchor="_ENREF_64" w:tooltip="Caravita, 2009 #6747" w:history="1">
        <w:r w:rsidR="004A784D">
          <w:rPr>
            <w:noProof/>
            <w:color w:val="000000"/>
          </w:rPr>
          <w:t>Caravita et al., 2009</w:t>
        </w:r>
      </w:hyperlink>
      <w:r w:rsidR="00857D49">
        <w:rPr>
          <w:noProof/>
          <w:color w:val="000000"/>
        </w:rPr>
        <w:t xml:space="preserve">, </w:t>
      </w:r>
      <w:hyperlink w:anchor="_ENREF_364" w:tooltip="Salmon, 1975 #7109" w:history="1">
        <w:r w:rsidR="004A784D">
          <w:rPr>
            <w:noProof/>
            <w:color w:val="000000"/>
          </w:rPr>
          <w:t>Salmon and Durie, 1975</w:t>
        </w:r>
      </w:hyperlink>
      <w:r w:rsidR="00857D49">
        <w:rPr>
          <w:noProof/>
          <w:color w:val="000000"/>
        </w:rPr>
        <w:t>)</w:t>
      </w:r>
      <w:r w:rsidRPr="001A6261">
        <w:rPr>
          <w:color w:val="000000"/>
        </w:rPr>
        <w:fldChar w:fldCharType="end"/>
      </w:r>
      <w:r w:rsidRPr="001A6261">
        <w:rPr>
          <w:color w:val="000000"/>
        </w:rPr>
        <w:t xml:space="preserve">. </w:t>
      </w:r>
      <w:r>
        <w:rPr>
          <w:color w:val="000000"/>
        </w:rPr>
        <w:t>Therefore, g</w:t>
      </w:r>
      <w:r w:rsidRPr="001A6261">
        <w:rPr>
          <w:color w:val="000000"/>
        </w:rPr>
        <w:t xml:space="preserve">iven the serious reduction in patient survival by anaemia, </w:t>
      </w:r>
      <w:r>
        <w:rPr>
          <w:color w:val="000000"/>
        </w:rPr>
        <w:t xml:space="preserve">in this study, patients at diagnosis and </w:t>
      </w:r>
      <w:r w:rsidRPr="001A6261">
        <w:rPr>
          <w:color w:val="000000"/>
        </w:rPr>
        <w:t>its potential impact and c</w:t>
      </w:r>
      <w:r>
        <w:rPr>
          <w:color w:val="000000"/>
        </w:rPr>
        <w:t>orrelation</w:t>
      </w:r>
      <w:r w:rsidRPr="001A6261">
        <w:rPr>
          <w:color w:val="000000"/>
        </w:rPr>
        <w:t xml:space="preserve"> with thalidomide response was also </w:t>
      </w:r>
      <w:r>
        <w:rPr>
          <w:color w:val="000000"/>
        </w:rPr>
        <w:t xml:space="preserve">assessed. </w:t>
      </w:r>
      <w:r w:rsidRPr="001A6261">
        <w:rPr>
          <w:color w:val="000000"/>
        </w:rPr>
        <w:t xml:space="preserve"> </w:t>
      </w:r>
    </w:p>
    <w:p w:rsidR="00B61503" w:rsidRPr="001A6261" w:rsidRDefault="00B61503" w:rsidP="00057B42">
      <w:pPr>
        <w:spacing w:line="360" w:lineRule="auto"/>
        <w:jc w:val="both"/>
        <w:rPr>
          <w:color w:val="000000"/>
        </w:rPr>
      </w:pPr>
    </w:p>
    <w:p w:rsidR="00B61503" w:rsidRDefault="00B61503" w:rsidP="00645687">
      <w:pPr>
        <w:pStyle w:val="Heading2"/>
        <w:numPr>
          <w:ilvl w:val="4"/>
          <w:numId w:val="19"/>
        </w:numPr>
      </w:pPr>
      <w:bookmarkStart w:id="2071" w:name="_Toc305690118"/>
      <w:bookmarkStart w:id="2072" w:name="_Toc306570810"/>
      <w:bookmarkStart w:id="2073" w:name="_Toc307067871"/>
      <w:bookmarkStart w:id="2074" w:name="_Toc312169437"/>
      <w:bookmarkStart w:id="2075" w:name="_Toc312172364"/>
      <w:bookmarkStart w:id="2076" w:name="_Toc312257913"/>
      <w:r w:rsidRPr="009569A4">
        <w:t>Patients Hb Level and predictive model</w:t>
      </w:r>
      <w:bookmarkEnd w:id="2071"/>
      <w:bookmarkEnd w:id="2072"/>
      <w:bookmarkEnd w:id="2073"/>
      <w:bookmarkEnd w:id="2074"/>
      <w:bookmarkEnd w:id="2075"/>
      <w:bookmarkEnd w:id="2076"/>
    </w:p>
    <w:p w:rsidR="00B61503" w:rsidRDefault="00B61503" w:rsidP="00000025">
      <w:pPr>
        <w:spacing w:before="240" w:line="360" w:lineRule="auto"/>
        <w:jc w:val="both"/>
        <w:rPr>
          <w:color w:val="000000"/>
        </w:rPr>
      </w:pPr>
      <w:r w:rsidRPr="001A6261">
        <w:rPr>
          <w:color w:val="000000"/>
        </w:rPr>
        <w:t xml:space="preserve">In our study the patient’s haemoglobin level at diagnosis was added to the predictive model.  Leave-one-out cross-validation was performed and results showed that patient’s haemoglobin level at diagnosis does not improve predictive capability of our model. </w:t>
      </w:r>
    </w:p>
    <w:p w:rsidR="002E7FDB" w:rsidRDefault="002E7FDB" w:rsidP="00057B42">
      <w:pPr>
        <w:spacing w:line="360" w:lineRule="auto"/>
        <w:jc w:val="both"/>
        <w:rPr>
          <w:color w:val="000000"/>
        </w:rPr>
      </w:pPr>
    </w:p>
    <w:p w:rsidR="00B61503" w:rsidRDefault="00B61503" w:rsidP="00057B42">
      <w:pPr>
        <w:spacing w:line="360" w:lineRule="auto"/>
        <w:jc w:val="both"/>
        <w:rPr>
          <w:color w:val="000000"/>
        </w:rPr>
      </w:pPr>
      <w:r w:rsidRPr="001A6261">
        <w:rPr>
          <w:color w:val="000000"/>
        </w:rPr>
        <w:t xml:space="preserve">The ROC curve generated from </w:t>
      </w:r>
      <w:r>
        <w:rPr>
          <w:color w:val="000000"/>
        </w:rPr>
        <w:t>the</w:t>
      </w:r>
      <w:r w:rsidRPr="001A6261">
        <w:rPr>
          <w:color w:val="000000"/>
        </w:rPr>
        <w:t xml:space="preserve"> three best predictive proteins (ZAG, Hp and VDB) without patient’s </w:t>
      </w:r>
      <w:r>
        <w:rPr>
          <w:color w:val="000000"/>
        </w:rPr>
        <w:t>Hb</w:t>
      </w:r>
      <w:r w:rsidRPr="001A6261">
        <w:rPr>
          <w:color w:val="000000"/>
        </w:rPr>
        <w:t xml:space="preserve"> yielded AUC of 0.96 and hereafter when we added patient </w:t>
      </w:r>
      <w:r>
        <w:rPr>
          <w:color w:val="000000"/>
        </w:rPr>
        <w:t>Hb</w:t>
      </w:r>
      <w:r w:rsidRPr="001A6261">
        <w:rPr>
          <w:color w:val="000000"/>
        </w:rPr>
        <w:t xml:space="preserve"> to this model, the ROC cur</w:t>
      </w:r>
      <w:r>
        <w:rPr>
          <w:color w:val="000000"/>
        </w:rPr>
        <w:t>ve generated yielded AUC of 0.96</w:t>
      </w:r>
      <w:r w:rsidRPr="001A6261">
        <w:rPr>
          <w:color w:val="000000"/>
        </w:rPr>
        <w:t>.</w:t>
      </w:r>
      <w:r>
        <w:rPr>
          <w:color w:val="000000"/>
        </w:rPr>
        <w:t xml:space="preserve"> </w:t>
      </w:r>
    </w:p>
    <w:p w:rsidR="00E676DF" w:rsidRDefault="00E676DF" w:rsidP="00057B42">
      <w:pPr>
        <w:spacing w:line="360" w:lineRule="auto"/>
        <w:jc w:val="both"/>
        <w:rPr>
          <w:color w:val="000000"/>
        </w:rPr>
      </w:pPr>
    </w:p>
    <w:p w:rsidR="00B61503" w:rsidRPr="001A6261" w:rsidRDefault="00B61503" w:rsidP="00057B42">
      <w:pPr>
        <w:spacing w:line="360" w:lineRule="auto"/>
        <w:jc w:val="both"/>
      </w:pPr>
      <w:r>
        <w:rPr>
          <w:color w:val="000000"/>
        </w:rPr>
        <w:t xml:space="preserve">The </w:t>
      </w:r>
      <w:r w:rsidRPr="001A6261">
        <w:rPr>
          <w:color w:val="000000"/>
        </w:rPr>
        <w:t xml:space="preserve">LOOCV indicated an overall predictive accuracy remain at 84%. This demonstrates that </w:t>
      </w:r>
      <w:r>
        <w:rPr>
          <w:color w:val="000000"/>
        </w:rPr>
        <w:t xml:space="preserve">the </w:t>
      </w:r>
      <w:r w:rsidRPr="001A6261">
        <w:rPr>
          <w:color w:val="000000"/>
        </w:rPr>
        <w:t xml:space="preserve">addition of </w:t>
      </w:r>
      <w:r>
        <w:rPr>
          <w:color w:val="000000"/>
        </w:rPr>
        <w:t>patient Hb level</w:t>
      </w:r>
      <w:r w:rsidRPr="001A6261">
        <w:rPr>
          <w:color w:val="000000"/>
        </w:rPr>
        <w:t xml:space="preserve"> failed to improve the ability of </w:t>
      </w:r>
      <w:r>
        <w:rPr>
          <w:color w:val="000000"/>
        </w:rPr>
        <w:t>constructed model</w:t>
      </w:r>
      <w:r w:rsidRPr="001A6261">
        <w:rPr>
          <w:color w:val="000000"/>
        </w:rPr>
        <w:t>.</w:t>
      </w:r>
      <w:r>
        <w:rPr>
          <w:color w:val="000000"/>
        </w:rPr>
        <w:t xml:space="preserve"> Despite, there is a well know </w:t>
      </w:r>
      <w:r w:rsidRPr="001A6261">
        <w:rPr>
          <w:color w:val="000000"/>
        </w:rPr>
        <w:t xml:space="preserve">positive relationship between serum haemoglobin level and quality of-life in anaemic </w:t>
      </w:r>
      <w:r>
        <w:rPr>
          <w:color w:val="000000"/>
        </w:rPr>
        <w:t>MM</w:t>
      </w:r>
      <w:r w:rsidRPr="001A6261">
        <w:rPr>
          <w:color w:val="000000"/>
        </w:rPr>
        <w:t xml:space="preserve"> patients</w:t>
      </w:r>
      <w:r>
        <w:rPr>
          <w:color w:val="000000"/>
        </w:rPr>
        <w:t>. H</w:t>
      </w:r>
      <w:r w:rsidRPr="001A6261">
        <w:rPr>
          <w:color w:val="000000"/>
        </w:rPr>
        <w:t xml:space="preserve">owever, </w:t>
      </w:r>
      <w:r>
        <w:rPr>
          <w:color w:val="000000"/>
        </w:rPr>
        <w:t xml:space="preserve">in </w:t>
      </w:r>
      <w:r>
        <w:rPr>
          <w:color w:val="000000"/>
        </w:rPr>
        <w:lastRenderedPageBreak/>
        <w:t xml:space="preserve">our finding, the </w:t>
      </w:r>
      <w:r w:rsidRPr="001A6261">
        <w:rPr>
          <w:color w:val="000000"/>
        </w:rPr>
        <w:t>low</w:t>
      </w:r>
      <w:r>
        <w:rPr>
          <w:color w:val="000000"/>
        </w:rPr>
        <w:t>er</w:t>
      </w:r>
      <w:r w:rsidRPr="001A6261">
        <w:rPr>
          <w:color w:val="000000"/>
        </w:rPr>
        <w:t xml:space="preserve"> Hb cannot hinder or impact the predictive capability of the discovered biomarkers</w:t>
      </w:r>
      <w:r>
        <w:rPr>
          <w:color w:val="000000"/>
        </w:rPr>
        <w:t>. Therefore the predictive model for assessing thalidomide response is</w:t>
      </w:r>
      <w:r w:rsidRPr="001A6261">
        <w:rPr>
          <w:color w:val="000000"/>
        </w:rPr>
        <w:t xml:space="preserve"> useful in both anaemic and non-anaemic MM patients. </w:t>
      </w:r>
    </w:p>
    <w:p w:rsidR="00B61503" w:rsidRDefault="00B61503" w:rsidP="00645687">
      <w:pPr>
        <w:pStyle w:val="Heading2"/>
        <w:numPr>
          <w:ilvl w:val="3"/>
          <w:numId w:val="19"/>
        </w:numPr>
      </w:pPr>
      <w:r w:rsidRPr="001A6261">
        <w:br w:type="page"/>
      </w:r>
      <w:bookmarkStart w:id="2077" w:name="_Toc302582449"/>
      <w:bookmarkStart w:id="2078" w:name="_Toc305690119"/>
      <w:bookmarkStart w:id="2079" w:name="_Toc306570811"/>
      <w:bookmarkStart w:id="2080" w:name="_Toc307067872"/>
      <w:bookmarkStart w:id="2081" w:name="_Toc312169438"/>
      <w:bookmarkStart w:id="2082" w:name="_Toc312172365"/>
      <w:bookmarkStart w:id="2083" w:name="_Toc312257914"/>
      <w:r w:rsidRPr="001A6261">
        <w:lastRenderedPageBreak/>
        <w:t>Further validation of predictive biomarkers</w:t>
      </w:r>
      <w:bookmarkEnd w:id="2077"/>
      <w:bookmarkEnd w:id="2078"/>
      <w:bookmarkEnd w:id="2079"/>
      <w:bookmarkEnd w:id="2080"/>
      <w:bookmarkEnd w:id="2081"/>
      <w:bookmarkEnd w:id="2082"/>
      <w:bookmarkEnd w:id="2083"/>
    </w:p>
    <w:p w:rsidR="002E7FDB" w:rsidRDefault="00B61503" w:rsidP="007C0C5B">
      <w:pPr>
        <w:spacing w:before="240" w:line="360" w:lineRule="auto"/>
        <w:jc w:val="both"/>
      </w:pPr>
      <w:r w:rsidRPr="001A6261">
        <w:t xml:space="preserve">Resistance to chemotherapy and radiotherapy is probably mediated by a variety of molecular pathways, and it seems reasonable to assume that it is impossible to predict sensitivity to chemotherapy and radiotherapy by measuring any single biomarker. These includes serum-free light chains (sFLC), cytogenetic analyses </w:t>
      </w:r>
      <w:r w:rsidRPr="001A6261">
        <w:fldChar w:fldCharType="begin">
          <w:fldData xml:space="preserve">PEVuZE5vdGU+PENpdGU+PEF1dGhvcj5LdXJhaGFzaGk8L0F1dGhvcj48WWVhcj4yMDA3PC9ZZWFy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=
</w:fldData>
        </w:fldChar>
      </w:r>
      <w:r w:rsidR="006F41FE">
        <w:instrText xml:space="preserve"> ADDIN EN.CITE </w:instrText>
      </w:r>
      <w:r w:rsidR="006F41FE">
        <w:fldChar w:fldCharType="begin">
          <w:fldData xml:space="preserve">PEVuZE5vdGU+PENpdGU+PEF1dGhvcj5LdXJhaGFzaGk8L0F1dGhvcj48WWVhcj4yMDA3PC9ZZWFy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=
</w:fldData>
        </w:fldChar>
      </w:r>
      <w:r w:rsidR="006F41FE">
        <w:instrText xml:space="preserve"> ADDIN EN.CITE.DATA </w:instrText>
      </w:r>
      <w:r w:rsidR="006F41FE">
        <w:fldChar w:fldCharType="end"/>
      </w:r>
      <w:r w:rsidRPr="001A6261">
        <w:fldChar w:fldCharType="separate"/>
      </w:r>
      <w:r w:rsidR="006F41FE">
        <w:rPr>
          <w:noProof/>
        </w:rPr>
        <w:t>(</w:t>
      </w:r>
      <w:hyperlink w:anchor="_ENREF_229" w:tooltip="Kurahashi, 2007 #59" w:history="1">
        <w:r w:rsidR="004A784D">
          <w:rPr>
            <w:noProof/>
          </w:rPr>
          <w:t>Kurahashi et al., 2007</w:t>
        </w:r>
      </w:hyperlink>
      <w:r w:rsidR="006F41FE">
        <w:rPr>
          <w:noProof/>
        </w:rPr>
        <w:t xml:space="preserve">, </w:t>
      </w:r>
      <w:hyperlink w:anchor="_ENREF_29" w:tooltip="Avet-Loiseau, 2007 #62" w:history="1">
        <w:r w:rsidR="004A784D">
          <w:rPr>
            <w:noProof/>
          </w:rPr>
          <w:t>Avet-Loiseau, 2007</w:t>
        </w:r>
      </w:hyperlink>
      <w:r w:rsidR="006F41FE">
        <w:rPr>
          <w:noProof/>
        </w:rPr>
        <w:t>)</w:t>
      </w:r>
      <w:r w:rsidRPr="001A6261">
        <w:fldChar w:fldCharType="end"/>
      </w:r>
      <w:r w:rsidRPr="001A6261">
        <w:t xml:space="preserve"> , Bony involvement </w:t>
      </w:r>
      <w:r w:rsidRPr="001A6261">
        <w:fldChar w:fldCharType="begin"/>
      </w:r>
      <w:r w:rsidR="006F41FE">
        <w:instrText xml:space="preserve"> ADDIN EN.CITE &lt;EndNote&gt;&lt;Cite&gt;&lt;Author&gt;Fonseca&lt;/Author&gt;&lt;Year&gt;2000&lt;/Year&gt;&lt;RecNum&gt;17&lt;/RecNum&gt;&lt;DisplayText&gt;(Fonseca et al., 2000)&lt;/DisplayText&gt;&lt;record&gt;&lt;rec-number&gt;17&lt;/rec-number&gt;&lt;ref-type name="Journal Article"&gt;17&lt;/ref-type&gt;&lt;contributors&gt;&lt;authors&gt;&lt;author&gt;Fonseca, R.&lt;/author&gt;&lt;author&gt;Trendle, M. C.&lt;/author&gt;&lt;author&gt;Leong, T.&lt;/author&gt;&lt;author&gt;Kyle, R. A.&lt;/author&gt;&lt;author&gt;Oken, M. M.&lt;/author&gt;&lt;author&gt;Kay, N. E.&lt;/author&gt;&lt;author&gt;Van Ness, B.&lt;/author&gt;&lt;author&gt;Greipp, P. R.&lt;/author&gt;&lt;/authors&gt;&lt;/contributors&gt;&lt;auth-address&gt;Department of Pathology and Laboratory Medicine, Rochester, MN 55905, USA.&lt;/auth-address&gt;&lt;titles&gt;&lt;title&gt;Prognostic value of serum markers of bone metabolism in untreated multiple myeloma patients&lt;/title&gt;&lt;secondary-title&gt;Br J Haematol&lt;/secondary-title&gt;&lt;/titles&gt;&lt;pages&gt;24-9&lt;/pages&gt;&lt;volume&gt;109&lt;/volume&gt;&lt;number&gt;1&lt;/number&gt;&lt;keywords&gt;&lt;keyword&gt;Acid Phosphatase/blood&lt;/keyword&gt;&lt;keyword&gt;Adult&lt;/keyword&gt;&lt;keyword&gt;Aged&lt;/keyword&gt;&lt;keyword&gt;Aged, 80 and over&lt;/keyword&gt;&lt;keyword&gt;Bone Neoplasms/*blood/complications/mortality&lt;/keyword&gt;&lt;keyword&gt;Collagen/*blood&lt;/keyword&gt;&lt;keyword&gt;Collagen Type I&lt;/keyword&gt;&lt;keyword&gt;Disease-Free Survival&lt;/keyword&gt;&lt;keyword&gt;Female&lt;/keyword&gt;&lt;keyword&gt;Glycoproteins/blood&lt;/keyword&gt;&lt;keyword&gt;Humans&lt;/keyword&gt;&lt;keyword&gt;Male&lt;/keyword&gt;&lt;keyword&gt;Middle Aged&lt;/keyword&gt;&lt;keyword&gt;Multiple Myeloma/*blood/complications/mortality&lt;/keyword&gt;&lt;keyword&gt;Multivariate Analysis&lt;/keyword&gt;&lt;keyword&gt;Osteocalcin/blood&lt;/keyword&gt;&lt;keyword&gt;Peptide Fragments/blood&lt;/keyword&gt;&lt;keyword&gt;Peptides/*blood&lt;/keyword&gt;&lt;keyword&gt;Procollagen/blood&lt;/keyword&gt;&lt;keyword&gt;Prognosis&lt;/keyword&gt;&lt;keyword&gt;Survival Rate&lt;/keyword&gt;&lt;keyword&gt;Tumor Markers, Biological/*blood&lt;/keyword&gt;&lt;/keywords&gt;&lt;dates&gt;&lt;year&gt;2000&lt;/year&gt;&lt;pub-dates&gt;&lt;date&gt;Apr&lt;/date&gt;&lt;/pub-dates&gt;&lt;/dates&gt;&lt;accession-num&gt;10848778&lt;/accession-num&gt;&lt;urls&gt;&lt;related-urls&gt;&lt;url&gt;http://www.ncbi.nlm.nih.gov/entrez/query.fcgi?cmd=Retrieve&amp;amp;db=PubMed&amp;amp;dopt=Citation&amp;amp;list_uids=10848778 &lt;/url&gt;&lt;/related-urls&gt;&lt;/urls&gt;&lt;/record&gt;&lt;/Cite&gt;&lt;/EndNote&gt;</w:instrText>
      </w:r>
      <w:r w:rsidRPr="001A6261">
        <w:fldChar w:fldCharType="separate"/>
      </w:r>
      <w:r w:rsidR="006F41FE">
        <w:rPr>
          <w:noProof/>
        </w:rPr>
        <w:t>(</w:t>
      </w:r>
      <w:hyperlink w:anchor="_ENREF_124" w:tooltip="Fonseca, 2000 #17" w:history="1">
        <w:r w:rsidR="004A784D">
          <w:rPr>
            <w:noProof/>
          </w:rPr>
          <w:t>Fonseca et al., 2000</w:t>
        </w:r>
      </w:hyperlink>
      <w:r w:rsidR="006F41FE">
        <w:rPr>
          <w:noProof/>
        </w:rPr>
        <w:t>)</w:t>
      </w:r>
      <w:r w:rsidRPr="001A6261">
        <w:fldChar w:fldCharType="end"/>
      </w:r>
      <w:r w:rsidRPr="001A6261">
        <w:t xml:space="preserve"> and  B2M </w:t>
      </w:r>
      <w:r w:rsidRPr="001A6261">
        <w:fldChar w:fldCharType="begin">
          <w:fldData xml:space="preserve">PEVuZE5vdGU+PENpdGU+PEF1dGhvcj5TdGVsbGEtSG9sb3dpZWNrYTwvQXV0aG9yPjxZZWFyPjIw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</w:fldData>
        </w:fldChar>
      </w:r>
      <w:r w:rsidR="006F41FE">
        <w:instrText xml:space="preserve"> ADDIN EN.CITE </w:instrText>
      </w:r>
      <w:r w:rsidR="006F41FE">
        <w:fldChar w:fldCharType="begin">
          <w:fldData xml:space="preserve">PEVuZE5vdGU+PENpdGU+PEF1dGhvcj5TdGVsbGEtSG9sb3dpZWNrYTwvQXV0aG9yPjxZZWFyPjIw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</w:fldData>
        </w:fldChar>
      </w:r>
      <w:r w:rsidR="006F41FE">
        <w:instrText xml:space="preserve"> ADDIN EN.CITE.DATA </w:instrText>
      </w:r>
      <w:r w:rsidR="006F41FE">
        <w:fldChar w:fldCharType="end"/>
      </w:r>
      <w:r w:rsidRPr="001A6261">
        <w:fldChar w:fldCharType="separate"/>
      </w:r>
      <w:r w:rsidR="006F41FE">
        <w:rPr>
          <w:noProof/>
        </w:rPr>
        <w:t>(</w:t>
      </w:r>
      <w:hyperlink w:anchor="_ENREF_401" w:tooltip="Stella-Holowiecka, 2007 #5" w:history="1">
        <w:r w:rsidR="004A784D">
          <w:rPr>
            <w:noProof/>
          </w:rPr>
          <w:t>Stella-Holowiecka et al., 2007</w:t>
        </w:r>
      </w:hyperlink>
      <w:r w:rsidR="006F41FE">
        <w:rPr>
          <w:noProof/>
        </w:rPr>
        <w:t>)</w:t>
      </w:r>
      <w:r w:rsidRPr="001A6261">
        <w:fldChar w:fldCharType="end"/>
      </w:r>
      <w:r w:rsidRPr="001A6261">
        <w:t>. These additional factors correlate with the response rate and survival and has been incorporated with other variable</w:t>
      </w:r>
      <w:r>
        <w:t>s</w:t>
      </w:r>
      <w:r w:rsidRPr="001A6261">
        <w:t xml:space="preserve"> to develop ISS </w:t>
      </w:r>
      <w:r w:rsidRPr="001A6261">
        <w:fldChar w:fldCharType="begin">
          <w:fldData xml:space="preserve">PEVuZE5vdGU+PENpdGU+PEF1dGhvcj5Ib3R0YTwvQXV0aG9yPjxZZWFyPjIwMDc8L1llYXI+PFJl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==
</w:fldData>
        </w:fldChar>
      </w:r>
      <w:r w:rsidR="006F41FE">
        <w:instrText xml:space="preserve"> ADDIN EN.CITE </w:instrText>
      </w:r>
      <w:r w:rsidR="006F41FE">
        <w:fldChar w:fldCharType="begin">
          <w:fldData xml:space="preserve">PEVuZE5vdGU+PENpdGU+PEF1dGhvcj5Ib3R0YTwvQXV0aG9yPjxZZWFyPjIwMDc8L1llYXI+PFJl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==
</w:fldData>
        </w:fldChar>
      </w:r>
      <w:r w:rsidR="006F41FE">
        <w:instrText xml:space="preserve"> ADDIN EN.CITE.DATA </w:instrText>
      </w:r>
      <w:r w:rsidR="006F41FE">
        <w:fldChar w:fldCharType="end"/>
      </w:r>
      <w:r w:rsidRPr="001A6261">
        <w:fldChar w:fldCharType="separate"/>
      </w:r>
      <w:r w:rsidR="006F41FE">
        <w:rPr>
          <w:noProof/>
        </w:rPr>
        <w:t>(</w:t>
      </w:r>
      <w:hyperlink w:anchor="_ENREF_180" w:tooltip="Hotta, 2007 #25" w:history="1">
        <w:r w:rsidR="004A784D">
          <w:rPr>
            <w:noProof/>
          </w:rPr>
          <w:t>Hotta, 2007</w:t>
        </w:r>
      </w:hyperlink>
      <w:r w:rsidR="006F41FE">
        <w:rPr>
          <w:noProof/>
        </w:rPr>
        <w:t xml:space="preserve">, </w:t>
      </w:r>
      <w:hyperlink w:anchor="_ENREF_284" w:tooltip="Nagura, 2007 #23" w:history="1">
        <w:r w:rsidR="004A784D">
          <w:rPr>
            <w:noProof/>
          </w:rPr>
          <w:t>Nagura, 2007</w:t>
        </w:r>
      </w:hyperlink>
      <w:r w:rsidR="006F41FE">
        <w:rPr>
          <w:noProof/>
        </w:rPr>
        <w:t>)</w:t>
      </w:r>
      <w:r w:rsidRPr="001A6261">
        <w:fldChar w:fldCharType="end"/>
      </w:r>
      <w:r w:rsidRPr="001A6261">
        <w:t xml:space="preserve">. </w:t>
      </w:r>
    </w:p>
    <w:p w:rsidR="002E7FDB" w:rsidRDefault="002E7FDB" w:rsidP="00057B42">
      <w:pPr>
        <w:spacing w:line="360" w:lineRule="auto"/>
        <w:jc w:val="both"/>
      </w:pPr>
    </w:p>
    <w:p w:rsidR="00FB65A2" w:rsidRDefault="00B61503" w:rsidP="00057B42">
      <w:pPr>
        <w:spacing w:line="360" w:lineRule="auto"/>
        <w:jc w:val="both"/>
        <w:rPr>
          <w:bCs/>
          <w:color w:val="000000"/>
        </w:rPr>
      </w:pPr>
      <w:r w:rsidRPr="001A6261">
        <w:t xml:space="preserve">In myeloma, the tumour resistance process is one of the main reasons for treatment failure; </w:t>
      </w:r>
      <w:r w:rsidRPr="001A6261">
        <w:rPr>
          <w:bCs/>
          <w:color w:val="000000"/>
        </w:rPr>
        <w:t xml:space="preserve">we also considered the possibility that the non-responders to thalidomide were simply patients with a disease that </w:t>
      </w:r>
      <w:r w:rsidR="00857D49">
        <w:rPr>
          <w:bCs/>
          <w:color w:val="000000"/>
        </w:rPr>
        <w:t>would be refractory to all anti-</w:t>
      </w:r>
      <w:r w:rsidRPr="001A6261">
        <w:rPr>
          <w:bCs/>
          <w:color w:val="000000"/>
        </w:rPr>
        <w:t>myeloma therapies. However, on further follow up of original cohort of MM patient, out of 22 non-responders to thalidomide, 16 patients successfully achieved CR/VGPR using other anti-myeloma therapies including bortezom</w:t>
      </w:r>
      <w:r w:rsidR="00662A1A">
        <w:rPr>
          <w:bCs/>
          <w:color w:val="000000"/>
        </w:rPr>
        <w:t>ib and lenalidomide (Table</w:t>
      </w:r>
      <w:r w:rsidR="00FB65A2">
        <w:rPr>
          <w:bCs/>
          <w:color w:val="000000"/>
        </w:rPr>
        <w:t xml:space="preserve"> 4-1</w:t>
      </w:r>
      <w:r w:rsidRPr="001A6261">
        <w:rPr>
          <w:bCs/>
          <w:color w:val="000000"/>
        </w:rPr>
        <w:t>).</w:t>
      </w:r>
    </w:p>
    <w:p w:rsidR="00FB65A2" w:rsidRDefault="00FB65A2">
      <w:pPr>
        <w:rPr>
          <w:bCs/>
          <w:color w:val="000000"/>
        </w:rPr>
      </w:pPr>
      <w:r>
        <w:rPr>
          <w:bCs/>
          <w:color w:val="000000"/>
        </w:rPr>
        <w:br w:type="page"/>
      </w:r>
    </w:p>
    <w:p w:rsidR="00B61503" w:rsidRPr="001A6261" w:rsidRDefault="001B0E11" w:rsidP="00057B42">
      <w:pPr>
        <w:spacing w:line="360" w:lineRule="auto"/>
        <w:jc w:val="both"/>
        <w:rPr>
          <w:bCs/>
          <w:color w:val="000000"/>
        </w:rPr>
      </w:pPr>
      <w:r w:rsidRPr="001B0E11">
        <w:rPr>
          <w:noProof/>
          <w:lang w:eastAsia="en-IE"/>
        </w:rPr>
        <w:lastRenderedPageBreak/>
        <w:drawing>
          <wp:inline distT="0" distB="0" distL="0" distR="0" wp14:anchorId="0F2C6690" wp14:editId="356766CC">
            <wp:extent cx="5183505" cy="3354326"/>
            <wp:effectExtent l="0" t="0" r="0" b="0"/>
            <wp:docPr id="290835" name="Picture 29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183505" cy="3354326"/>
                    </a:xfrm>
                    <a:prstGeom prst="rect">
                      <a:avLst/>
                    </a:prstGeom>
                  </pic:spPr>
                </pic:pic>
              </a:graphicData>
            </a:graphic>
          </wp:inline>
        </w:drawing>
      </w:r>
    </w:p>
    <w:p w:rsidR="00B61503" w:rsidRPr="001A6261" w:rsidRDefault="00B61503" w:rsidP="00057B42">
      <w:pPr>
        <w:spacing w:line="360" w:lineRule="auto"/>
        <w:jc w:val="both"/>
        <w:rPr>
          <w:bCs/>
          <w:color w:val="000000"/>
        </w:rPr>
      </w:pPr>
    </w:p>
    <w:p w:rsidR="00300A1B" w:rsidRDefault="00300A1B" w:rsidP="00057B42">
      <w:pPr>
        <w:pBdr>
          <w:bottom w:val="single" w:sz="12" w:space="1" w:color="auto"/>
        </w:pBdr>
        <w:spacing w:line="360" w:lineRule="auto"/>
        <w:jc w:val="both"/>
        <w:rPr>
          <w:b/>
          <w:bCs/>
          <w:color w:val="000000"/>
        </w:rPr>
      </w:pPr>
    </w:p>
    <w:p w:rsidR="00B61503" w:rsidRDefault="00662A1A" w:rsidP="00057B42">
      <w:pPr>
        <w:pBdr>
          <w:bottom w:val="single" w:sz="12" w:space="1" w:color="auto"/>
        </w:pBdr>
        <w:spacing w:line="360" w:lineRule="auto"/>
        <w:jc w:val="both"/>
        <w:rPr>
          <w:b/>
          <w:bCs/>
          <w:color w:val="000000"/>
        </w:rPr>
      </w:pPr>
      <w:r>
        <w:rPr>
          <w:b/>
          <w:bCs/>
          <w:color w:val="000000"/>
        </w:rPr>
        <w:t xml:space="preserve">Table </w:t>
      </w:r>
      <w:r>
        <w:rPr>
          <w:b/>
          <w:color w:val="000000"/>
        </w:rPr>
        <w:t>4-1</w:t>
      </w:r>
      <w:r>
        <w:rPr>
          <w:bCs/>
          <w:color w:val="000000"/>
        </w:rPr>
        <w:t xml:space="preserve"> </w:t>
      </w:r>
      <w:r>
        <w:rPr>
          <w:b/>
          <w:bCs/>
          <w:color w:val="000000"/>
        </w:rPr>
        <w:t>shows</w:t>
      </w:r>
      <w:r w:rsidR="00B61503" w:rsidRPr="004F1E07">
        <w:rPr>
          <w:b/>
          <w:bCs/>
          <w:color w:val="000000"/>
        </w:rPr>
        <w:t xml:space="preserve"> the clinical details of the patients included in this study, including their age, sex, clinical stage based on ISS, Day-100 restaging based on IMWG uniform response criteria for MM and clinical classification of response to thalidomide. Also included in this table are details for thalidomide-based induction regiment, second line treatment, duration of follow-up in months and the current clinical status.  </w:t>
      </w:r>
    </w:p>
    <w:p w:rsidR="00E676DF" w:rsidRPr="004F1E07" w:rsidRDefault="00E676DF" w:rsidP="00057B42">
      <w:pPr>
        <w:pBdr>
          <w:bottom w:val="single" w:sz="12" w:space="1" w:color="auto"/>
        </w:pBdr>
        <w:spacing w:line="360" w:lineRule="auto"/>
        <w:jc w:val="both"/>
        <w:rPr>
          <w:b/>
          <w:bCs/>
          <w:color w:val="000000"/>
        </w:rPr>
      </w:pPr>
    </w:p>
    <w:p w:rsidR="00B61503" w:rsidRDefault="00B61503" w:rsidP="00057B42">
      <w:pPr>
        <w:spacing w:line="360" w:lineRule="auto"/>
        <w:jc w:val="both"/>
        <w:rPr>
          <w:bCs/>
          <w:color w:val="000000"/>
        </w:rPr>
      </w:pPr>
    </w:p>
    <w:p w:rsidR="00B61503" w:rsidRDefault="00B61503" w:rsidP="00057B42">
      <w:pPr>
        <w:spacing w:line="360" w:lineRule="auto"/>
        <w:jc w:val="both"/>
        <w:rPr>
          <w:bCs/>
          <w:color w:val="000000"/>
        </w:rPr>
      </w:pPr>
      <w:r w:rsidRPr="001A6261">
        <w:rPr>
          <w:bCs/>
          <w:color w:val="000000"/>
        </w:rPr>
        <w:t>This also suggests that the biomarker profile is specific to thalidomide response rather than that the non-responders were simply patients with MM refracto</w:t>
      </w:r>
      <w:r w:rsidR="00662A1A">
        <w:rPr>
          <w:bCs/>
          <w:color w:val="000000"/>
        </w:rPr>
        <w:t>ry to all therapies (Table 4-1</w:t>
      </w:r>
      <w:r w:rsidRPr="001A6261">
        <w:rPr>
          <w:bCs/>
          <w:color w:val="000000"/>
        </w:rPr>
        <w:t>). Furthermore, these data suggests that, had the non-responsive patients received an alternative to t</w:t>
      </w:r>
      <w:r>
        <w:rPr>
          <w:bCs/>
          <w:color w:val="000000"/>
        </w:rPr>
        <w:t xml:space="preserve">halidomide as induction therapy, </w:t>
      </w:r>
      <w:r w:rsidRPr="001A6261">
        <w:rPr>
          <w:bCs/>
          <w:color w:val="000000"/>
        </w:rPr>
        <w:t>a significant response could have been obtained.</w:t>
      </w:r>
    </w:p>
    <w:p w:rsidR="00000025" w:rsidRDefault="00000025" w:rsidP="00057B42">
      <w:pPr>
        <w:spacing w:line="360" w:lineRule="auto"/>
        <w:jc w:val="both"/>
        <w:rPr>
          <w:bCs/>
          <w:color w:val="000000"/>
        </w:rPr>
      </w:pPr>
    </w:p>
    <w:p w:rsidR="00B61503" w:rsidRDefault="00B61503" w:rsidP="00645687">
      <w:pPr>
        <w:pStyle w:val="Heading2"/>
        <w:numPr>
          <w:ilvl w:val="3"/>
          <w:numId w:val="19"/>
        </w:numPr>
      </w:pPr>
      <w:bookmarkStart w:id="2084" w:name="_Toc302582450"/>
      <w:bookmarkStart w:id="2085" w:name="_Toc305690120"/>
      <w:bookmarkStart w:id="2086" w:name="_Toc306570812"/>
      <w:bookmarkStart w:id="2087" w:name="_Toc307067873"/>
      <w:bookmarkStart w:id="2088" w:name="_Toc312169439"/>
      <w:bookmarkStart w:id="2089" w:name="_Toc312172366"/>
      <w:bookmarkStart w:id="2090" w:name="_Toc312257915"/>
      <w:r w:rsidRPr="001A6261">
        <w:t>ISS and predictive biomarkers</w:t>
      </w:r>
      <w:bookmarkEnd w:id="2084"/>
      <w:bookmarkEnd w:id="2085"/>
      <w:bookmarkEnd w:id="2086"/>
      <w:bookmarkEnd w:id="2087"/>
      <w:bookmarkEnd w:id="2088"/>
      <w:bookmarkEnd w:id="2089"/>
      <w:bookmarkEnd w:id="2090"/>
    </w:p>
    <w:p w:rsidR="00B61503" w:rsidRDefault="00B61503" w:rsidP="007C0C5B">
      <w:pPr>
        <w:spacing w:before="240" w:line="360" w:lineRule="auto"/>
        <w:jc w:val="both"/>
        <w:rPr>
          <w:color w:val="000000"/>
        </w:rPr>
      </w:pPr>
      <w:r w:rsidRPr="001A6261">
        <w:rPr>
          <w:bCs/>
          <w:color w:val="000000"/>
        </w:rPr>
        <w:t>Currently the ISS is based on serum B2M and albumin levels. The ISS is a predict</w:t>
      </w:r>
      <w:r w:rsidR="00857D49">
        <w:rPr>
          <w:bCs/>
          <w:color w:val="000000"/>
        </w:rPr>
        <w:t xml:space="preserve">or of overall survival in MM patients </w:t>
      </w:r>
      <w:r w:rsidR="00857D49">
        <w:rPr>
          <w:bCs/>
          <w:color w:val="000000"/>
        </w:rPr>
        <w:fldChar w:fldCharType="begin">
          <w:fldData xml:space="preserve">PEVuZE5vdGU+PENpdGU+PEF1dGhvcj5HcmVpcHA8L0F1dGhvcj48WWVhcj4yMDA1PC9ZZWFyPjxS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</w:fldData>
        </w:fldChar>
      </w:r>
      <w:r w:rsidR="00857D49">
        <w:rPr>
          <w:bCs/>
          <w:color w:val="000000"/>
        </w:rPr>
        <w:instrText xml:space="preserve"> ADDIN EN.CITE </w:instrText>
      </w:r>
      <w:r w:rsidR="00857D49">
        <w:rPr>
          <w:bCs/>
          <w:color w:val="000000"/>
        </w:rPr>
        <w:fldChar w:fldCharType="begin">
          <w:fldData xml:space="preserve">PEVuZE5vdGU+PENpdGU+PEF1dGhvcj5HcmVpcHA8L0F1dGhvcj48WWVhcj4yMDA1PC9ZZWFyPjxS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</w:fldData>
        </w:fldChar>
      </w:r>
      <w:r w:rsidR="00857D49">
        <w:rPr>
          <w:bCs/>
          <w:color w:val="000000"/>
        </w:rPr>
        <w:instrText xml:space="preserve"> ADDIN EN.CITE.DATA </w:instrText>
      </w:r>
      <w:r w:rsidR="00857D49">
        <w:rPr>
          <w:bCs/>
          <w:color w:val="000000"/>
        </w:rPr>
      </w:r>
      <w:r w:rsidR="00857D49">
        <w:rPr>
          <w:bCs/>
          <w:color w:val="000000"/>
        </w:rPr>
        <w:fldChar w:fldCharType="end"/>
      </w:r>
      <w:r w:rsidR="00857D49">
        <w:rPr>
          <w:bCs/>
          <w:color w:val="000000"/>
        </w:rPr>
      </w:r>
      <w:r w:rsidR="00857D49">
        <w:rPr>
          <w:bCs/>
          <w:color w:val="000000"/>
        </w:rPr>
        <w:fldChar w:fldCharType="separate"/>
      </w:r>
      <w:r w:rsidR="00857D49">
        <w:rPr>
          <w:bCs/>
          <w:noProof/>
          <w:color w:val="000000"/>
        </w:rPr>
        <w:t>(</w:t>
      </w:r>
      <w:hyperlink w:anchor="_ENREF_151" w:tooltip="Greipp, 2005 #4976" w:history="1">
        <w:r w:rsidR="004A784D">
          <w:rPr>
            <w:bCs/>
            <w:noProof/>
            <w:color w:val="000000"/>
          </w:rPr>
          <w:t>Greipp et al., 2005</w:t>
        </w:r>
      </w:hyperlink>
      <w:r w:rsidR="00857D49">
        <w:rPr>
          <w:bCs/>
          <w:noProof/>
          <w:color w:val="000000"/>
        </w:rPr>
        <w:t>)</w:t>
      </w:r>
      <w:r w:rsidR="00857D49">
        <w:rPr>
          <w:bCs/>
          <w:color w:val="000000"/>
        </w:rPr>
        <w:fldChar w:fldCharType="end"/>
      </w:r>
      <w:r w:rsidRPr="001A6261">
        <w:rPr>
          <w:bCs/>
          <w:color w:val="000000"/>
        </w:rPr>
        <w:t xml:space="preserve">. The end point in our study </w:t>
      </w:r>
      <w:r w:rsidRPr="001A6261">
        <w:rPr>
          <w:bCs/>
          <w:color w:val="000000"/>
        </w:rPr>
        <w:lastRenderedPageBreak/>
        <w:t xml:space="preserve">was response to thalidomide in contrast to survival for the ISS. There was no correlation between ISS values and response rate to thalidomide. </w:t>
      </w:r>
      <w:r w:rsidRPr="001A6261">
        <w:rPr>
          <w:color w:val="000000"/>
        </w:rPr>
        <w:t>However, somnolence, constipation, neuropathy, and an increased incidence of thrombosis have limited or precluded its use in some</w:t>
      </w:r>
      <w:r>
        <w:rPr>
          <w:color w:val="000000"/>
        </w:rPr>
        <w:t xml:space="preserve"> MM </w:t>
      </w:r>
      <w:r w:rsidRPr="001A6261">
        <w:rPr>
          <w:color w:val="000000"/>
        </w:rPr>
        <w:t>patients, and a dose-response relationship for response and toxicity has not yet been established.</w:t>
      </w:r>
    </w:p>
    <w:p w:rsidR="001B0E11" w:rsidRDefault="00B61503" w:rsidP="00645687">
      <w:pPr>
        <w:pStyle w:val="Heading2"/>
      </w:pPr>
      <w:r>
        <w:br w:type="page"/>
      </w:r>
    </w:p>
    <w:p w:rsidR="001B0E11" w:rsidRDefault="001B0E11" w:rsidP="00645687">
      <w:pPr>
        <w:pStyle w:val="Heading3"/>
        <w:numPr>
          <w:ilvl w:val="2"/>
          <w:numId w:val="19"/>
        </w:numPr>
      </w:pPr>
      <w:r>
        <w:lastRenderedPageBreak/>
        <w:tab/>
      </w:r>
      <w:bookmarkStart w:id="2091" w:name="_Toc312169440"/>
      <w:bookmarkStart w:id="2092" w:name="_Toc312172367"/>
      <w:bookmarkStart w:id="2093" w:name="_Toc312257916"/>
      <w:r w:rsidRPr="001B0E11">
        <w:t>Environmental variables effecting samples quality</w:t>
      </w:r>
      <w:bookmarkEnd w:id="2091"/>
      <w:bookmarkEnd w:id="2092"/>
      <w:bookmarkEnd w:id="2093"/>
    </w:p>
    <w:p w:rsidR="00B61503" w:rsidRPr="001A6261" w:rsidRDefault="00B61503" w:rsidP="00F26244">
      <w:pPr>
        <w:spacing w:line="360" w:lineRule="auto"/>
        <w:jc w:val="both"/>
      </w:pPr>
      <w:r w:rsidRPr="001A6261">
        <w:rPr>
          <w:color w:val="000000"/>
        </w:rPr>
        <w:t>We also reduce environmental variable</w:t>
      </w:r>
      <w:r>
        <w:rPr>
          <w:color w:val="000000"/>
        </w:rPr>
        <w:t>s</w:t>
      </w:r>
      <w:r w:rsidRPr="001A6261">
        <w:rPr>
          <w:color w:val="000000"/>
        </w:rPr>
        <w:t xml:space="preserve"> such as clinical sample collection, processing and storage by establishing standardized protocols for the collected serum samples as described below. </w:t>
      </w:r>
    </w:p>
    <w:p w:rsidR="00B61503" w:rsidRPr="001A6261" w:rsidRDefault="00B61503" w:rsidP="00057B42">
      <w:pPr>
        <w:spacing w:line="360" w:lineRule="auto"/>
        <w:jc w:val="both"/>
      </w:pPr>
    </w:p>
    <w:p w:rsidR="00B61503" w:rsidRDefault="00B61503" w:rsidP="00645687">
      <w:pPr>
        <w:pStyle w:val="Heading2"/>
        <w:numPr>
          <w:ilvl w:val="3"/>
          <w:numId w:val="19"/>
        </w:numPr>
      </w:pPr>
      <w:bookmarkStart w:id="2094" w:name="_Toc305690121"/>
      <w:bookmarkStart w:id="2095" w:name="_Toc306570813"/>
      <w:bookmarkStart w:id="2096" w:name="_Toc307067874"/>
      <w:bookmarkStart w:id="2097" w:name="_Toc312169441"/>
      <w:bookmarkStart w:id="2098" w:name="_Toc312172368"/>
      <w:bookmarkStart w:id="2099" w:name="_Toc312257917"/>
      <w:r w:rsidRPr="001A6261">
        <w:t>Sample processing</w:t>
      </w:r>
      <w:bookmarkEnd w:id="2094"/>
      <w:bookmarkEnd w:id="2095"/>
      <w:bookmarkEnd w:id="2096"/>
      <w:bookmarkEnd w:id="2097"/>
      <w:bookmarkEnd w:id="2098"/>
      <w:bookmarkEnd w:id="2099"/>
    </w:p>
    <w:p w:rsidR="001B0E11" w:rsidRDefault="00B61503" w:rsidP="00F26244">
      <w:pPr>
        <w:spacing w:before="240" w:line="360" w:lineRule="auto"/>
        <w:jc w:val="both"/>
        <w:rPr>
          <w:lang w:eastAsia="en-US"/>
        </w:rPr>
      </w:pPr>
      <w:r w:rsidRPr="001A6261">
        <w:t>Clinical samples serves as the basis for the novel research and development and the discovery of clinical biomarkers. Therefore</w:t>
      </w:r>
      <w:r w:rsidRPr="001A6261">
        <w:rPr>
          <w:lang w:eastAsia="en-US"/>
        </w:rPr>
        <w:t xml:space="preserve"> disease specific biological bank was established in </w:t>
      </w:r>
      <w:r>
        <w:rPr>
          <w:lang w:eastAsia="en-US"/>
        </w:rPr>
        <w:t xml:space="preserve">the </w:t>
      </w:r>
      <w:r w:rsidRPr="001A6261">
        <w:rPr>
          <w:lang w:eastAsia="en-US"/>
        </w:rPr>
        <w:t>National Institute of Cellular Biotechnology (NICB) to ensure standardized methods for collection, long-term storage, retrieval and distribution of specimen as well as continuous supply of MM related biological specimens and associated data within an ethically approved</w:t>
      </w:r>
      <w:r w:rsidR="000D641E">
        <w:rPr>
          <w:lang w:eastAsia="en-US"/>
        </w:rPr>
        <w:t xml:space="preserve"> framework (Mater</w:t>
      </w:r>
      <w:r w:rsidR="007C0C5B">
        <w:rPr>
          <w:lang w:eastAsia="en-US"/>
        </w:rPr>
        <w:t>ial and Method-Chapter 2 page 11</w:t>
      </w:r>
      <w:r w:rsidR="000D641E">
        <w:rPr>
          <w:lang w:eastAsia="en-US"/>
        </w:rPr>
        <w:t>1</w:t>
      </w:r>
      <w:r w:rsidRPr="001A6261">
        <w:rPr>
          <w:lang w:eastAsia="en-US"/>
        </w:rPr>
        <w:t xml:space="preserve">). Creating a MM biological bank </w:t>
      </w:r>
      <w:r>
        <w:rPr>
          <w:lang w:eastAsia="en-US"/>
        </w:rPr>
        <w:t>was</w:t>
      </w:r>
      <w:r w:rsidRPr="001A6261">
        <w:rPr>
          <w:lang w:eastAsia="en-US"/>
        </w:rPr>
        <w:t xml:space="preserve"> </w:t>
      </w:r>
      <w:r w:rsidR="001B0E11">
        <w:rPr>
          <w:lang w:eastAsia="en-US"/>
        </w:rPr>
        <w:t>valuable for many other reasons.</w:t>
      </w:r>
      <w:r w:rsidRPr="001A6261">
        <w:rPr>
          <w:lang w:eastAsia="en-US"/>
        </w:rPr>
        <w:t xml:space="preserve"> </w:t>
      </w:r>
    </w:p>
    <w:p w:rsidR="001B0E11" w:rsidRDefault="001B0E11" w:rsidP="00057B42">
      <w:pPr>
        <w:spacing w:line="360" w:lineRule="auto"/>
        <w:jc w:val="both"/>
        <w:rPr>
          <w:lang w:eastAsia="en-US"/>
        </w:rPr>
      </w:pPr>
    </w:p>
    <w:p w:rsidR="001B0E11" w:rsidRDefault="000D641E" w:rsidP="00057B42">
      <w:pPr>
        <w:spacing w:line="360" w:lineRule="auto"/>
        <w:jc w:val="both"/>
        <w:rPr>
          <w:lang w:eastAsia="en-US"/>
        </w:rPr>
      </w:pPr>
      <w:r>
        <w:rPr>
          <w:lang w:eastAsia="en-US"/>
        </w:rPr>
        <w:t xml:space="preserve">Firstly, </w:t>
      </w:r>
      <w:r w:rsidR="00857D49">
        <w:rPr>
          <w:lang w:eastAsia="en-US"/>
        </w:rPr>
        <w:t>this provides</w:t>
      </w:r>
      <w:r>
        <w:rPr>
          <w:lang w:eastAsia="en-US"/>
        </w:rPr>
        <w:t xml:space="preserve"> us </w:t>
      </w:r>
      <w:r w:rsidR="00B61503" w:rsidRPr="001A6261">
        <w:rPr>
          <w:lang w:eastAsia="en-US"/>
        </w:rPr>
        <w:t xml:space="preserve">with </w:t>
      </w:r>
      <w:r w:rsidR="00B61503">
        <w:rPr>
          <w:lang w:eastAsia="en-US"/>
        </w:rPr>
        <w:t>a secure</w:t>
      </w:r>
      <w:r w:rsidR="00B61503" w:rsidRPr="001A6261">
        <w:rPr>
          <w:lang w:eastAsia="en-US"/>
        </w:rPr>
        <w:t xml:space="preserve"> non-patient identifying access to the specific bio specimens and associated data needed for their research protocols. </w:t>
      </w:r>
    </w:p>
    <w:p w:rsidR="001B0E11" w:rsidRDefault="001B0E11" w:rsidP="00057B42">
      <w:pPr>
        <w:spacing w:line="360" w:lineRule="auto"/>
        <w:jc w:val="both"/>
        <w:rPr>
          <w:lang w:eastAsia="en-US"/>
        </w:rPr>
      </w:pPr>
    </w:p>
    <w:p w:rsidR="001B0E11" w:rsidRDefault="00B61503" w:rsidP="00057B42">
      <w:pPr>
        <w:spacing w:line="360" w:lineRule="auto"/>
        <w:jc w:val="both"/>
        <w:rPr>
          <w:lang w:eastAsia="en-US"/>
        </w:rPr>
      </w:pPr>
      <w:r w:rsidRPr="001A6261">
        <w:rPr>
          <w:lang w:eastAsia="en-US"/>
        </w:rPr>
        <w:t xml:space="preserve">Secondly, costs and time scale duration of the validation studies were decreased with the elimination of the sample collection stage, ethical approval etc. </w:t>
      </w:r>
    </w:p>
    <w:p w:rsidR="001B0E11" w:rsidRDefault="001B0E11" w:rsidP="00057B42">
      <w:pPr>
        <w:spacing w:line="360" w:lineRule="auto"/>
        <w:jc w:val="both"/>
        <w:rPr>
          <w:lang w:eastAsia="en-US"/>
        </w:rPr>
      </w:pPr>
    </w:p>
    <w:p w:rsidR="00B61503" w:rsidRPr="001A6261" w:rsidRDefault="00B61503" w:rsidP="00057B42">
      <w:pPr>
        <w:spacing w:line="360" w:lineRule="auto"/>
        <w:jc w:val="both"/>
        <w:rPr>
          <w:lang w:eastAsia="en-US"/>
        </w:rPr>
      </w:pPr>
      <w:r w:rsidRPr="001A6261">
        <w:rPr>
          <w:lang w:eastAsia="en-US"/>
        </w:rPr>
        <w:t>Thirdly, this disease specific biological bank is available for future development of new methods and new technology to utilize historical biological specimens. Last but not least, in today’s tight budget environment, biological banks can provide additional incentives for external collaboration and funding such as pharmaceutical companies</w:t>
      </w:r>
      <w:r>
        <w:rPr>
          <w:lang w:eastAsia="en-US"/>
        </w:rPr>
        <w:t xml:space="preserve"> </w:t>
      </w:r>
      <w:r>
        <w:rPr>
          <w:lang w:eastAsia="en-US"/>
        </w:rPr>
        <w:fldChar w:fldCharType="begin">
          <w:fldData xml:space="preserve">PEVuZE5vdGU+PENpdGU+PEF1dGhvcj5IYWluYXV0PC9BdXRob3I+PFllYXI+MjAxMTwvWWVhcj48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</w:fldData>
        </w:fldChar>
      </w:r>
      <w:r w:rsidR="006F41FE">
        <w:rPr>
          <w:lang w:eastAsia="en-US"/>
        </w:rPr>
        <w:instrText xml:space="preserve"> ADDIN EN.CITE </w:instrText>
      </w:r>
      <w:r w:rsidR="006F41FE">
        <w:rPr>
          <w:lang w:eastAsia="en-US"/>
        </w:rPr>
        <w:fldChar w:fldCharType="begin">
          <w:fldData xml:space="preserve">PEVuZE5vdGU+PENpdGU+PEF1dGhvcj5IYWluYXV0PC9BdXRob3I+PFllYXI+MjAxMTwvWWVhcj48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</w:fldData>
        </w:fldChar>
      </w:r>
      <w:r w:rsidR="006F41FE">
        <w:rPr>
          <w:lang w:eastAsia="en-US"/>
        </w:rPr>
        <w:instrText xml:space="preserve"> ADDIN EN.CITE.DATA </w:instrText>
      </w:r>
      <w:r w:rsidR="006F41FE">
        <w:rPr>
          <w:lang w:eastAsia="en-US"/>
        </w:rPr>
      </w:r>
      <w:r w:rsidR="006F41FE">
        <w:rPr>
          <w:lang w:eastAsia="en-US"/>
        </w:rPr>
        <w:fldChar w:fldCharType="end"/>
      </w:r>
      <w:r>
        <w:rPr>
          <w:lang w:eastAsia="en-US"/>
        </w:rPr>
      </w:r>
      <w:r>
        <w:rPr>
          <w:lang w:eastAsia="en-US"/>
        </w:rPr>
        <w:fldChar w:fldCharType="separate"/>
      </w:r>
      <w:r w:rsidR="006F41FE">
        <w:rPr>
          <w:noProof/>
          <w:lang w:eastAsia="en-US"/>
        </w:rPr>
        <w:t>(</w:t>
      </w:r>
      <w:hyperlink w:anchor="_ENREF_158" w:tooltip="Hainaut, 2011 #4892" w:history="1">
        <w:r w:rsidR="004A784D">
          <w:rPr>
            <w:noProof/>
            <w:lang w:eastAsia="en-US"/>
          </w:rPr>
          <w:t>Hainaut et al., 2011</w:t>
        </w:r>
      </w:hyperlink>
      <w:r w:rsidR="006F41FE">
        <w:rPr>
          <w:noProof/>
          <w:lang w:eastAsia="en-US"/>
        </w:rPr>
        <w:t xml:space="preserve">, </w:t>
      </w:r>
      <w:hyperlink w:anchor="_ENREF_386" w:tooltip="Signoretti, 2008 #4901" w:history="1">
        <w:r w:rsidR="004A784D">
          <w:rPr>
            <w:noProof/>
            <w:lang w:eastAsia="en-US"/>
          </w:rPr>
          <w:t>Signoretti et al., 2008</w:t>
        </w:r>
      </w:hyperlink>
      <w:r w:rsidR="006F41FE">
        <w:rPr>
          <w:noProof/>
          <w:lang w:eastAsia="en-US"/>
        </w:rPr>
        <w:t xml:space="preserve">, </w:t>
      </w:r>
      <w:hyperlink w:anchor="_ENREF_24" w:tooltip="Andorno, 2006 #4909" w:history="1">
        <w:r w:rsidR="004A784D">
          <w:rPr>
            <w:noProof/>
            <w:lang w:eastAsia="en-US"/>
          </w:rPr>
          <w:t>Andorno, 2006</w:t>
        </w:r>
      </w:hyperlink>
      <w:r w:rsidR="006F41FE">
        <w:rPr>
          <w:noProof/>
          <w:lang w:eastAsia="en-US"/>
        </w:rPr>
        <w:t>)</w:t>
      </w:r>
      <w:r>
        <w:rPr>
          <w:lang w:eastAsia="en-US"/>
        </w:rPr>
        <w:fldChar w:fldCharType="end"/>
      </w:r>
      <w:r w:rsidRPr="001A6261">
        <w:rPr>
          <w:lang w:eastAsia="en-US"/>
        </w:rPr>
        <w:t>.</w:t>
      </w:r>
    </w:p>
    <w:p w:rsidR="00B61503" w:rsidRDefault="00B61503" w:rsidP="00645687">
      <w:pPr>
        <w:pStyle w:val="Heading2"/>
        <w:numPr>
          <w:ilvl w:val="1"/>
          <w:numId w:val="19"/>
        </w:numPr>
      </w:pPr>
      <w:r w:rsidRPr="001A6261">
        <w:br w:type="page"/>
      </w:r>
      <w:bookmarkStart w:id="2100" w:name="_Toc302582451"/>
      <w:bookmarkStart w:id="2101" w:name="_Toc305690122"/>
      <w:bookmarkStart w:id="2102" w:name="_Toc306570814"/>
      <w:bookmarkStart w:id="2103" w:name="_Toc307067875"/>
      <w:r w:rsidR="00C46C49">
        <w:lastRenderedPageBreak/>
        <w:tab/>
      </w:r>
      <w:bookmarkStart w:id="2104" w:name="_Toc312169442"/>
      <w:bookmarkStart w:id="2105" w:name="_Toc312172369"/>
      <w:bookmarkStart w:id="2106" w:name="_Toc312257918"/>
      <w:r w:rsidRPr="001A6261">
        <w:t xml:space="preserve">Examination of the effect of various storage times </w:t>
      </w:r>
      <w:r w:rsidR="0010315E">
        <w:t>and</w:t>
      </w:r>
      <w:r w:rsidRPr="001A6261">
        <w:t xml:space="preserve"> temperatures on </w:t>
      </w:r>
      <w:r w:rsidR="00300A1B">
        <w:tab/>
      </w:r>
      <w:r w:rsidRPr="001A6261">
        <w:t>the serum level of discovered protein biomarkers (VDB, Hp, SAA) in multiple myeloma patients</w:t>
      </w:r>
      <w:bookmarkEnd w:id="2100"/>
      <w:bookmarkEnd w:id="2101"/>
      <w:bookmarkEnd w:id="2102"/>
      <w:bookmarkEnd w:id="2103"/>
      <w:bookmarkEnd w:id="2104"/>
      <w:bookmarkEnd w:id="2105"/>
      <w:bookmarkEnd w:id="2106"/>
    </w:p>
    <w:p w:rsidR="001B0E11" w:rsidRPr="001B0E11" w:rsidRDefault="001B0E11" w:rsidP="007C0C5B">
      <w:pPr>
        <w:spacing w:line="276" w:lineRule="auto"/>
        <w:jc w:val="both"/>
        <w:rPr>
          <w:lang w:eastAsia="en-US"/>
        </w:rPr>
      </w:pPr>
    </w:p>
    <w:p w:rsidR="00B61503" w:rsidRDefault="00C46C49" w:rsidP="00645687">
      <w:pPr>
        <w:pStyle w:val="Heading2"/>
        <w:numPr>
          <w:ilvl w:val="2"/>
          <w:numId w:val="19"/>
        </w:numPr>
      </w:pPr>
      <w:bookmarkStart w:id="2107" w:name="_Toc302582452"/>
      <w:bookmarkStart w:id="2108" w:name="_Toc305690123"/>
      <w:bookmarkStart w:id="2109" w:name="_Toc306570815"/>
      <w:bookmarkStart w:id="2110" w:name="_Toc307067876"/>
      <w:r>
        <w:tab/>
      </w:r>
      <w:bookmarkStart w:id="2111" w:name="_Toc312169443"/>
      <w:bookmarkStart w:id="2112" w:name="_Toc312172370"/>
      <w:bookmarkStart w:id="2113" w:name="_Toc312257919"/>
      <w:r w:rsidR="00B61503" w:rsidRPr="001A6261">
        <w:t>Background</w:t>
      </w:r>
      <w:bookmarkEnd w:id="2107"/>
      <w:bookmarkEnd w:id="2108"/>
      <w:bookmarkEnd w:id="2109"/>
      <w:bookmarkEnd w:id="2110"/>
      <w:bookmarkEnd w:id="2111"/>
      <w:bookmarkEnd w:id="2112"/>
      <w:bookmarkEnd w:id="2113"/>
    </w:p>
    <w:p w:rsidR="00B61503" w:rsidRDefault="00B61503" w:rsidP="00F26244">
      <w:pPr>
        <w:spacing w:before="240" w:line="360" w:lineRule="auto"/>
        <w:jc w:val="both"/>
      </w:pPr>
      <w:r w:rsidRPr="001A6261">
        <w:t xml:space="preserve">In this study, the serum samples from newly diagnosed MM were obtained at diagnosis and prior to commencement of therapy. These samples were processed using strict standardised protocol. Briefly, ten millilitres of blood sample were collected, coded and transported on ice to the laboratory at NICB </w:t>
      </w:r>
      <w:r>
        <w:t>within an hour</w:t>
      </w:r>
      <w:r w:rsidRPr="001A6261">
        <w:t xml:space="preserve">. The serums were </w:t>
      </w:r>
      <w:r>
        <w:t xml:space="preserve">initially processed </w:t>
      </w:r>
      <w:r w:rsidRPr="001A6261">
        <w:t>and stored on-site at -80</w:t>
      </w:r>
      <w:r w:rsidRPr="001A6261">
        <w:rPr>
          <w:vertAlign w:val="superscript"/>
        </w:rPr>
        <w:t>0</w:t>
      </w:r>
      <w:r w:rsidRPr="001A6261">
        <w:t xml:space="preserve">C </w:t>
      </w:r>
      <w:r>
        <w:t xml:space="preserve">freezer </w:t>
      </w:r>
      <w:r w:rsidRPr="001A6261">
        <w:t>until the time of analysis. The time from sample procurement</w:t>
      </w:r>
      <w:r>
        <w:t xml:space="preserve"> in hospital</w:t>
      </w:r>
      <w:r w:rsidRPr="001A6261">
        <w:t xml:space="preserve"> to storage</w:t>
      </w:r>
      <w:r>
        <w:t xml:space="preserve"> at </w:t>
      </w:r>
      <w:r w:rsidRPr="001A6261">
        <w:t>-80</w:t>
      </w:r>
      <w:r w:rsidRPr="001A6261">
        <w:rPr>
          <w:vertAlign w:val="superscript"/>
        </w:rPr>
        <w:t>0</w:t>
      </w:r>
      <w:r w:rsidRPr="001A6261">
        <w:t xml:space="preserve">C was less than three hours. </w:t>
      </w:r>
    </w:p>
    <w:p w:rsidR="001B0E11" w:rsidRPr="001A6261" w:rsidRDefault="001B0E11" w:rsidP="00057B42">
      <w:pPr>
        <w:spacing w:line="360" w:lineRule="auto"/>
        <w:jc w:val="both"/>
      </w:pPr>
    </w:p>
    <w:p w:rsidR="00B61503" w:rsidRDefault="00B61503" w:rsidP="00057B42">
      <w:pPr>
        <w:spacing w:line="360" w:lineRule="auto"/>
        <w:jc w:val="both"/>
      </w:pPr>
      <w:r w:rsidRPr="001A6261">
        <w:t xml:space="preserve">However, we were aware that in a routine hospital environment, there might be a delay in the initial processing of serum samples, particularly when collected outside of standard working hours, which may result in prolonged storage at room / various temperatures prior to analysis. Furthermore, some investigators may not have access to −80 °C storage and use only −20 °C freezers. </w:t>
      </w:r>
    </w:p>
    <w:p w:rsidR="00E676DF" w:rsidRDefault="00E676DF" w:rsidP="00057B42">
      <w:pPr>
        <w:spacing w:line="360" w:lineRule="auto"/>
        <w:jc w:val="both"/>
      </w:pPr>
    </w:p>
    <w:p w:rsidR="00B61503" w:rsidRDefault="00B61503" w:rsidP="00057B42">
      <w:pPr>
        <w:spacing w:line="360" w:lineRule="auto"/>
        <w:jc w:val="both"/>
      </w:pPr>
      <w:r w:rsidRPr="00221EAF">
        <w:t>As a result, several hours or days may elapse before the samples arrive in the laboratory and can be processed. During this time, cell metabolism or activation of proteolytic activity may severely change plasma soluble factor content. This in turn may influence on the overall concentration of the proteins present at the time of collection and result in an inaccurate protein profile</w:t>
      </w:r>
      <w:r w:rsidR="00EC28C1">
        <w:t xml:space="preserve"> </w:t>
      </w:r>
      <w:r w:rsidR="00EC28C1">
        <w:fldChar w:fldCharType="begin">
          <w:fldData xml:space="preserve">PEVuZE5vdGU+PENpdGU+PEF1dGhvcj5Pc3Ryb2ZmPC9BdXRob3I+PFllYXI+MjAxMDwvWWVhcj48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</w:fldData>
        </w:fldChar>
      </w:r>
      <w:r w:rsidR="00EC28C1">
        <w:instrText xml:space="preserve"> ADDIN EN.CITE </w:instrText>
      </w:r>
      <w:r w:rsidR="00EC28C1">
        <w:fldChar w:fldCharType="begin">
          <w:fldData xml:space="preserve">PEVuZE5vdGU+PENpdGU+PEF1dGhvcj5Pc3Ryb2ZmPC9BdXRob3I+PFllYXI+MjAxMDwvWWVhcj48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</w:fldData>
        </w:fldChar>
      </w:r>
      <w:r w:rsidR="00EC28C1">
        <w:instrText xml:space="preserve"> ADDIN EN.CITE.DATA </w:instrText>
      </w:r>
      <w:r w:rsidR="00EC28C1">
        <w:fldChar w:fldCharType="end"/>
      </w:r>
      <w:r w:rsidR="00EC28C1">
        <w:fldChar w:fldCharType="separate"/>
      </w:r>
      <w:r w:rsidR="00EC28C1">
        <w:rPr>
          <w:noProof/>
        </w:rPr>
        <w:t>(</w:t>
      </w:r>
      <w:hyperlink w:anchor="_ENREF_305" w:tooltip="Ostroff, 2010 #7338" w:history="1">
        <w:r w:rsidR="004A784D">
          <w:rPr>
            <w:noProof/>
          </w:rPr>
          <w:t>Ostroff et al., 2010</w:t>
        </w:r>
      </w:hyperlink>
      <w:r w:rsidR="00EC28C1">
        <w:rPr>
          <w:noProof/>
        </w:rPr>
        <w:t xml:space="preserve">, </w:t>
      </w:r>
      <w:hyperlink w:anchor="_ENREF_476" w:tooltip="Zivkovic, 2009 #7334" w:history="1">
        <w:r w:rsidR="004A784D">
          <w:rPr>
            <w:noProof/>
          </w:rPr>
          <w:t>Zivkovic et al., 2009</w:t>
        </w:r>
      </w:hyperlink>
      <w:r w:rsidR="00EC28C1">
        <w:rPr>
          <w:noProof/>
        </w:rPr>
        <w:t>)</w:t>
      </w:r>
      <w:r w:rsidR="00EC28C1">
        <w:fldChar w:fldCharType="end"/>
      </w:r>
      <w:r w:rsidRPr="00221EAF">
        <w:t>.</w:t>
      </w:r>
    </w:p>
    <w:p w:rsidR="00E676DF" w:rsidRDefault="00E676DF" w:rsidP="00057B42">
      <w:pPr>
        <w:spacing w:line="360" w:lineRule="auto"/>
        <w:jc w:val="both"/>
      </w:pPr>
    </w:p>
    <w:p w:rsidR="00B61503" w:rsidRPr="001A6261" w:rsidRDefault="00B61503" w:rsidP="00057B42">
      <w:pPr>
        <w:spacing w:line="360" w:lineRule="auto"/>
        <w:jc w:val="both"/>
      </w:pPr>
      <w:r w:rsidRPr="001A6261">
        <w:t>On the other hand, it is our understanding that in the biomarker discovery phase and validation the accurate analysis of protein biomarkers serum level requires the highest quality starting material. Therefore it is critical to collect process and store blood samples using procedures that minimize protein alterations</w:t>
      </w:r>
      <w:r w:rsidR="00EC28C1">
        <w:t xml:space="preserve"> </w:t>
      </w:r>
      <w:r w:rsidR="00EC28C1">
        <w:fldChar w:fldCharType="begin">
          <w:fldData xml:space="preserve">PEVuZE5vdGU+PENpdGU+PEF1dGhvcj5BbGlub3ZpPC9BdXRob3I+PFllYXI+MjAwOTwvWWVhcj48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</w:fldData>
        </w:fldChar>
      </w:r>
      <w:r w:rsidR="00EC28C1">
        <w:instrText xml:space="preserve"> ADDIN EN.CITE </w:instrText>
      </w:r>
      <w:r w:rsidR="00EC28C1">
        <w:fldChar w:fldCharType="begin">
          <w:fldData xml:space="preserve">PEVuZE5vdGU+PENpdGU+PEF1dGhvcj5BbGlub3ZpPC9BdXRob3I+PFllYXI+MjAwOTwvWWVhcj48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</w:fldData>
        </w:fldChar>
      </w:r>
      <w:r w:rsidR="00EC28C1">
        <w:instrText xml:space="preserve"> ADDIN EN.CITE.DATA </w:instrText>
      </w:r>
      <w:r w:rsidR="00EC28C1">
        <w:fldChar w:fldCharType="end"/>
      </w:r>
      <w:r w:rsidR="00EC28C1">
        <w:fldChar w:fldCharType="separate"/>
      </w:r>
      <w:r w:rsidR="00EC28C1">
        <w:rPr>
          <w:noProof/>
        </w:rPr>
        <w:t>(</w:t>
      </w:r>
      <w:hyperlink w:anchor="_ENREF_13" w:tooltip="Alinovi, 2009 #7339" w:history="1">
        <w:r w:rsidR="004A784D">
          <w:rPr>
            <w:noProof/>
          </w:rPr>
          <w:t>Alinovi et al., 2009</w:t>
        </w:r>
      </w:hyperlink>
      <w:r w:rsidR="00EC28C1">
        <w:rPr>
          <w:noProof/>
        </w:rPr>
        <w:t xml:space="preserve">, </w:t>
      </w:r>
      <w:hyperlink w:anchor="_ENREF_134" w:tooltip="Gao, 2007 #7355" w:history="1">
        <w:r w:rsidR="004A784D">
          <w:rPr>
            <w:noProof/>
          </w:rPr>
          <w:t>Gao et al., 2007</w:t>
        </w:r>
      </w:hyperlink>
      <w:r w:rsidR="00EC28C1">
        <w:rPr>
          <w:noProof/>
        </w:rPr>
        <w:t>)</w:t>
      </w:r>
      <w:r w:rsidR="00EC28C1">
        <w:fldChar w:fldCharType="end"/>
      </w:r>
      <w:r w:rsidRPr="001A6261">
        <w:t xml:space="preserve">. </w:t>
      </w:r>
    </w:p>
    <w:p w:rsidR="00E676DF" w:rsidRDefault="00E676DF" w:rsidP="00057B42">
      <w:pPr>
        <w:spacing w:line="360" w:lineRule="auto"/>
        <w:jc w:val="both"/>
      </w:pPr>
    </w:p>
    <w:p w:rsidR="001B0E11" w:rsidRDefault="00B61503" w:rsidP="00057B42">
      <w:pPr>
        <w:spacing w:line="360" w:lineRule="auto"/>
        <w:jc w:val="both"/>
      </w:pPr>
      <w:r w:rsidRPr="001A6261">
        <w:lastRenderedPageBreak/>
        <w:t xml:space="preserve">Temperature and sample handling has </w:t>
      </w:r>
      <w:r>
        <w:t xml:space="preserve">an </w:t>
      </w:r>
      <w:r w:rsidRPr="001A6261">
        <w:t>obvious relationship</w:t>
      </w:r>
      <w:r>
        <w:t>s</w:t>
      </w:r>
      <w:r w:rsidRPr="001A6261">
        <w:t xml:space="preserve"> to underlying protein concentration or biological processes. Logically, reducing temperature will slow down most enzymes, and might be considered to provide some protection for the serum proteins from intrinsic plasma enzyme activity, including, for</w:t>
      </w:r>
      <w:r w:rsidR="007C0C5B">
        <w:t xml:space="preserve"> example, proteases, </w:t>
      </w:r>
      <w:r w:rsidR="00FD0B6C">
        <w:t>glycosylat</w:t>
      </w:r>
      <w:r w:rsidR="00FD0B6C" w:rsidRPr="001A6261">
        <w:t>e</w:t>
      </w:r>
      <w:r w:rsidR="007C0C5B">
        <w:t xml:space="preserve">, and </w:t>
      </w:r>
      <w:r w:rsidR="00FD0B6C">
        <w:t>phosphorylate</w:t>
      </w:r>
      <w:r w:rsidR="007C0C5B">
        <w:t xml:space="preserve"> a</w:t>
      </w:r>
      <w:r w:rsidRPr="001A6261">
        <w:t xml:space="preserve">nd yet, many publications discuss that cold or freezing can also induce cellular damage or apoptosis in isolated cells and tissues (Clarke et al., 2004; Paasch et al., 2005; Salahudeen et al., 2003; Yiu et al., 2006). </w:t>
      </w:r>
    </w:p>
    <w:p w:rsidR="001B0E11" w:rsidRDefault="001B0E11" w:rsidP="00057B42">
      <w:pPr>
        <w:spacing w:line="360" w:lineRule="auto"/>
        <w:jc w:val="both"/>
      </w:pPr>
    </w:p>
    <w:p w:rsidR="00B61503" w:rsidRDefault="00B61503" w:rsidP="00057B42">
      <w:pPr>
        <w:spacing w:line="360" w:lineRule="auto"/>
        <w:jc w:val="both"/>
      </w:pPr>
      <w:r w:rsidRPr="001A6261">
        <w:t>The underlying effect of cold-induced ischemia and changes in the level of protein concentration in serum are also important finding</w:t>
      </w:r>
      <w:r>
        <w:t>s.</w:t>
      </w:r>
      <w:r w:rsidR="00EC28C1">
        <w:t xml:space="preserve"> </w:t>
      </w:r>
      <w:r w:rsidRPr="001A6261">
        <w:t>Therefore, attention to sample preparation methods in recent years has started to rise considerably, both in laboratory and clinical practice. The recent surge of publications in the peer-reviewed literature related to development and optimization of biological sample preparation methods has been quite evident, indicating that this “boring” step can be indeed a very important one</w:t>
      </w:r>
      <w:r w:rsidR="007C0C5B">
        <w:t xml:space="preserve"> </w:t>
      </w:r>
      <w:r w:rsidRPr="001A6261">
        <w:t>(Bhaumik et al., 199</w:t>
      </w:r>
      <w:r w:rsidR="00577C32">
        <w:t xml:space="preserve">5; van derWoude et al., 2004). </w:t>
      </w:r>
      <w:r>
        <w:t>Therefore at this stage, w</w:t>
      </w:r>
      <w:r w:rsidRPr="00221EAF">
        <w:t>e expected to find that the</w:t>
      </w:r>
      <w:r>
        <w:t xml:space="preserve"> </w:t>
      </w:r>
      <w:r w:rsidRPr="00221EAF">
        <w:t xml:space="preserve">levels of many </w:t>
      </w:r>
      <w:r>
        <w:t>discovered protein biomarker</w:t>
      </w:r>
      <w:r w:rsidRPr="00221EAF">
        <w:t xml:space="preserve"> would fall due to proteolytic degradation</w:t>
      </w:r>
      <w:r>
        <w:t xml:space="preserve"> </w:t>
      </w:r>
      <w:r w:rsidRPr="00221EAF">
        <w:t>during storage.</w:t>
      </w:r>
    </w:p>
    <w:p w:rsidR="001E3EC1" w:rsidRPr="001A6261" w:rsidRDefault="001E3EC1" w:rsidP="00057B42">
      <w:pPr>
        <w:spacing w:line="360" w:lineRule="auto"/>
        <w:jc w:val="both"/>
      </w:pPr>
    </w:p>
    <w:p w:rsidR="00B61503" w:rsidRDefault="00300A1B" w:rsidP="00645687">
      <w:pPr>
        <w:pStyle w:val="Heading2"/>
        <w:numPr>
          <w:ilvl w:val="2"/>
          <w:numId w:val="19"/>
        </w:numPr>
      </w:pPr>
      <w:bookmarkStart w:id="2114" w:name="_Toc302582453"/>
      <w:bookmarkStart w:id="2115" w:name="_Toc305690124"/>
      <w:r>
        <w:tab/>
      </w:r>
      <w:bookmarkStart w:id="2116" w:name="_Toc306570816"/>
      <w:bookmarkStart w:id="2117" w:name="_Toc307067877"/>
      <w:bookmarkStart w:id="2118" w:name="_Toc312169444"/>
      <w:bookmarkStart w:id="2119" w:name="_Toc312172371"/>
      <w:bookmarkStart w:id="2120" w:name="_Toc312257920"/>
      <w:r w:rsidR="00B61503" w:rsidRPr="001A6261">
        <w:t>Pre analytical factors and proteins biomarkers</w:t>
      </w:r>
      <w:bookmarkEnd w:id="2114"/>
      <w:bookmarkEnd w:id="2115"/>
      <w:bookmarkEnd w:id="2116"/>
      <w:bookmarkEnd w:id="2117"/>
      <w:bookmarkEnd w:id="2118"/>
      <w:bookmarkEnd w:id="2119"/>
      <w:bookmarkEnd w:id="2120"/>
    </w:p>
    <w:p w:rsidR="00B61503" w:rsidRDefault="00B61503" w:rsidP="00000025">
      <w:pPr>
        <w:spacing w:before="240" w:line="360" w:lineRule="auto"/>
        <w:jc w:val="both"/>
      </w:pPr>
      <w:r w:rsidRPr="001A6261">
        <w:t xml:space="preserve">In order to facilitate future prospective clinical trial and validation of discovered protein biomarker and to facilitate sample collection from </w:t>
      </w:r>
      <w:r>
        <w:t xml:space="preserve">a </w:t>
      </w:r>
      <w:r w:rsidRPr="001A6261">
        <w:t>routine hospital environment, we have generated a hypothesis that a number of pre analytical factors such as sample collection and storage temperature can impact upon results obtained</w:t>
      </w:r>
      <w:r w:rsidR="00EC28C1">
        <w:t xml:space="preserve"> </w:t>
      </w:r>
      <w:r w:rsidR="00EC28C1">
        <w:fldChar w:fldCharType="begin">
          <w:fldData xml:space="preserve">PEVuZE5vdGU+PENpdGU+PEF1dGhvcj5Pc3Ryb2ZmPC9BdXRob3I+PFllYXI+MjAxMDwvWWVhcj48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</w:fldData>
        </w:fldChar>
      </w:r>
      <w:r w:rsidR="00EC28C1">
        <w:instrText xml:space="preserve"> ADDIN EN.CITE </w:instrText>
      </w:r>
      <w:r w:rsidR="00EC28C1">
        <w:fldChar w:fldCharType="begin">
          <w:fldData xml:space="preserve">PEVuZE5vdGU+PENpdGU+PEF1dGhvcj5Pc3Ryb2ZmPC9BdXRob3I+PFllYXI+MjAxMDwvWWVhcj48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</w:fldData>
        </w:fldChar>
      </w:r>
      <w:r w:rsidR="00EC28C1">
        <w:instrText xml:space="preserve"> ADDIN EN.CITE.DATA </w:instrText>
      </w:r>
      <w:r w:rsidR="00EC28C1">
        <w:fldChar w:fldCharType="end"/>
      </w:r>
      <w:r w:rsidR="00EC28C1">
        <w:fldChar w:fldCharType="separate"/>
      </w:r>
      <w:r w:rsidR="00EC28C1">
        <w:rPr>
          <w:noProof/>
        </w:rPr>
        <w:t>(</w:t>
      </w:r>
      <w:hyperlink w:anchor="_ENREF_305" w:tooltip="Ostroff, 2010 #7338" w:history="1">
        <w:r w:rsidR="004A784D">
          <w:rPr>
            <w:noProof/>
          </w:rPr>
          <w:t>Ostroff et al., 2010</w:t>
        </w:r>
      </w:hyperlink>
      <w:r w:rsidR="00EC28C1">
        <w:rPr>
          <w:noProof/>
        </w:rPr>
        <w:t xml:space="preserve">, </w:t>
      </w:r>
      <w:hyperlink w:anchor="_ENREF_476" w:tooltip="Zivkovic, 2009 #7334" w:history="1">
        <w:r w:rsidR="004A784D">
          <w:rPr>
            <w:noProof/>
          </w:rPr>
          <w:t>Zivkovic et al., 2009</w:t>
        </w:r>
      </w:hyperlink>
      <w:r w:rsidR="00EC28C1">
        <w:rPr>
          <w:noProof/>
        </w:rPr>
        <w:t>)</w:t>
      </w:r>
      <w:r w:rsidR="00EC28C1">
        <w:fldChar w:fldCharType="end"/>
      </w:r>
      <w:r w:rsidRPr="001A6261">
        <w:t xml:space="preserve">. </w:t>
      </w:r>
    </w:p>
    <w:p w:rsidR="00577C32" w:rsidRDefault="00577C32" w:rsidP="00057B42">
      <w:pPr>
        <w:spacing w:line="360" w:lineRule="auto"/>
        <w:jc w:val="both"/>
      </w:pPr>
    </w:p>
    <w:p w:rsidR="00B61503" w:rsidRPr="003129E1" w:rsidRDefault="00B61503" w:rsidP="00057B42">
      <w:pPr>
        <w:spacing w:line="360" w:lineRule="auto"/>
        <w:jc w:val="both"/>
      </w:pPr>
      <w:r>
        <w:t>In addition, p</w:t>
      </w:r>
      <w:r w:rsidRPr="003129E1">
        <w:t>rotein abundance levels are not only depended on the level of secretion but also on plasma half-life and natural clearance from blood by the enzymatic degradation occurring during the systemic circulation</w:t>
      </w:r>
      <w:r w:rsidR="007E5152">
        <w:t xml:space="preserve"> </w:t>
      </w:r>
      <w:r w:rsidR="007E5152">
        <w:fldChar w:fldCharType="begin">
          <w:fldData xml:space="preserve">PEVuZE5vdGU+PENpdGU+PEF1dGhvcj5BeWRpbjwvQXV0aG9yPjxZZWFyPjIwMTE8L1llYXI+PFJl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==
</w:fldData>
        </w:fldChar>
      </w:r>
      <w:r w:rsidR="007E5152">
        <w:instrText xml:space="preserve"> ADDIN EN.CITE </w:instrText>
      </w:r>
      <w:r w:rsidR="007E5152">
        <w:fldChar w:fldCharType="begin">
          <w:fldData xml:space="preserve">PEVuZE5vdGU+PENpdGU+PEF1dGhvcj5BeWRpbjwvQXV0aG9yPjxZZWFyPjIwMTE8L1llYXI+PFJl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==
</w:fldData>
        </w:fldChar>
      </w:r>
      <w:r w:rsidR="007E5152">
        <w:instrText xml:space="preserve"> ADDIN EN.CITE.DATA </w:instrText>
      </w:r>
      <w:r w:rsidR="007E5152">
        <w:fldChar w:fldCharType="end"/>
      </w:r>
      <w:r w:rsidR="007E5152">
        <w:fldChar w:fldCharType="separate"/>
      </w:r>
      <w:r w:rsidR="007E5152">
        <w:rPr>
          <w:noProof/>
        </w:rPr>
        <w:t>(</w:t>
      </w:r>
      <w:hyperlink w:anchor="_ENREF_30" w:tooltip="Aydin, 2011 #7637" w:history="1">
        <w:r w:rsidR="004A784D">
          <w:rPr>
            <w:noProof/>
          </w:rPr>
          <w:t>Aydin et al., 2011</w:t>
        </w:r>
      </w:hyperlink>
      <w:r w:rsidR="007E5152">
        <w:rPr>
          <w:noProof/>
        </w:rPr>
        <w:t>)</w:t>
      </w:r>
      <w:r w:rsidR="007E5152">
        <w:fldChar w:fldCharType="end"/>
      </w:r>
      <w:r w:rsidRPr="003129E1">
        <w:t>. Albumin is present in high volumes in the bloodstream, and it has a naturally long half-life of 20 days. On other hand, tumours specific low abundant proteins, on the virtue of having a low concentration could be more sensitive to environmental and degradation factors</w:t>
      </w:r>
      <w:r w:rsidR="007E5152">
        <w:t xml:space="preserve"> </w:t>
      </w:r>
      <w:r w:rsidR="007E5152">
        <w:fldChar w:fldCharType="begin">
          <w:fldData xml:space="preserve">PEVuZE5vdGU+PENpdGU+PEF1dGhvcj5SYXk8L0F1dGhvcj48WWVhcj4yMDExPC9ZZWFyPjxSZWNO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</w:fldData>
        </w:fldChar>
      </w:r>
      <w:r w:rsidR="007E5152">
        <w:instrText xml:space="preserve"> ADDIN EN.CITE </w:instrText>
      </w:r>
      <w:r w:rsidR="007E5152">
        <w:fldChar w:fldCharType="begin">
          <w:fldData xml:space="preserve">PEVuZE5vdGU+PENpdGU+PEF1dGhvcj5SYXk8L0F1dGhvcj48WWVhcj4yMDExPC9ZZWFyPjxSZWNO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</w:fldData>
        </w:fldChar>
      </w:r>
      <w:r w:rsidR="007E5152">
        <w:instrText xml:space="preserve"> ADDIN EN.CITE.DATA </w:instrText>
      </w:r>
      <w:r w:rsidR="007E5152">
        <w:fldChar w:fldCharType="end"/>
      </w:r>
      <w:r w:rsidR="007E5152">
        <w:fldChar w:fldCharType="separate"/>
      </w:r>
      <w:r w:rsidR="007E5152">
        <w:rPr>
          <w:noProof/>
        </w:rPr>
        <w:t>(</w:t>
      </w:r>
      <w:hyperlink w:anchor="_ENREF_339" w:tooltip="Ray, 2011 #7847" w:history="1">
        <w:r w:rsidR="004A784D">
          <w:rPr>
            <w:noProof/>
          </w:rPr>
          <w:t>Ray et al., 2011</w:t>
        </w:r>
      </w:hyperlink>
      <w:r w:rsidR="007E5152">
        <w:rPr>
          <w:noProof/>
        </w:rPr>
        <w:t xml:space="preserve">, </w:t>
      </w:r>
      <w:hyperlink w:anchor="_ENREF_409" w:tooltip="Tanaka, 2006 #7882" w:history="1">
        <w:r w:rsidR="004A784D">
          <w:rPr>
            <w:noProof/>
          </w:rPr>
          <w:t>Tanaka et al., 2006</w:t>
        </w:r>
      </w:hyperlink>
      <w:r w:rsidR="007E5152">
        <w:rPr>
          <w:noProof/>
        </w:rPr>
        <w:t>)</w:t>
      </w:r>
      <w:r w:rsidR="007E5152">
        <w:fldChar w:fldCharType="end"/>
      </w:r>
      <w:r w:rsidRPr="003129E1">
        <w:t xml:space="preserve">. </w:t>
      </w:r>
    </w:p>
    <w:p w:rsidR="00B61503" w:rsidRPr="001A6261" w:rsidRDefault="00B61503" w:rsidP="00057B42">
      <w:pPr>
        <w:spacing w:line="360" w:lineRule="auto"/>
        <w:jc w:val="both"/>
      </w:pPr>
      <w:r w:rsidRPr="001A6261">
        <w:lastRenderedPageBreak/>
        <w:t xml:space="preserve">Consequently we examined the impact of serum handling protocols on protein profiles of discovered biomarkers as compare to serum level using stringent protocols originally used for the sample collection, storage. </w:t>
      </w:r>
    </w:p>
    <w:p w:rsidR="00577C32" w:rsidRDefault="00577C32" w:rsidP="00057B42">
      <w:pPr>
        <w:spacing w:line="360" w:lineRule="auto"/>
        <w:jc w:val="both"/>
      </w:pPr>
    </w:p>
    <w:p w:rsidR="00B61503" w:rsidRPr="001A6261" w:rsidRDefault="00B61503" w:rsidP="00057B42">
      <w:pPr>
        <w:spacing w:line="360" w:lineRule="auto"/>
        <w:jc w:val="both"/>
      </w:pPr>
      <w:r w:rsidRPr="001A6261">
        <w:t xml:space="preserve">It was imperative to compare samples collected and processed using less stringent conditions with those collected in accordance with stringent protocols. This study was designed to study the stability of discovered biomarkers in serum samples and to assess the influence of various storage time </w:t>
      </w:r>
      <w:r w:rsidR="0010315E">
        <w:t>and</w:t>
      </w:r>
      <w:r w:rsidRPr="001A6261">
        <w:t xml:space="preserve"> temperature on the serum concentration of VDB, Hp, and SAA.</w:t>
      </w:r>
    </w:p>
    <w:p w:rsidR="00577C32" w:rsidRDefault="00577C32" w:rsidP="00057B42">
      <w:pPr>
        <w:spacing w:line="360" w:lineRule="auto"/>
        <w:jc w:val="both"/>
      </w:pPr>
    </w:p>
    <w:p w:rsidR="00B61503" w:rsidRDefault="00B61503" w:rsidP="00057B42">
      <w:pPr>
        <w:spacing w:line="360" w:lineRule="auto"/>
        <w:jc w:val="both"/>
      </w:pPr>
      <w:r w:rsidRPr="001A6261">
        <w:t>We analyse</w:t>
      </w:r>
      <w:r w:rsidR="007C0C5B">
        <w:t>d</w:t>
      </w:r>
      <w:r w:rsidRPr="001A6261">
        <w:t xml:space="preserve"> serum level</w:t>
      </w:r>
      <w:r w:rsidR="007C0C5B">
        <w:t>s</w:t>
      </w:r>
      <w:r w:rsidRPr="001A6261">
        <w:t xml:space="preserve"> of these protein using commercially available ELISA kit</w:t>
      </w:r>
      <w:r w:rsidR="007C0C5B">
        <w:t xml:space="preserve">, </w:t>
      </w:r>
      <w:r w:rsidR="00FD0B6C">
        <w:t>s</w:t>
      </w:r>
      <w:r w:rsidR="00FD0B6C" w:rsidRPr="001A6261">
        <w:t>ample</w:t>
      </w:r>
      <w:r w:rsidRPr="001A6261">
        <w:t xml:space="preserve"> preparation details are provided in ‘</w:t>
      </w:r>
      <w:r w:rsidR="00630759">
        <w:t xml:space="preserve">Materials </w:t>
      </w:r>
      <w:r w:rsidR="0010315E">
        <w:t>and</w:t>
      </w:r>
      <w:r w:rsidR="00630759">
        <w:t xml:space="preserve"> Methods-</w:t>
      </w:r>
      <w:r w:rsidR="00630759" w:rsidRPr="001A6261">
        <w:t xml:space="preserve">Chapter 2, </w:t>
      </w:r>
      <w:r w:rsidR="007C0C5B">
        <w:t>page 135</w:t>
      </w:r>
      <w:r w:rsidRPr="001A6261">
        <w:t>’.  The result obtained using the 10 different storage methods showed that various storage conditions can lead to some alteration in the level of discovered serum proteins biomarkers, in the individual serum samples. However, in the majority of cases there was no statistically significant difference in the serum levels of previously described biomarker candidates and show little influence of sample handling conditions.</w:t>
      </w:r>
    </w:p>
    <w:p w:rsidR="001B0E11" w:rsidRPr="001A6261" w:rsidRDefault="001B0E11" w:rsidP="00057B42">
      <w:pPr>
        <w:spacing w:line="360" w:lineRule="auto"/>
        <w:jc w:val="both"/>
      </w:pPr>
    </w:p>
    <w:p w:rsidR="00B61503" w:rsidRPr="001A6261" w:rsidRDefault="00B61503" w:rsidP="00057B42">
      <w:pPr>
        <w:spacing w:line="360" w:lineRule="auto"/>
        <w:jc w:val="both"/>
      </w:pPr>
      <w:r w:rsidRPr="001A6261">
        <w:t>Although, sample to sample biomarker v</w:t>
      </w:r>
      <w:r>
        <w:t>ariations are of course present,</w:t>
      </w:r>
      <w:r w:rsidRPr="001A6261">
        <w:t xml:space="preserve"> the differences in the serum concentration of protein biomarkers stored at -20°C versus -80°C were not significant. (The one exception to this is SAA level, with a slight trend towards a higher level when storage at -20°C is detected</w:t>
      </w:r>
      <w:r w:rsidR="007C0C5B">
        <w:t>)</w:t>
      </w:r>
      <w:r w:rsidRPr="001A6261">
        <w:t xml:space="preserve">. However this trend is not the case in all samples and the difference is generally small. Therefore the outcome of this study points to the alterations in blood of discovered biomarkers may be clinically not significant when there is a delay in the processing of samples. </w:t>
      </w:r>
    </w:p>
    <w:p w:rsidR="00577C32" w:rsidRDefault="00577C32" w:rsidP="00057B42">
      <w:pPr>
        <w:spacing w:line="360" w:lineRule="auto"/>
        <w:jc w:val="both"/>
      </w:pPr>
    </w:p>
    <w:p w:rsidR="00B61503" w:rsidRDefault="007C0C5B" w:rsidP="00057B42">
      <w:pPr>
        <w:spacing w:line="360" w:lineRule="auto"/>
        <w:jc w:val="both"/>
      </w:pPr>
      <w:r>
        <w:t xml:space="preserve">Overall from the </w:t>
      </w:r>
      <w:r w:rsidR="00B61503" w:rsidRPr="001A6261">
        <w:t xml:space="preserve">range of conditions studied, the level of discovered protein biomarkers were relatively stable, indicating that a delay in processing of samples, which is so often happening in a true clinical and hospital setting, may not adversely affect the result obtained. </w:t>
      </w:r>
    </w:p>
    <w:p w:rsidR="00577C32" w:rsidRDefault="00577C32" w:rsidP="00057B42">
      <w:pPr>
        <w:spacing w:line="360" w:lineRule="auto"/>
        <w:jc w:val="both"/>
      </w:pPr>
    </w:p>
    <w:p w:rsidR="00B61503" w:rsidRDefault="00B61503" w:rsidP="00057B42">
      <w:pPr>
        <w:spacing w:line="360" w:lineRule="auto"/>
        <w:jc w:val="both"/>
      </w:pPr>
      <w:r w:rsidRPr="001A6261">
        <w:lastRenderedPageBreak/>
        <w:t xml:space="preserve">This has a very practical significance in term of pre analytical sample collection and storage. This can facilitate the participation of wider range of hospitals and clinics away from analytical laboratory.  </w:t>
      </w:r>
    </w:p>
    <w:p w:rsidR="00B61503" w:rsidRPr="001A6261" w:rsidRDefault="00B61503" w:rsidP="00645687">
      <w:pPr>
        <w:pStyle w:val="Heading2"/>
        <w:numPr>
          <w:ilvl w:val="1"/>
          <w:numId w:val="19"/>
        </w:numPr>
      </w:pPr>
      <w:r w:rsidRPr="001A6261">
        <w:br w:type="page"/>
      </w:r>
      <w:bookmarkStart w:id="2121" w:name="_Toc302582454"/>
      <w:bookmarkStart w:id="2122" w:name="_Toc305690125"/>
      <w:r w:rsidR="00981036">
        <w:lastRenderedPageBreak/>
        <w:tab/>
      </w:r>
      <w:bookmarkStart w:id="2123" w:name="_Toc306570817"/>
      <w:bookmarkStart w:id="2124" w:name="_Toc307067878"/>
      <w:bookmarkStart w:id="2125" w:name="_Toc312169445"/>
      <w:bookmarkStart w:id="2126" w:name="_Toc312172372"/>
      <w:bookmarkStart w:id="2127" w:name="_Toc312257921"/>
      <w:r w:rsidRPr="001A6261">
        <w:t xml:space="preserve">Quantification of discovered protein biomarkers in the serum of original </w:t>
      </w:r>
      <w:r w:rsidR="00300A1B">
        <w:tab/>
      </w:r>
      <w:r w:rsidRPr="001A6261">
        <w:t xml:space="preserve">cohort of patients; three months (Day-100) after initiation of thalidomide </w:t>
      </w:r>
      <w:r w:rsidR="00300A1B">
        <w:tab/>
      </w:r>
      <w:r w:rsidRPr="001A6261">
        <w:t>based therapy</w:t>
      </w:r>
      <w:bookmarkEnd w:id="2121"/>
      <w:bookmarkEnd w:id="2122"/>
      <w:bookmarkEnd w:id="2123"/>
      <w:bookmarkEnd w:id="2124"/>
      <w:bookmarkEnd w:id="2125"/>
      <w:bookmarkEnd w:id="2126"/>
      <w:bookmarkEnd w:id="2127"/>
    </w:p>
    <w:p w:rsidR="00B61503" w:rsidRPr="001A6261" w:rsidRDefault="00B61503" w:rsidP="00057B42">
      <w:pPr>
        <w:spacing w:line="360" w:lineRule="auto"/>
        <w:jc w:val="both"/>
      </w:pPr>
    </w:p>
    <w:p w:rsidR="00B61503" w:rsidRDefault="00981036" w:rsidP="00645687">
      <w:pPr>
        <w:pStyle w:val="Heading2"/>
        <w:numPr>
          <w:ilvl w:val="2"/>
          <w:numId w:val="19"/>
        </w:numPr>
      </w:pPr>
      <w:bookmarkStart w:id="2128" w:name="_Toc302582455"/>
      <w:bookmarkStart w:id="2129" w:name="_Toc305690126"/>
      <w:r>
        <w:tab/>
      </w:r>
      <w:bookmarkStart w:id="2130" w:name="_Toc306570818"/>
      <w:bookmarkStart w:id="2131" w:name="_Toc307067879"/>
      <w:bookmarkStart w:id="2132" w:name="_Toc312169446"/>
      <w:bookmarkStart w:id="2133" w:name="_Toc312172373"/>
      <w:bookmarkStart w:id="2134" w:name="_Toc312257922"/>
      <w:r w:rsidR="00B61503" w:rsidRPr="001A6261">
        <w:t>Background</w:t>
      </w:r>
      <w:bookmarkEnd w:id="2128"/>
      <w:bookmarkEnd w:id="2129"/>
      <w:bookmarkEnd w:id="2130"/>
      <w:bookmarkEnd w:id="2131"/>
      <w:bookmarkEnd w:id="2132"/>
      <w:bookmarkEnd w:id="2133"/>
      <w:bookmarkEnd w:id="2134"/>
    </w:p>
    <w:p w:rsidR="00B61503" w:rsidRPr="001A6261" w:rsidRDefault="00B61503" w:rsidP="00000025">
      <w:pPr>
        <w:spacing w:before="240" w:line="360" w:lineRule="auto"/>
        <w:jc w:val="both"/>
      </w:pPr>
      <w:r w:rsidRPr="001A6261">
        <w:t xml:space="preserve">Proteins biomarkers may be actively secreted by the tumor or released from cells in micro environment into the blood circulation. The change in the cancer cell and the treatment itself may have </w:t>
      </w:r>
      <w:r>
        <w:t xml:space="preserve">an </w:t>
      </w:r>
      <w:r w:rsidRPr="001A6261">
        <w:t xml:space="preserve">effect on the concentration of the protein biomarkers. </w:t>
      </w:r>
    </w:p>
    <w:p w:rsidR="001B0E11" w:rsidRDefault="00B61503" w:rsidP="00057B42">
      <w:pPr>
        <w:spacing w:line="360" w:lineRule="auto"/>
        <w:jc w:val="both"/>
      </w:pPr>
      <w:r w:rsidRPr="001A6261">
        <w:t>In MM patients who are rapid responders to thalidomide, myeloma cells themselves may</w:t>
      </w:r>
      <w:r>
        <w:t xml:space="preserve"> be</w:t>
      </w:r>
      <w:r w:rsidRPr="001A6261">
        <w:t xml:space="preserve"> difficult to detect </w:t>
      </w:r>
      <w:r>
        <w:t xml:space="preserve">in bone marrow </w:t>
      </w:r>
      <w:r w:rsidRPr="001A6261">
        <w:t xml:space="preserve">after treatment but they might leave </w:t>
      </w:r>
      <w:r>
        <w:t>a fingerprint, i.e.</w:t>
      </w:r>
      <w:r w:rsidRPr="001A6261">
        <w:t xml:space="preserve"> a pattern of change in discovered biomarker proteins. </w:t>
      </w:r>
    </w:p>
    <w:p w:rsidR="001B0E11" w:rsidRDefault="001B0E11" w:rsidP="00057B42">
      <w:pPr>
        <w:spacing w:line="360" w:lineRule="auto"/>
        <w:jc w:val="both"/>
      </w:pPr>
    </w:p>
    <w:p w:rsidR="00B61503" w:rsidRDefault="00B61503" w:rsidP="00057B42">
      <w:pPr>
        <w:spacing w:line="360" w:lineRule="auto"/>
        <w:jc w:val="both"/>
      </w:pPr>
      <w:r w:rsidRPr="001A6261">
        <w:t>Therefor</w:t>
      </w:r>
      <w:r w:rsidR="007C0C5B">
        <w:t>e we devised</w:t>
      </w:r>
      <w:r w:rsidRPr="001A6261">
        <w:t xml:space="preserve"> this study to evaluate changes in the serum level of potential biomarkers in multiple myeloma patients after initiation of thalidomide based at day 100 restaging. We also sought to assess a potential correlation between the variations in serum level of Hp, VDB and SAA biomarkers and objective tumour response.</w:t>
      </w:r>
    </w:p>
    <w:p w:rsidR="001B0E11" w:rsidRPr="001A6261" w:rsidRDefault="001B0E11" w:rsidP="00057B42">
      <w:pPr>
        <w:spacing w:line="360" w:lineRule="auto"/>
        <w:jc w:val="both"/>
      </w:pPr>
    </w:p>
    <w:p w:rsidR="00B61503" w:rsidRPr="001A6261" w:rsidRDefault="00B61503" w:rsidP="00057B42">
      <w:pPr>
        <w:spacing w:line="360" w:lineRule="auto"/>
        <w:jc w:val="both"/>
      </w:pPr>
      <w:r w:rsidRPr="001A6261">
        <w:t xml:space="preserve">The levels of Hp, VDB and SAA were measured in unfractionated serum samples from MM patients before and after three months of treatment with thalidomide based regimen, using an ELISA based assay. </w:t>
      </w:r>
    </w:p>
    <w:p w:rsidR="00B61503" w:rsidRPr="001A6261" w:rsidRDefault="00B61503" w:rsidP="00057B42">
      <w:pPr>
        <w:spacing w:line="360" w:lineRule="auto"/>
        <w:jc w:val="both"/>
      </w:pPr>
    </w:p>
    <w:p w:rsidR="00B61503" w:rsidRPr="001A6261" w:rsidRDefault="00981036" w:rsidP="00645687">
      <w:pPr>
        <w:pStyle w:val="Heading2"/>
        <w:numPr>
          <w:ilvl w:val="2"/>
          <w:numId w:val="19"/>
        </w:numPr>
      </w:pPr>
      <w:bookmarkStart w:id="2135" w:name="_Toc302582456"/>
      <w:bookmarkStart w:id="2136" w:name="_Toc305690127"/>
      <w:r>
        <w:tab/>
      </w:r>
      <w:bookmarkStart w:id="2137" w:name="_Toc306570819"/>
      <w:bookmarkStart w:id="2138" w:name="_Toc307067880"/>
      <w:bookmarkStart w:id="2139" w:name="_Toc312169447"/>
      <w:bookmarkStart w:id="2140" w:name="_Toc312172374"/>
      <w:bookmarkStart w:id="2141" w:name="_Toc312257923"/>
      <w:r w:rsidR="00B61503" w:rsidRPr="001A6261">
        <w:t>Hp, VDB and SAA level</w:t>
      </w:r>
      <w:bookmarkEnd w:id="2135"/>
      <w:bookmarkEnd w:id="2136"/>
      <w:bookmarkEnd w:id="2137"/>
      <w:bookmarkEnd w:id="2138"/>
      <w:bookmarkEnd w:id="2139"/>
      <w:bookmarkEnd w:id="2140"/>
      <w:bookmarkEnd w:id="2141"/>
      <w:r w:rsidR="00B61503" w:rsidRPr="001A6261">
        <w:t xml:space="preserve"> </w:t>
      </w:r>
    </w:p>
    <w:p w:rsidR="00B61503" w:rsidRDefault="00B61503" w:rsidP="007C0C5B">
      <w:pPr>
        <w:spacing w:before="240" w:line="360" w:lineRule="auto"/>
        <w:jc w:val="both"/>
      </w:pPr>
      <w:r w:rsidRPr="001A6261">
        <w:t>The data indicates that the difference in the serum level of VDB and SAA at Day-100 restaging between responders and non-respon</w:t>
      </w:r>
      <w:r w:rsidR="007C0C5B">
        <w:t>ders to thalidomide was minimal, a</w:t>
      </w:r>
      <w:r w:rsidRPr="001A6261">
        <w:t>lthough the serum level of VDB and SAA remained slightly higher in</w:t>
      </w:r>
      <w:r>
        <w:t xml:space="preserve"> the</w:t>
      </w:r>
      <w:r w:rsidRPr="001A6261">
        <w:t xml:space="preserve"> non-responders group. However, </w:t>
      </w:r>
      <w:r>
        <w:t xml:space="preserve">the </w:t>
      </w:r>
      <w:r w:rsidRPr="001A6261">
        <w:t xml:space="preserve">difference in the level was statistically not significant with a </w:t>
      </w:r>
      <w:r w:rsidRPr="001A6261">
        <w:rPr>
          <w:i/>
        </w:rPr>
        <w:t>p</w:t>
      </w:r>
      <w:r w:rsidRPr="001A6261">
        <w:t xml:space="preserve"> value of 0.81 and 0.29 respectively for VDB and SAA. The serum level of Hp at Day-100 remained higher in multiple myeloma patients who are responsive to the thalidomide based regimen. The mean serum value was 2413 </w:t>
      </w:r>
      <w:r w:rsidR="007C0C5B">
        <w:t>µ</w:t>
      </w:r>
      <w:r w:rsidRPr="001A6261">
        <w:t xml:space="preserve">g/ml and 1195 </w:t>
      </w:r>
      <w:r w:rsidR="007C0C5B">
        <w:t>µ</w:t>
      </w:r>
      <w:r w:rsidRPr="001A6261">
        <w:t>g/ml respectively for responders and non-responders.</w:t>
      </w:r>
      <w:r w:rsidR="007C0C5B">
        <w:t xml:space="preserve"> </w:t>
      </w:r>
      <w:r w:rsidRPr="001A6261">
        <w:t xml:space="preserve">The </w:t>
      </w:r>
      <w:r w:rsidRPr="001A6261">
        <w:lastRenderedPageBreak/>
        <w:t xml:space="preserve">difference in serum level was statistically significant with a </w:t>
      </w:r>
      <w:r w:rsidRPr="008D148E">
        <w:rPr>
          <w:i/>
        </w:rPr>
        <w:t>p</w:t>
      </w:r>
      <w:r w:rsidRPr="001A6261">
        <w:t xml:space="preserve"> value of 0.03 (Figure </w:t>
      </w:r>
      <w:r w:rsidR="008D148E">
        <w:t>3-49</w:t>
      </w:r>
      <w:r w:rsidRPr="001A6261">
        <w:t xml:space="preserve">). </w:t>
      </w:r>
    </w:p>
    <w:p w:rsidR="001E3EC1" w:rsidRPr="001A6261" w:rsidRDefault="001E3EC1" w:rsidP="001E3EC1">
      <w:pPr>
        <w:spacing w:line="360" w:lineRule="auto"/>
        <w:jc w:val="both"/>
      </w:pPr>
    </w:p>
    <w:p w:rsidR="001B0E11" w:rsidRDefault="00B61503" w:rsidP="00057B42">
      <w:pPr>
        <w:spacing w:after="240" w:line="360" w:lineRule="auto"/>
        <w:jc w:val="both"/>
      </w:pPr>
      <w:r>
        <w:t>Thi</w:t>
      </w:r>
      <w:r w:rsidRPr="001A6261">
        <w:t xml:space="preserve">s demonstrates that the predictive quality of discovered biomarkers (Hp, VDB and SAA) were best at diagnosis and prior to commencement of treatment. </w:t>
      </w:r>
      <w:r w:rsidR="00A83D14">
        <w:rPr>
          <w:rFonts w:eastAsia="Times New Roman"/>
          <w:color w:val="000000"/>
          <w:lang w:eastAsia="en-US"/>
        </w:rPr>
        <w:t xml:space="preserve">At day-100 the level of VDB and SAA was reduced in both responders and non-responders as compare to the diagnostic samples. But the level in non-responders reduced more and was comparable to the responder group in terms of abundance. Therefore the difference between the two groups was not statistically significant. At Day-100 the level of Hp was reduced in both responders and non-responders as compare to the diagnostic samples but the level of reduction remained the same in both groups. Therefore the difference between the two groups remained statistically significant. </w:t>
      </w:r>
      <w:r w:rsidRPr="001A6261">
        <w:t xml:space="preserve">Therefore the predictive capability of these </w:t>
      </w:r>
      <w:r w:rsidR="00720963">
        <w:t>biomarkers</w:t>
      </w:r>
      <w:r w:rsidRPr="001A6261">
        <w:t xml:space="preserve"> on later time points for example when assessing response to treatment such as at restaging at Day-100 should not be used. Although serum Hp levels remained higher in patients responsive to the thalidomide based regimen, at present there is limited data for using serum Hp at various time points for describing responsive patients. </w:t>
      </w:r>
    </w:p>
    <w:p w:rsidR="00B61503" w:rsidRPr="001A6261" w:rsidRDefault="00B61503" w:rsidP="00057B42">
      <w:pPr>
        <w:spacing w:line="360" w:lineRule="auto"/>
        <w:jc w:val="both"/>
      </w:pPr>
      <w:r w:rsidRPr="001A6261">
        <w:t xml:space="preserve">Moreover, </w:t>
      </w:r>
      <w:r>
        <w:t xml:space="preserve">a </w:t>
      </w:r>
      <w:r w:rsidRPr="001A6261">
        <w:t xml:space="preserve">fall in level of serum VDB and SAA cannot  be used as an indicator of clinical efficacy or response to  treatment as both patients groups (responders and non-responders to thalidomide), show a reduction in the serum level of VDB and SAA. </w:t>
      </w:r>
      <w:r w:rsidR="001D042C" w:rsidRPr="001A6261">
        <w:t>The</w:t>
      </w:r>
      <w:r w:rsidR="001D042C">
        <w:t>refore</w:t>
      </w:r>
      <w:r w:rsidRPr="001A6261">
        <w:t xml:space="preserve"> </w:t>
      </w:r>
      <w:r w:rsidR="001D042C">
        <w:t xml:space="preserve">after </w:t>
      </w:r>
      <w:r w:rsidRPr="001A6261">
        <w:t>three-months of treatment with thalidomide</w:t>
      </w:r>
      <w:r w:rsidR="001D042C">
        <w:t>,</w:t>
      </w:r>
      <w:r>
        <w:t xml:space="preserve"> the</w:t>
      </w:r>
      <w:r w:rsidRPr="001A6261">
        <w:t xml:space="preserve"> mechanism of decline in serum levels of Hp, VDB and SAA, </w:t>
      </w:r>
      <w:r>
        <w:t xml:space="preserve">in </w:t>
      </w:r>
      <w:r w:rsidR="001D042C">
        <w:t xml:space="preserve">multiple myeloma patients are still </w:t>
      </w:r>
      <w:r>
        <w:t xml:space="preserve">unclear. Particularly this decline was </w:t>
      </w:r>
      <w:r w:rsidRPr="001A6261">
        <w:t xml:space="preserve">irrespective of response, </w:t>
      </w:r>
      <w:r>
        <w:t>but it may be related</w:t>
      </w:r>
      <w:r w:rsidRPr="001A6261">
        <w:t xml:space="preserve"> to </w:t>
      </w:r>
      <w:r>
        <w:t>the</w:t>
      </w:r>
      <w:r w:rsidRPr="001A6261">
        <w:t xml:space="preserve"> immunomodulatory mechanisms of action of thalidomide</w:t>
      </w:r>
      <w:r w:rsidR="001D042C">
        <w:t>.</w:t>
      </w:r>
      <w:r w:rsidRPr="001A6261">
        <w:t xml:space="preserve"> However further long term follow-up is required</w:t>
      </w:r>
      <w:r>
        <w:t xml:space="preserve"> to assess the level of theses biomarkers and </w:t>
      </w:r>
      <w:r w:rsidR="001D042C">
        <w:t xml:space="preserve">disease </w:t>
      </w:r>
      <w:r>
        <w:t>relapse</w:t>
      </w:r>
      <w:r w:rsidRPr="001A6261">
        <w:t>.</w:t>
      </w:r>
      <w:r>
        <w:t xml:space="preserve"> </w:t>
      </w:r>
    </w:p>
    <w:p w:rsidR="00B61503" w:rsidRPr="001A6261" w:rsidRDefault="00B61503" w:rsidP="00057B42">
      <w:pPr>
        <w:spacing w:line="360" w:lineRule="auto"/>
        <w:jc w:val="both"/>
      </w:pPr>
    </w:p>
    <w:p w:rsidR="00B61503" w:rsidRDefault="00B61503" w:rsidP="00645687">
      <w:pPr>
        <w:pStyle w:val="Heading2"/>
        <w:numPr>
          <w:ilvl w:val="1"/>
          <w:numId w:val="19"/>
        </w:numPr>
      </w:pPr>
      <w:r w:rsidRPr="001A6261">
        <w:br w:type="page"/>
      </w:r>
      <w:bookmarkStart w:id="2142" w:name="_Toc302582457"/>
      <w:bookmarkStart w:id="2143" w:name="_Toc305690128"/>
      <w:bookmarkStart w:id="2144" w:name="_Toc306570820"/>
      <w:bookmarkStart w:id="2145" w:name="_Toc307067881"/>
      <w:r w:rsidR="006652AB">
        <w:lastRenderedPageBreak/>
        <w:tab/>
      </w:r>
      <w:bookmarkStart w:id="2146" w:name="_Toc312169448"/>
      <w:bookmarkStart w:id="2147" w:name="_Toc312172375"/>
      <w:bookmarkStart w:id="2148" w:name="_Toc312257924"/>
      <w:r w:rsidRPr="001A6261">
        <w:t>Study evaluating the relationship between incidence of adverse events and treatment efficacy with thalidomide serum concentrations in multiple myeloma patients</w:t>
      </w:r>
      <w:bookmarkEnd w:id="2142"/>
      <w:bookmarkEnd w:id="2143"/>
      <w:bookmarkEnd w:id="2144"/>
      <w:bookmarkEnd w:id="2145"/>
      <w:bookmarkEnd w:id="2146"/>
      <w:bookmarkEnd w:id="2147"/>
      <w:bookmarkEnd w:id="2148"/>
      <w:r w:rsidRPr="001A6261">
        <w:t xml:space="preserve"> </w:t>
      </w:r>
    </w:p>
    <w:p w:rsidR="00596404" w:rsidRPr="00596404" w:rsidRDefault="00596404" w:rsidP="00596404">
      <w:pPr>
        <w:rPr>
          <w:lang w:eastAsia="en-US"/>
        </w:rPr>
      </w:pPr>
    </w:p>
    <w:p w:rsidR="00B61503" w:rsidRDefault="006652AB" w:rsidP="00645687">
      <w:pPr>
        <w:pStyle w:val="Heading2"/>
        <w:numPr>
          <w:ilvl w:val="2"/>
          <w:numId w:val="19"/>
        </w:numPr>
      </w:pPr>
      <w:r>
        <w:tab/>
      </w:r>
      <w:r w:rsidR="00B61503" w:rsidRPr="001A6261">
        <w:t xml:space="preserve"> </w:t>
      </w:r>
      <w:bookmarkStart w:id="2149" w:name="_Toc302582458"/>
      <w:bookmarkStart w:id="2150" w:name="_Toc305690129"/>
      <w:bookmarkStart w:id="2151" w:name="_Toc306570821"/>
      <w:bookmarkStart w:id="2152" w:name="_Toc307067882"/>
      <w:bookmarkStart w:id="2153" w:name="_Toc312169449"/>
      <w:bookmarkStart w:id="2154" w:name="_Toc312172376"/>
      <w:bookmarkStart w:id="2155" w:name="_Toc312257925"/>
      <w:r w:rsidR="00B61503" w:rsidRPr="001A6261">
        <w:t>Back ground</w:t>
      </w:r>
      <w:bookmarkEnd w:id="2149"/>
      <w:bookmarkEnd w:id="2150"/>
      <w:bookmarkEnd w:id="2151"/>
      <w:bookmarkEnd w:id="2152"/>
      <w:bookmarkEnd w:id="2153"/>
      <w:bookmarkEnd w:id="2154"/>
      <w:bookmarkEnd w:id="2155"/>
      <w:r w:rsidR="00B61503" w:rsidRPr="001A6261">
        <w:t xml:space="preserve"> </w:t>
      </w:r>
    </w:p>
    <w:p w:rsidR="00B61503" w:rsidRDefault="00B61503" w:rsidP="001D042C">
      <w:pPr>
        <w:spacing w:before="240" w:line="360" w:lineRule="auto"/>
        <w:jc w:val="both"/>
      </w:pPr>
      <w:r w:rsidRPr="001A6261">
        <w:t>Currently, the pharmacology, and especially the pharmacokinetics of thalidomide, is poorly described. In addition, the optimal thalidomide dosage and schedule are still undecided and unlike many chemotherapeutic agents, thalidomide starting dosages does not depend on the patients’ body weight or body surface area</w:t>
      </w:r>
      <w:r w:rsidR="007E5152">
        <w:t xml:space="preserve"> </w:t>
      </w:r>
      <w:r w:rsidR="007E5152">
        <w:fldChar w:fldCharType="begin">
          <w:fldData xml:space="preserve">PEVuZE5vdGU+PENpdGU+PFllYXI+MjAwOTwvWWVhcj48UmVjTnVtPjQ5ODc8L1JlY051bT48RGlz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</w:fldData>
        </w:fldChar>
      </w:r>
      <w:r w:rsidR="007E5152">
        <w:instrText xml:space="preserve"> ADDIN EN.CITE </w:instrText>
      </w:r>
      <w:r w:rsidR="007E5152">
        <w:fldChar w:fldCharType="begin">
          <w:fldData xml:space="preserve">PEVuZE5vdGU+PENpdGU+PFllYXI+MjAwOTwvWWVhcj48UmVjTnVtPjQ5ODc8L1JlY051bT48RGlz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</w:fldData>
        </w:fldChar>
      </w:r>
      <w:r w:rsidR="007E5152">
        <w:instrText xml:space="preserve"> ADDIN EN.CITE.DATA </w:instrText>
      </w:r>
      <w:r w:rsidR="007E5152">
        <w:fldChar w:fldCharType="end"/>
      </w:r>
      <w:r w:rsidR="007E5152">
        <w:fldChar w:fldCharType="separate"/>
      </w:r>
      <w:r w:rsidR="007E5152">
        <w:rPr>
          <w:noProof/>
        </w:rPr>
        <w:t>(</w:t>
      </w:r>
      <w:hyperlink w:anchor="_ENREF_1" w:tooltip=", 2009 #4987" w:history="1">
        <w:r w:rsidR="004A784D">
          <w:rPr>
            <w:noProof/>
          </w:rPr>
          <w:t>2009</w:t>
        </w:r>
      </w:hyperlink>
      <w:r w:rsidR="007E5152">
        <w:rPr>
          <w:noProof/>
        </w:rPr>
        <w:t xml:space="preserve">, </w:t>
      </w:r>
      <w:hyperlink w:anchor="_ENREF_163" w:tooltip="Harousseau, 2008 #4992" w:history="1">
        <w:r w:rsidR="004A784D">
          <w:rPr>
            <w:noProof/>
          </w:rPr>
          <w:t>Harousseau, 2008</w:t>
        </w:r>
      </w:hyperlink>
      <w:r w:rsidR="007E5152">
        <w:rPr>
          <w:noProof/>
        </w:rPr>
        <w:t xml:space="preserve">, </w:t>
      </w:r>
      <w:hyperlink w:anchor="_ENREF_137" w:tooltip="Garderet, 2008 #4994" w:history="1">
        <w:r w:rsidR="004A784D">
          <w:rPr>
            <w:noProof/>
          </w:rPr>
          <w:t>Garderet et al., 2008</w:t>
        </w:r>
      </w:hyperlink>
      <w:r w:rsidR="007E5152">
        <w:rPr>
          <w:noProof/>
        </w:rPr>
        <w:t>)</w:t>
      </w:r>
      <w:r w:rsidR="007E5152">
        <w:fldChar w:fldCharType="end"/>
      </w:r>
      <w:r w:rsidRPr="001A6261">
        <w:t>.</w:t>
      </w:r>
    </w:p>
    <w:p w:rsidR="00596404" w:rsidRPr="001A6261" w:rsidRDefault="00596404" w:rsidP="001D042C">
      <w:pPr>
        <w:spacing w:before="240" w:line="360" w:lineRule="auto"/>
        <w:jc w:val="both"/>
      </w:pPr>
    </w:p>
    <w:p w:rsidR="00B61503" w:rsidRPr="001A6261" w:rsidRDefault="00B61503" w:rsidP="00645687">
      <w:pPr>
        <w:pStyle w:val="Heading2"/>
        <w:numPr>
          <w:ilvl w:val="3"/>
          <w:numId w:val="19"/>
        </w:numPr>
      </w:pPr>
      <w:r w:rsidRPr="001A6261">
        <w:t xml:space="preserve"> </w:t>
      </w:r>
      <w:bookmarkStart w:id="2156" w:name="_Toc302582459"/>
      <w:r>
        <w:tab/>
      </w:r>
      <w:bookmarkStart w:id="2157" w:name="_Toc305690130"/>
      <w:bookmarkStart w:id="2158" w:name="_Toc306570822"/>
      <w:bookmarkStart w:id="2159" w:name="_Toc307067883"/>
      <w:bookmarkStart w:id="2160" w:name="_Toc312169450"/>
      <w:bookmarkStart w:id="2161" w:name="_Toc312172377"/>
      <w:bookmarkStart w:id="2162" w:name="_Toc312257926"/>
      <w:r w:rsidRPr="001A6261">
        <w:t>Thalidomide Dosage in multiple myeloma</w:t>
      </w:r>
      <w:bookmarkEnd w:id="2156"/>
      <w:bookmarkEnd w:id="2157"/>
      <w:bookmarkEnd w:id="2158"/>
      <w:bookmarkEnd w:id="2159"/>
      <w:bookmarkEnd w:id="2160"/>
      <w:bookmarkEnd w:id="2161"/>
      <w:bookmarkEnd w:id="2162"/>
    </w:p>
    <w:p w:rsidR="001B0E11" w:rsidRDefault="00B61503" w:rsidP="001D042C">
      <w:pPr>
        <w:spacing w:before="240" w:line="360" w:lineRule="auto"/>
        <w:jc w:val="both"/>
      </w:pPr>
      <w:r w:rsidRPr="001A6261">
        <w:t xml:space="preserve">Currently the optimum starting dose of thalidomide is not clear and still under evolution. The dosage does not depend on the patients’ body weight or body surface area and </w:t>
      </w:r>
      <w:r>
        <w:t xml:space="preserve">the </w:t>
      </w:r>
      <w:r w:rsidRPr="001A6261">
        <w:t xml:space="preserve">goal of </w:t>
      </w:r>
      <w:r>
        <w:t xml:space="preserve">the </w:t>
      </w:r>
      <w:r w:rsidRPr="001A6261">
        <w:t>therapy is to take the patient to the maximal tolerated dosage and maintain that level until tolerance declines or the dis</w:t>
      </w:r>
      <w:r w:rsidR="007E5152">
        <w:t xml:space="preserve">ease progresses. In the earlier </w:t>
      </w:r>
      <w:r w:rsidRPr="001A6261">
        <w:t>studies, the dose was escalated to a targ</w:t>
      </w:r>
      <w:r>
        <w:t>et of 800 mg/day</w:t>
      </w:r>
      <w:r w:rsidR="007E5152">
        <w:t xml:space="preserve"> </w:t>
      </w:r>
      <w:r w:rsidR="0094376A">
        <w:fldChar w:fldCharType="begin">
          <w:fldData xml:space="preserve">PEVuZE5vdGU+PENpdGU+PEF1dGhvcj5BbmRlcnNvbjwvQXV0aG9yPjxZZWFyPjIwMDE8L1llYXI+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==
</w:fldData>
        </w:fldChar>
      </w:r>
      <w:r w:rsidR="0094376A">
        <w:instrText xml:space="preserve"> ADDIN EN.CITE </w:instrText>
      </w:r>
      <w:r w:rsidR="0094376A">
        <w:fldChar w:fldCharType="begin">
          <w:fldData xml:space="preserve">PEVuZE5vdGU+PENpdGU+PEF1dGhvcj5BbmRlcnNvbjwvQXV0aG9yPjxZZWFyPjIwMDE8L1llYXI+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==
</w:fldData>
        </w:fldChar>
      </w:r>
      <w:r w:rsidR="0094376A">
        <w:instrText xml:space="preserve"> ADDIN EN.CITE.DATA </w:instrText>
      </w:r>
      <w:r w:rsidR="0094376A">
        <w:fldChar w:fldCharType="end"/>
      </w:r>
      <w:r w:rsidR="0094376A">
        <w:fldChar w:fldCharType="separate"/>
      </w:r>
      <w:r w:rsidR="0094376A">
        <w:rPr>
          <w:noProof/>
        </w:rPr>
        <w:t>(</w:t>
      </w:r>
      <w:hyperlink w:anchor="_ENREF_20" w:tooltip="Anderson, 2001 #6494" w:history="1">
        <w:r w:rsidR="004A784D">
          <w:rPr>
            <w:noProof/>
          </w:rPr>
          <w:t>Anderson, 2001</w:t>
        </w:r>
      </w:hyperlink>
      <w:r w:rsidR="0094376A">
        <w:rPr>
          <w:noProof/>
        </w:rPr>
        <w:t xml:space="preserve">, </w:t>
      </w:r>
      <w:hyperlink w:anchor="_ENREF_334" w:tooltip="Rajkumar, 2000 #6960" w:history="1">
        <w:r w:rsidR="004A784D">
          <w:rPr>
            <w:noProof/>
          </w:rPr>
          <w:t>Rajkumar et al., 2000</w:t>
        </w:r>
      </w:hyperlink>
      <w:r w:rsidR="0094376A">
        <w:rPr>
          <w:noProof/>
        </w:rPr>
        <w:t xml:space="preserve">, </w:t>
      </w:r>
      <w:hyperlink w:anchor="_ENREF_388" w:tooltip="Singhal, 1999 #4933" w:history="1">
        <w:r w:rsidR="004A784D">
          <w:rPr>
            <w:noProof/>
          </w:rPr>
          <w:t>Singhal et al., 1999</w:t>
        </w:r>
      </w:hyperlink>
      <w:r w:rsidR="0094376A">
        <w:rPr>
          <w:noProof/>
        </w:rPr>
        <w:t>)</w:t>
      </w:r>
      <w:r w:rsidR="0094376A">
        <w:fldChar w:fldCharType="end"/>
      </w:r>
      <w:r>
        <w:t xml:space="preserve">. </w:t>
      </w:r>
    </w:p>
    <w:p w:rsidR="001B0E11" w:rsidRDefault="001B0E11" w:rsidP="00057B42">
      <w:pPr>
        <w:spacing w:line="360" w:lineRule="auto"/>
        <w:jc w:val="both"/>
      </w:pPr>
    </w:p>
    <w:p w:rsidR="00B61503" w:rsidRDefault="00B61503" w:rsidP="00057B42">
      <w:pPr>
        <w:spacing w:line="360" w:lineRule="auto"/>
        <w:jc w:val="both"/>
      </w:pPr>
      <w:r>
        <w:t>Recent studies demonstrated that</w:t>
      </w:r>
      <w:r w:rsidRPr="001A6261">
        <w:t xml:space="preserve"> there is no clear evidence of a dose response relationship</w:t>
      </w:r>
      <w:r>
        <w:t>.</w:t>
      </w:r>
      <w:r w:rsidRPr="001A6261">
        <w:t xml:space="preserve"> Consequently in practice most patients received up to 200 mg/day which is tolerable by most patients </w:t>
      </w:r>
      <w:r w:rsidRPr="001A6261">
        <w:fldChar w:fldCharType="begin">
          <w:fldData xml:space="preserve">PEVuZE5vdGU+PENpdGU+PEF1dGhvcj5LeXJpYWtvdTwvQXV0aG9yPjxZZWFyPjIwMDU8L1llYXI+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</w:fldData>
        </w:fldChar>
      </w:r>
      <w:r w:rsidR="00413040">
        <w:instrText xml:space="preserve"> ADDIN EN.CITE </w:instrText>
      </w:r>
      <w:r w:rsidR="00413040">
        <w:fldChar w:fldCharType="begin">
          <w:fldData xml:space="preserve">PEVuZE5vdGU+PENpdGU+PEF1dGhvcj5LeXJpYWtvdTwvQXV0aG9yPjxZZWFyPjIwMDU8L1llYXI+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</w:fldData>
        </w:fldChar>
      </w:r>
      <w:r w:rsidR="00413040">
        <w:instrText xml:space="preserve"> ADDIN EN.CITE.DATA </w:instrText>
      </w:r>
      <w:r w:rsidR="00413040">
        <w:fldChar w:fldCharType="end"/>
      </w:r>
      <w:r w:rsidRPr="001A6261">
        <w:fldChar w:fldCharType="separate"/>
      </w:r>
      <w:r w:rsidR="006F41FE">
        <w:rPr>
          <w:noProof/>
        </w:rPr>
        <w:t>(</w:t>
      </w:r>
      <w:hyperlink w:anchor="_ENREF_234" w:tooltip="Kyriakou, 2005 #3659" w:history="1">
        <w:r w:rsidR="004A784D">
          <w:rPr>
            <w:noProof/>
          </w:rPr>
          <w:t>Kyriakou et al., 2005</w:t>
        </w:r>
      </w:hyperlink>
      <w:r w:rsidR="006F41FE">
        <w:rPr>
          <w:noProof/>
        </w:rPr>
        <w:t xml:space="preserve">, </w:t>
      </w:r>
      <w:hyperlink w:anchor="_ENREF_345" w:tooltip="Richardson, 2005 #5016" w:history="1">
        <w:r w:rsidR="004A784D">
          <w:rPr>
            <w:noProof/>
          </w:rPr>
          <w:t>Richardson et al., 2005</w:t>
        </w:r>
      </w:hyperlink>
      <w:r w:rsidR="006F41FE">
        <w:rPr>
          <w:noProof/>
        </w:rPr>
        <w:t>)</w:t>
      </w:r>
      <w:r w:rsidRPr="001A6261">
        <w:fldChar w:fldCharType="end"/>
      </w:r>
      <w:r w:rsidR="003A0071">
        <w:t xml:space="preserve">.  </w:t>
      </w:r>
      <w:r w:rsidRPr="001A6261">
        <w:t xml:space="preserve">As additional scientific trials are conducted, the thalidomide pharmacokinetic will become more clearly defined. </w:t>
      </w:r>
      <w:r>
        <w:t xml:space="preserve">The degree of toxicity experienced by individual patients may depend on his/her capacity to metabolize and excrete thalidomide. </w:t>
      </w:r>
      <w:r w:rsidRPr="001A6261">
        <w:t xml:space="preserve">If thalidomide depended side effects are managed inappropriately, this can limit the </w:t>
      </w:r>
      <w:r w:rsidR="003A0071" w:rsidRPr="001A6261">
        <w:t>provision</w:t>
      </w:r>
      <w:r w:rsidRPr="001A6261">
        <w:t xml:space="preserve"> of optimal dosages of the drug to the patients. This can </w:t>
      </w:r>
      <w:r w:rsidR="003A0071">
        <w:t xml:space="preserve">also </w:t>
      </w:r>
      <w:r w:rsidRPr="001A6261">
        <w:t xml:space="preserve">effect long term survival </w:t>
      </w:r>
      <w:r w:rsidRPr="001A6261">
        <w:fldChar w:fldCharType="begin">
          <w:fldData xml:space="preserve">PEVuZE5vdGU+PENpdGU+PEF1dGhvcj5MYXViYWNoPC9BdXRob3I+PFllYXI+MjAwOTwvWWVhcj48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</w:fldData>
        </w:fldChar>
      </w:r>
      <w:r w:rsidR="006F41FE">
        <w:instrText xml:space="preserve"> ADDIN EN.CITE </w:instrText>
      </w:r>
      <w:r w:rsidR="006F41FE">
        <w:fldChar w:fldCharType="begin">
          <w:fldData xml:space="preserve">PEVuZE5vdGU+PENpdGU+PEF1dGhvcj5MYXViYWNoPC9BdXRob3I+PFllYXI+MjAwOTwvWWVhcj48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</w:fldData>
        </w:fldChar>
      </w:r>
      <w:r w:rsidR="006F41FE">
        <w:instrText xml:space="preserve"> ADDIN EN.CITE.DATA </w:instrText>
      </w:r>
      <w:r w:rsidR="006F41FE">
        <w:fldChar w:fldCharType="end"/>
      </w:r>
      <w:r w:rsidRPr="001A6261">
        <w:fldChar w:fldCharType="separate"/>
      </w:r>
      <w:r w:rsidR="006F41FE">
        <w:rPr>
          <w:noProof/>
        </w:rPr>
        <w:t>(</w:t>
      </w:r>
      <w:hyperlink w:anchor="_ENREF_237" w:tooltip="Laubach, 2009 #3405" w:history="1">
        <w:r w:rsidR="004A784D">
          <w:rPr>
            <w:noProof/>
          </w:rPr>
          <w:t>Laubach et al., 2009</w:t>
        </w:r>
      </w:hyperlink>
      <w:r w:rsidR="006F41FE">
        <w:rPr>
          <w:noProof/>
        </w:rPr>
        <w:t xml:space="preserve">, </w:t>
      </w:r>
      <w:hyperlink w:anchor="_ENREF_317" w:tooltip="Patrick, 2010 #3361" w:history="1">
        <w:r w:rsidR="004A784D">
          <w:rPr>
            <w:noProof/>
          </w:rPr>
          <w:t>Patrick and Bowcock, 2010</w:t>
        </w:r>
      </w:hyperlink>
      <w:r w:rsidR="006F41FE">
        <w:rPr>
          <w:noProof/>
        </w:rPr>
        <w:t>)</w:t>
      </w:r>
      <w:r w:rsidRPr="001A6261">
        <w:fldChar w:fldCharType="end"/>
      </w:r>
      <w:r w:rsidRPr="001A6261">
        <w:t>.</w:t>
      </w:r>
    </w:p>
    <w:p w:rsidR="00596404" w:rsidRPr="001A6261" w:rsidRDefault="00596404" w:rsidP="00057B42">
      <w:pPr>
        <w:spacing w:line="360" w:lineRule="auto"/>
        <w:jc w:val="both"/>
      </w:pPr>
    </w:p>
    <w:p w:rsidR="00B61503" w:rsidRDefault="00B61503" w:rsidP="00645687">
      <w:pPr>
        <w:pStyle w:val="Heading2"/>
        <w:numPr>
          <w:ilvl w:val="3"/>
          <w:numId w:val="19"/>
        </w:numPr>
      </w:pPr>
      <w:r w:rsidRPr="001A6261">
        <w:lastRenderedPageBreak/>
        <w:t xml:space="preserve">  </w:t>
      </w:r>
      <w:bookmarkStart w:id="2163" w:name="_Toc302582460"/>
      <w:r>
        <w:tab/>
      </w:r>
      <w:bookmarkStart w:id="2164" w:name="_Toc305690131"/>
      <w:bookmarkStart w:id="2165" w:name="_Toc306570823"/>
      <w:bookmarkStart w:id="2166" w:name="_Toc307067884"/>
      <w:bookmarkStart w:id="2167" w:name="_Toc312169451"/>
      <w:bookmarkStart w:id="2168" w:name="_Toc312172378"/>
      <w:bookmarkStart w:id="2169" w:name="_Toc312257927"/>
      <w:r w:rsidRPr="001A6261">
        <w:t>Thalidomide side effects</w:t>
      </w:r>
      <w:bookmarkEnd w:id="2163"/>
      <w:bookmarkEnd w:id="2164"/>
      <w:bookmarkEnd w:id="2165"/>
      <w:bookmarkEnd w:id="2166"/>
      <w:bookmarkEnd w:id="2167"/>
      <w:bookmarkEnd w:id="2168"/>
      <w:bookmarkEnd w:id="2169"/>
      <w:r w:rsidRPr="001A6261">
        <w:t xml:space="preserve"> </w:t>
      </w:r>
    </w:p>
    <w:p w:rsidR="00B61503" w:rsidRDefault="00B61503" w:rsidP="001D042C">
      <w:pPr>
        <w:spacing w:before="240" w:line="360" w:lineRule="auto"/>
        <w:jc w:val="both"/>
      </w:pPr>
      <w:r w:rsidRPr="001A6261">
        <w:t>Patients receiving thalidomide may experience various side effects with differing intensity (</w:t>
      </w:r>
      <w:r w:rsidR="001D042C">
        <w:t>Chapter 1, page 62</w:t>
      </w:r>
      <w:r w:rsidRPr="001A6261">
        <w:t>). The incidence and severity of adverse events are related to the dose of the drug. Patients receiving 200 mg or less/day seem to tolerate the treatment well with lesser side effects</w:t>
      </w:r>
      <w:r w:rsidR="0094376A">
        <w:t xml:space="preserve"> </w:t>
      </w:r>
      <w:r w:rsidR="0094376A">
        <w:fldChar w:fldCharType="begin"/>
      </w:r>
      <w:r w:rsidR="0094376A">
        <w:instrText xml:space="preserve"> ADDIN EN.CITE &lt;EndNote&gt;&lt;Cite&gt;&lt;Author&gt;Palumbo&lt;/Author&gt;&lt;Year&gt;2007&lt;/Year&gt;&lt;RecNum&gt;5013&lt;/RecNum&gt;&lt;DisplayText&gt;(Palumbo and Boccadoro, 2007)&lt;/DisplayText&gt;&lt;record&gt;&lt;rec-number&gt;5013&lt;/rec-number&gt;&lt;foreign-keys&gt;&lt;key app="EN" db-id="zf0awxsaczrdd3eft5qvw9wrtxxawdfrvw2a"&gt;5013&lt;/key&gt;&lt;/foreign-keys&gt;&lt;ref-type name="Journal Article"&gt;17&lt;/ref-type&gt;&lt;contributors&gt;&lt;authors&gt;&lt;author&gt;Palumbo, A.&lt;/author&gt;&lt;author&gt;Boccadoro, M.&lt;/author&gt;&lt;/authors&gt;&lt;/contributors&gt;&lt;auth-address&gt;Divisione di Ematologia dell&amp;apos;Universita di Torino, Azienda Ospedaliera San Giovanni Battista, Torino 10126, Italy. appalumbo@yahoo.com&lt;/auth-address&gt;&lt;titles&gt;&lt;title&gt;A new standard of care for elderly patients with myeloma&lt;/title&gt;&lt;secondary-title&gt;Lancet&lt;/secondary-title&gt;&lt;/titles&gt;&lt;periodical&gt;&lt;full-title&gt;Lancet&lt;/full-title&gt;&lt;/periodical&gt;&lt;pages&gt;1191-2&lt;/pages&gt;&lt;volume&gt;370&lt;/volume&gt;&lt;number&gt;9594&lt;/number&gt;&lt;edition&gt;2007/10/09&lt;/edition&gt;&lt;keywords&gt;&lt;keyword&gt;Aged&lt;/keyword&gt;&lt;keyword&gt;Aged, 80 and over&lt;/keyword&gt;&lt;keyword&gt;Antineoplastic Agents, Alkylating/administration &amp;amp; dosage&lt;/keyword&gt;&lt;keyword&gt;Antineoplastic Combined Chemotherapy Protocols/*therapeutic use&lt;/keyword&gt;&lt;keyword&gt;Delivery of Health Care/*standards&lt;/keyword&gt;&lt;keyword&gt;Humans&lt;/keyword&gt;&lt;keyword&gt;Immunosuppressive Agents/administration &amp;amp; dosage&lt;/keyword&gt;&lt;keyword&gt;Melphalan/administration &amp;amp; dosage&lt;/keyword&gt;&lt;keyword&gt;Multiple Myeloma/*drug therapy/mortality&lt;/keyword&gt;&lt;keyword&gt;Prednisone/administration &amp;amp; dosage&lt;/keyword&gt;&lt;keyword&gt;Stem Cell Transplantation&lt;/keyword&gt;&lt;keyword&gt;Survival Rate&lt;/keyword&gt;&lt;keyword&gt;Thalidomide/administration &amp;amp; dosage&lt;/keyword&gt;&lt;/keywords&gt;&lt;dates&gt;&lt;year&gt;2007&lt;/year&gt;&lt;pub-dates&gt;&lt;date&gt;Oct 6&lt;/date&gt;&lt;/pub-dates&gt;&lt;/dates&gt;&lt;isbn&gt;1474-547X (Electronic)&amp;#xD;0140-6736 (Linking)&lt;/isbn&gt;&lt;accession-num&gt;17920906&lt;/accession-num&gt;&lt;urls&gt;&lt;related-urls&gt;&lt;url&gt;http://www.ncbi.nlm.nih.gov/pubmed/17920906&lt;/url&gt;&lt;/related-urls&gt;&lt;/urls&gt;&lt;electronic-resource-num&gt;S0140-6736(07)61522-0 [pii]&amp;#xD;10.1016/S0140-6736(07)61522-0&lt;/electronic-resource-num&gt;&lt;language&gt;eng&lt;/language&gt;&lt;/record&gt;&lt;/Cite&gt;&lt;/EndNote&gt;</w:instrText>
      </w:r>
      <w:r w:rsidR="0094376A">
        <w:fldChar w:fldCharType="separate"/>
      </w:r>
      <w:r w:rsidR="0094376A">
        <w:rPr>
          <w:noProof/>
        </w:rPr>
        <w:t>(</w:t>
      </w:r>
      <w:hyperlink w:anchor="_ENREF_309" w:tooltip="Palumbo, 2007 #5013" w:history="1">
        <w:r w:rsidR="004A784D">
          <w:rPr>
            <w:noProof/>
          </w:rPr>
          <w:t>Palumbo and Boccadoro, 2007</w:t>
        </w:r>
      </w:hyperlink>
      <w:r w:rsidR="0094376A">
        <w:rPr>
          <w:noProof/>
        </w:rPr>
        <w:t>)</w:t>
      </w:r>
      <w:r w:rsidR="0094376A">
        <w:fldChar w:fldCharType="end"/>
      </w:r>
      <w:r w:rsidRPr="001A6261">
        <w:t xml:space="preserve">. On the other hand, almost all patients taking more than 400 mg/day, experience </w:t>
      </w:r>
      <w:r w:rsidR="003A0071">
        <w:t>thalidomide-related toxicities</w:t>
      </w:r>
      <w:r w:rsidRPr="001A6261">
        <w:t xml:space="preserve"> </w:t>
      </w:r>
      <w:r w:rsidRPr="001A6261">
        <w:fldChar w:fldCharType="begin"/>
      </w:r>
      <w:r w:rsidR="003C0ABB">
        <w:instrText xml:space="preserve"> ADDIN EN.CITE &lt;EndNote&gt;&lt;Cite&gt;&lt;Author&gt;Richardson&lt;/Author&gt;&lt;Year&gt;2010&lt;/Year&gt;&lt;RecNum&gt;3364&lt;/RecNum&gt;&lt;DisplayText&gt;(Richardson et al., 2010)&lt;/DisplayText&gt;&lt;record&gt;&lt;rec-number&gt;3364&lt;/rec-number&gt;&lt;foreign-keys&gt;&lt;key app="EN" db-id="zf0awxsaczrdd3eft5qvw9wrtxxawdfrvw2a"&gt;3364&lt;/key&gt;&lt;/foreign-keys&gt;&lt;ref-type name="Journal Article"&gt;17&lt;/ref-type&gt;&lt;contributors&gt;&lt;authors&gt;&lt;author&gt;Richardson, P. G.&lt;/author&gt;&lt;author&gt;Laubach, J. P.&lt;/author&gt;&lt;author&gt;Schlossman, R. L.&lt;/author&gt;&lt;author&gt;Mitsiades, C.&lt;/author&gt;&lt;author&gt;Anderson, K.&lt;/author&gt;&lt;/authors&gt;&lt;/contributors&gt;&lt;auth-address&gt;Harvard Medical School, Dana-Farber Cancer Institute, Boston, Massachusetts 02115, USA. paul_richardson@dfci.harvard.edu&lt;/auth-address&gt;&lt;titles&gt;&lt;title&gt;Complications of multiple myeloma therapy, part 1: risk reduction and management of peripheral neuropathy and asthenia&lt;/title&gt;&lt;secondary-title&gt;J Natl Compr Canc Netw&lt;/secondary-title&gt;&lt;/titles&gt;&lt;periodical&gt;&lt;full-title&gt;J Natl Compr Canc Netw&lt;/full-title&gt;&lt;/periodical&gt;&lt;pages&gt;S4-S12&lt;/pages&gt;&lt;volume&gt;8 Suppl 1&lt;/volume&gt;&lt;edition&gt;2010/03/25&lt;/edition&gt;&lt;keywords&gt;&lt;keyword&gt;Angiogenesis Inhibitors/*adverse effects&lt;/keyword&gt;&lt;keyword&gt;Antineoplastic Agents/*adverse effects&lt;/keyword&gt;&lt;keyword&gt;Asthenia/*chemically induced/drug therapy&lt;/keyword&gt;&lt;keyword&gt;Boronic Acids/*adverse effects&lt;/keyword&gt;&lt;keyword&gt;Humans&lt;/keyword&gt;&lt;keyword&gt;Multiple Myeloma/*drug therapy&lt;/keyword&gt;&lt;keyword&gt;Peripheral Nervous System Diseases/*chemically induced/drug therapy&lt;/keyword&gt;&lt;keyword&gt;Prognosis&lt;/keyword&gt;&lt;keyword&gt;Pyrazines/*adverse effects&lt;/keyword&gt;&lt;keyword&gt;Risk Management&lt;/keyword&gt;&lt;keyword&gt;Risk Reduction Behavior&lt;/keyword&gt;&lt;keyword&gt;Thalidomide/*adverse effects&lt;/keyword&gt;&lt;/keywords&gt;&lt;dates&gt;&lt;year&gt;2010&lt;/year&gt;&lt;pub-dates&gt;&lt;date&gt;Feb&lt;/date&gt;&lt;/pub-dates&gt;&lt;/dates&gt;&lt;isbn&gt;1540-1405 (Print)&amp;#xD;1540-1405 (Linking)&lt;/isbn&gt;&lt;accession-num&gt;20141673&lt;/accession-num&gt;&lt;urls&gt;&lt;related-urls&gt;&lt;url&gt;http://www.ncbi.nlm.nih.gov/pubmed/20141673&lt;/url&gt;&lt;/related-urls&gt;&lt;/urls&gt;&lt;language&gt;eng&lt;/language&gt;&lt;/record&gt;&lt;/Cite&gt;&lt;/EndNote&gt;</w:instrText>
      </w:r>
      <w:r w:rsidRPr="001A6261">
        <w:fldChar w:fldCharType="separate"/>
      </w:r>
      <w:r w:rsidR="003C0ABB">
        <w:rPr>
          <w:noProof/>
        </w:rPr>
        <w:t>(</w:t>
      </w:r>
      <w:hyperlink w:anchor="_ENREF_344" w:tooltip="Richardson, 2010 #3364" w:history="1">
        <w:r w:rsidR="004A784D">
          <w:rPr>
            <w:noProof/>
          </w:rPr>
          <w:t>Richardson et al., 2010</w:t>
        </w:r>
      </w:hyperlink>
      <w:r w:rsidR="003C0ABB">
        <w:rPr>
          <w:noProof/>
        </w:rPr>
        <w:t>)</w:t>
      </w:r>
      <w:r w:rsidRPr="001A6261">
        <w:fldChar w:fldCharType="end"/>
      </w:r>
      <w:r w:rsidRPr="001A6261">
        <w:t>.</w:t>
      </w:r>
    </w:p>
    <w:p w:rsidR="00596404" w:rsidRDefault="00596404" w:rsidP="001D042C">
      <w:pPr>
        <w:spacing w:before="240" w:line="360" w:lineRule="auto"/>
        <w:jc w:val="both"/>
      </w:pPr>
    </w:p>
    <w:p w:rsidR="00B61503" w:rsidRPr="001A6261" w:rsidRDefault="00981036" w:rsidP="00645687">
      <w:pPr>
        <w:pStyle w:val="Heading2"/>
        <w:numPr>
          <w:ilvl w:val="2"/>
          <w:numId w:val="19"/>
        </w:numPr>
      </w:pPr>
      <w:bookmarkStart w:id="2170" w:name="_Toc302582461"/>
      <w:bookmarkStart w:id="2171" w:name="_Toc305690132"/>
      <w:r>
        <w:tab/>
      </w:r>
      <w:bookmarkStart w:id="2172" w:name="_Toc306570824"/>
      <w:bookmarkStart w:id="2173" w:name="_Toc307067885"/>
      <w:bookmarkStart w:id="2174" w:name="_Toc312169452"/>
      <w:bookmarkStart w:id="2175" w:name="_Toc312172379"/>
      <w:bookmarkStart w:id="2176" w:name="_Toc312257928"/>
      <w:r w:rsidR="00B61503" w:rsidRPr="001A6261">
        <w:t>Thalidomide serum level - objective</w:t>
      </w:r>
      <w:bookmarkEnd w:id="2170"/>
      <w:bookmarkEnd w:id="2171"/>
      <w:bookmarkEnd w:id="2172"/>
      <w:bookmarkEnd w:id="2173"/>
      <w:bookmarkEnd w:id="2174"/>
      <w:bookmarkEnd w:id="2175"/>
      <w:bookmarkEnd w:id="2176"/>
    </w:p>
    <w:p w:rsidR="00B61503" w:rsidRPr="001A6261" w:rsidRDefault="00B61503" w:rsidP="003A0071">
      <w:pPr>
        <w:spacing w:before="240" w:line="360" w:lineRule="auto"/>
        <w:jc w:val="both"/>
      </w:pPr>
      <w:r w:rsidRPr="001A6261">
        <w:t>The objective of this pilot study was to determine whether the serum concentration of thalidomide is related to the development of side effects experienced by MM patients. In addition we also explored the relationship between the serum thalidomide concentration and the efficacy of thalidomide by measuring the clinical response. Prescribed thalidomide dose range was: 50 mg /day to 300 mg/day as a single dose, (depending on tolerability of pati</w:t>
      </w:r>
      <w:r w:rsidR="003A0071">
        <w:t>ents).</w:t>
      </w:r>
      <w:r w:rsidRPr="001A6261">
        <w:t>.</w:t>
      </w:r>
    </w:p>
    <w:p w:rsidR="00AD1CA1" w:rsidRDefault="00AD1CA1" w:rsidP="00057B42">
      <w:pPr>
        <w:spacing w:line="360" w:lineRule="auto"/>
        <w:jc w:val="both"/>
      </w:pPr>
    </w:p>
    <w:p w:rsidR="00762DCA" w:rsidRDefault="00B61503" w:rsidP="00057B42">
      <w:pPr>
        <w:spacing w:line="360" w:lineRule="auto"/>
        <w:jc w:val="both"/>
      </w:pPr>
      <w:r w:rsidRPr="001A6261">
        <w:t>We identified that the serum thalidomide level was below that detectable in five samples from four</w:t>
      </w:r>
      <w:r>
        <w:t xml:space="preserve"> different patients. Of these, one</w:t>
      </w:r>
      <w:r w:rsidRPr="001A6261">
        <w:t xml:space="preserve"> patient was non-compliant with the medication</w:t>
      </w:r>
      <w:r>
        <w:t>, two</w:t>
      </w:r>
      <w:r w:rsidRPr="001A6261">
        <w:t xml:space="preserve"> patients thalidomide was stopped 14-21 days prior</w:t>
      </w:r>
      <w:r>
        <w:t xml:space="preserve"> to sampling and the remaining two</w:t>
      </w:r>
      <w:r w:rsidRPr="001A6261">
        <w:t xml:space="preserve"> samples were taken from a patient when he was still on Lenalidomide </w:t>
      </w:r>
      <w:r w:rsidR="00EE0F19">
        <w:t>(Chapte</w:t>
      </w:r>
      <w:r w:rsidR="000B3C61">
        <w:t xml:space="preserve">r 3, </w:t>
      </w:r>
      <w:r w:rsidR="00EE0F19" w:rsidRPr="001A6261">
        <w:t xml:space="preserve">Table </w:t>
      </w:r>
      <w:r w:rsidR="00EE0F19">
        <w:t>3-29</w:t>
      </w:r>
      <w:r w:rsidR="00EE0F19" w:rsidRPr="001A6261">
        <w:t>)</w:t>
      </w:r>
      <w:r w:rsidRPr="001A6261">
        <w:t xml:space="preserve">. </w:t>
      </w:r>
    </w:p>
    <w:p w:rsidR="00762DCA" w:rsidRDefault="00762DCA" w:rsidP="00057B42">
      <w:pPr>
        <w:spacing w:line="360" w:lineRule="auto"/>
        <w:jc w:val="both"/>
      </w:pPr>
    </w:p>
    <w:p w:rsidR="00B61503" w:rsidRPr="001A6261" w:rsidRDefault="00762DCA" w:rsidP="00057B42">
      <w:pPr>
        <w:spacing w:line="360" w:lineRule="auto"/>
        <w:jc w:val="both"/>
      </w:pPr>
      <w:r>
        <w:t xml:space="preserve">This study also shows </w:t>
      </w:r>
      <w:r w:rsidRPr="001A6261">
        <w:t xml:space="preserve">that serum thalidomide level </w:t>
      </w:r>
      <w:r>
        <w:t xml:space="preserve">approximately proportionate to the daily </w:t>
      </w:r>
      <w:r w:rsidRPr="001A6261">
        <w:t>thalidomide dosage</w:t>
      </w:r>
      <w:r>
        <w:t xml:space="preserve"> at time of sampling. </w:t>
      </w:r>
      <w:r w:rsidR="00B61503" w:rsidRPr="001A6261">
        <w:t xml:space="preserve"> In this study, patients who are on lower thalidomide </w:t>
      </w:r>
      <w:r w:rsidR="000B3C61">
        <w:t xml:space="preserve"> daily dosage of 50-150 mg /day</w:t>
      </w:r>
      <w:r>
        <w:t xml:space="preserve"> had</w:t>
      </w:r>
      <w:r w:rsidR="00B61503" w:rsidRPr="001A6261">
        <w:t xml:space="preserve"> statistically significant lower serum thalidomide level</w:t>
      </w:r>
      <w:r w:rsidR="00B61503">
        <w:t>s</w:t>
      </w:r>
      <w:r w:rsidR="00B61503" w:rsidRPr="001A6261">
        <w:t xml:space="preserve"> as compared to the patients taking more commonly prescribed daily dosage of 200 mg/day ( </w:t>
      </w:r>
      <w:r w:rsidR="0010315E" w:rsidRPr="0010315E">
        <w:rPr>
          <w:i/>
        </w:rPr>
        <w:t>p=</w:t>
      </w:r>
      <w:r w:rsidR="00B61503" w:rsidRPr="001A6261">
        <w:t xml:space="preserve"> 0.00001)</w:t>
      </w:r>
      <w:r w:rsidR="00662A1A">
        <w:t>.</w:t>
      </w:r>
      <w:r w:rsidR="00B61503" w:rsidRPr="001A6261">
        <w:t xml:space="preserve"> On the individual patien</w:t>
      </w:r>
      <w:r>
        <w:t>t basis, five serums samples were</w:t>
      </w:r>
      <w:r w:rsidR="00B61503" w:rsidRPr="001A6261">
        <w:t xml:space="preserve"> from two patients (samples number 269, 292, patient-1; 342, 377, 388 patient-2), shows a corresponding difference in serum thalidomide levels when the thalidomide daily dosages were altered </w:t>
      </w:r>
      <w:r w:rsidR="00FC0203">
        <w:t>(</w:t>
      </w:r>
      <w:r w:rsidR="000B3C61">
        <w:t xml:space="preserve">Chapter 3, </w:t>
      </w:r>
      <w:r w:rsidR="00FC0203" w:rsidRPr="001A6261">
        <w:t xml:space="preserve">Table </w:t>
      </w:r>
      <w:r w:rsidR="00FC0203">
        <w:t>3-30</w:t>
      </w:r>
      <w:r w:rsidR="00FC0203" w:rsidRPr="001A6261">
        <w:t>).</w:t>
      </w:r>
    </w:p>
    <w:p w:rsidR="00AD1CA1" w:rsidRDefault="00AD1CA1" w:rsidP="00057B42">
      <w:pPr>
        <w:spacing w:line="360" w:lineRule="auto"/>
        <w:jc w:val="both"/>
      </w:pPr>
    </w:p>
    <w:p w:rsidR="00B61503" w:rsidRDefault="00B61503" w:rsidP="00057B42">
      <w:pPr>
        <w:spacing w:line="360" w:lineRule="auto"/>
        <w:jc w:val="both"/>
      </w:pPr>
      <w:r w:rsidRPr="001A6261">
        <w:lastRenderedPageBreak/>
        <w:t>Non-compliance in oral medicatio</w:t>
      </w:r>
      <w:r w:rsidR="000B3C61">
        <w:t xml:space="preserve">n is growing </w:t>
      </w:r>
      <w:r w:rsidR="00762DCA">
        <w:t xml:space="preserve">and </w:t>
      </w:r>
      <w:r w:rsidR="000B3C61">
        <w:t xml:space="preserve">is common with </w:t>
      </w:r>
      <w:r w:rsidRPr="001A6261">
        <w:t xml:space="preserve">many oral medications including anti-cancer treatments. However there is </w:t>
      </w:r>
      <w:r w:rsidR="00762DCA">
        <w:t xml:space="preserve">no </w:t>
      </w:r>
      <w:r w:rsidRPr="001A6261">
        <w:t>mention of patient adherence with reference to thalidomide in literature published by way of g</w:t>
      </w:r>
      <w:r w:rsidR="000B3C61">
        <w:t>uidelines for oncology nurses.</w:t>
      </w:r>
      <w:r>
        <w:t xml:space="preserve"> N</w:t>
      </w:r>
      <w:r w:rsidRPr="001A6261">
        <w:t xml:space="preserve">o study, to the </w:t>
      </w:r>
      <w:r>
        <w:t>best of our knowledge, has studied</w:t>
      </w:r>
      <w:r w:rsidRPr="001A6261">
        <w:t xml:space="preserve"> the level of compliance in mu</w:t>
      </w:r>
      <w:r w:rsidR="00B36A3F">
        <w:t>ltiple myeloma patients receiving</w:t>
      </w:r>
      <w:r w:rsidRPr="001A6261">
        <w:t xml:space="preserve"> oral thalidomide.</w:t>
      </w:r>
      <w:r w:rsidR="000B24FD">
        <w:t xml:space="preserve"> </w:t>
      </w:r>
      <w:r w:rsidRPr="001A6261">
        <w:t>One Patient was initially non-compliant and the lack of disease response led the clinical team to increase the patient’s dosage of thalidomide and eventual regime change. The patient dose was increased due to lack of disease response. The patient admitted noncompliance after the serum samples were analysed.</w:t>
      </w:r>
      <w:r w:rsidR="00762DCA">
        <w:t xml:space="preserve"> Therefore non-compliance had clear therapeutic implication.  </w:t>
      </w:r>
    </w:p>
    <w:p w:rsidR="00596404" w:rsidRPr="001A6261" w:rsidRDefault="00596404" w:rsidP="00057B42">
      <w:pPr>
        <w:spacing w:line="360" w:lineRule="auto"/>
        <w:jc w:val="both"/>
      </w:pPr>
    </w:p>
    <w:p w:rsidR="00B61503" w:rsidRPr="001A6261" w:rsidRDefault="00B61503" w:rsidP="00645687">
      <w:pPr>
        <w:pStyle w:val="Heading2"/>
        <w:numPr>
          <w:ilvl w:val="2"/>
          <w:numId w:val="19"/>
        </w:numPr>
      </w:pPr>
      <w:bookmarkStart w:id="2177" w:name="_Toc302582462"/>
      <w:r>
        <w:tab/>
      </w:r>
      <w:bookmarkStart w:id="2178" w:name="_Toc305690133"/>
      <w:bookmarkStart w:id="2179" w:name="_Toc306570825"/>
      <w:bookmarkStart w:id="2180" w:name="_Toc307067886"/>
      <w:bookmarkStart w:id="2181" w:name="_Toc312169453"/>
      <w:bookmarkStart w:id="2182" w:name="_Toc312172380"/>
      <w:bookmarkStart w:id="2183" w:name="_Toc312257929"/>
      <w:r w:rsidRPr="001A6261">
        <w:t>Serum thalidomide level and neuropathy</w:t>
      </w:r>
      <w:bookmarkEnd w:id="2177"/>
      <w:bookmarkEnd w:id="2178"/>
      <w:bookmarkEnd w:id="2179"/>
      <w:bookmarkEnd w:id="2180"/>
      <w:bookmarkEnd w:id="2181"/>
      <w:bookmarkEnd w:id="2182"/>
      <w:bookmarkEnd w:id="2183"/>
      <w:r w:rsidRPr="001A6261">
        <w:t xml:space="preserve"> </w:t>
      </w:r>
    </w:p>
    <w:p w:rsidR="00762DCA" w:rsidRDefault="00B61503" w:rsidP="000B3C61">
      <w:pPr>
        <w:spacing w:before="240" w:line="360" w:lineRule="auto"/>
        <w:jc w:val="both"/>
      </w:pPr>
      <w:r w:rsidRPr="001A6261">
        <w:t>In this study, thalidomide-related neuropathy was classified based on National Cancer Institute Common Toxicity Criteria for thalidomide</w:t>
      </w:r>
      <w:r w:rsidR="00FC0203">
        <w:t>.</w:t>
      </w:r>
      <w:r w:rsidRPr="001A6261">
        <w:t xml:space="preserve"> At the time of sampling 5 patients had grade III, 12 patients had grade II, 2 patients had grade I and 2 patients had grade 0 peripheral neuropathy requiring </w:t>
      </w:r>
      <w:r w:rsidR="00FC0203">
        <w:t xml:space="preserve">(Results-Chapter 3 page 318 </w:t>
      </w:r>
      <w:r w:rsidR="00FC0203" w:rsidRPr="001A6261">
        <w:t xml:space="preserve">Table </w:t>
      </w:r>
      <w:r w:rsidR="00FC0203">
        <w:t>3-31</w:t>
      </w:r>
      <w:r w:rsidR="0094376A">
        <w:t>)</w:t>
      </w:r>
      <w:r w:rsidRPr="001A6261">
        <w:t xml:space="preserve"> discontinuation of thalidomide in one patient and thalidomide dosage reduction in two patients. However, there was no statistically significant correlation between serum thalidomide level </w:t>
      </w:r>
      <w:r w:rsidR="00762DCA">
        <w:t xml:space="preserve">at the time of neuropathy </w:t>
      </w:r>
      <w:r w:rsidRPr="001A6261">
        <w:t>and grade of neuropathy ex</w:t>
      </w:r>
      <w:r w:rsidR="00FC0203">
        <w:t>perienced by patients</w:t>
      </w:r>
      <w:r w:rsidR="00762DCA">
        <w:t>. However, multiple and cumulative thalidomide PK assessment at various therapeutic time stages may explained the above</w:t>
      </w:r>
      <w:r w:rsidR="00FC0203">
        <w:t>.</w:t>
      </w:r>
    </w:p>
    <w:p w:rsidR="00596404" w:rsidRDefault="00596404" w:rsidP="000B3C61">
      <w:pPr>
        <w:spacing w:before="240" w:line="360" w:lineRule="auto"/>
        <w:jc w:val="both"/>
      </w:pPr>
    </w:p>
    <w:p w:rsidR="00B61503" w:rsidRDefault="00B61503" w:rsidP="00645687">
      <w:pPr>
        <w:pStyle w:val="Heading2"/>
        <w:numPr>
          <w:ilvl w:val="2"/>
          <w:numId w:val="19"/>
        </w:numPr>
      </w:pPr>
      <w:bookmarkStart w:id="2184" w:name="_Toc302582463"/>
      <w:r>
        <w:tab/>
      </w:r>
      <w:bookmarkStart w:id="2185" w:name="_Toc305690134"/>
      <w:bookmarkStart w:id="2186" w:name="_Toc306570826"/>
      <w:bookmarkStart w:id="2187" w:name="_Toc307067887"/>
      <w:bookmarkStart w:id="2188" w:name="_Toc312169454"/>
      <w:bookmarkStart w:id="2189" w:name="_Toc312172381"/>
      <w:bookmarkStart w:id="2190" w:name="_Toc312257930"/>
      <w:r w:rsidRPr="001A6261">
        <w:t>Serum thalidomide level and clinical response</w:t>
      </w:r>
      <w:bookmarkEnd w:id="2184"/>
      <w:bookmarkEnd w:id="2185"/>
      <w:bookmarkEnd w:id="2186"/>
      <w:bookmarkEnd w:id="2187"/>
      <w:bookmarkEnd w:id="2188"/>
      <w:bookmarkEnd w:id="2189"/>
      <w:bookmarkEnd w:id="2190"/>
      <w:r w:rsidR="005426E3">
        <w:t xml:space="preserve"> </w:t>
      </w:r>
    </w:p>
    <w:p w:rsidR="001B0E11" w:rsidRDefault="00B61503" w:rsidP="00000025">
      <w:pPr>
        <w:spacing w:before="240" w:line="360" w:lineRule="auto"/>
        <w:jc w:val="both"/>
      </w:pPr>
      <w:r w:rsidRPr="001A6261">
        <w:t xml:space="preserve">This is study </w:t>
      </w:r>
      <w:r w:rsidR="00B36A3F">
        <w:t>has indicates</w:t>
      </w:r>
      <w:r w:rsidR="00104D76">
        <w:t xml:space="preserve"> that there was</w:t>
      </w:r>
      <w:r w:rsidRPr="001A6261">
        <w:t xml:space="preserve"> no relationship between the serum concentration of thalidomide </w:t>
      </w:r>
      <w:r w:rsidR="00104D76">
        <w:t xml:space="preserve"> at the time of response assessment </w:t>
      </w:r>
      <w:r w:rsidRPr="001A6261">
        <w:t>and the clinical response to thalidomide (</w:t>
      </w:r>
      <w:r w:rsidR="0010315E" w:rsidRPr="0010315E">
        <w:rPr>
          <w:i/>
        </w:rPr>
        <w:t>p=</w:t>
      </w:r>
      <w:r w:rsidRPr="001A6261">
        <w:t xml:space="preserve"> 0.23) (</w:t>
      </w:r>
      <w:r w:rsidR="000B3C61">
        <w:t>Chapter</w:t>
      </w:r>
      <w:r w:rsidR="000B3C61" w:rsidRPr="001A6261">
        <w:t xml:space="preserve"> </w:t>
      </w:r>
      <w:r w:rsidR="000B3C61">
        <w:t xml:space="preserve">3 </w:t>
      </w:r>
      <w:r w:rsidRPr="001A6261">
        <w:t xml:space="preserve">Table </w:t>
      </w:r>
      <w:r w:rsidR="00662A1A">
        <w:t>3-</w:t>
      </w:r>
      <w:r w:rsidRPr="001A6261">
        <w:t xml:space="preserve">33). </w:t>
      </w:r>
    </w:p>
    <w:p w:rsidR="001B0E11" w:rsidRDefault="001B0E11" w:rsidP="00057B42">
      <w:pPr>
        <w:spacing w:line="360" w:lineRule="auto"/>
        <w:jc w:val="both"/>
      </w:pPr>
    </w:p>
    <w:p w:rsidR="00104D76" w:rsidRDefault="00B61503" w:rsidP="00057B42">
      <w:pPr>
        <w:spacing w:line="360" w:lineRule="auto"/>
        <w:jc w:val="both"/>
      </w:pPr>
      <w:r>
        <w:t xml:space="preserve">This study </w:t>
      </w:r>
      <w:r w:rsidR="001B0E11">
        <w:t xml:space="preserve">also </w:t>
      </w:r>
      <w:r>
        <w:t>demonstrates that t</w:t>
      </w:r>
      <w:r w:rsidRPr="001A6261">
        <w:t>halidomide serum level</w:t>
      </w:r>
      <w:r>
        <w:t>s do</w:t>
      </w:r>
      <w:r w:rsidRPr="001A6261">
        <w:t xml:space="preserve"> not correlate with the degree of associated side effects experienced by patients (such as degree of peripheral neuropathy). In additi</w:t>
      </w:r>
      <w:r>
        <w:t>on, serum thalidomide levels do</w:t>
      </w:r>
      <w:r w:rsidRPr="001A6261">
        <w:t xml:space="preserve"> not correlate with the response rate. </w:t>
      </w:r>
      <w:r w:rsidR="00104D76">
        <w:t xml:space="preserve">However, again multiple and cumulative thalidomide PK </w:t>
      </w:r>
      <w:r w:rsidR="00104D76">
        <w:lastRenderedPageBreak/>
        <w:t>assessment at various therapeutic time stages may explained the above. In addition this study did not incorporate patient height</w:t>
      </w:r>
      <w:r w:rsidR="0044739C">
        <w:t xml:space="preserve"> and weight (Body Surface A</w:t>
      </w:r>
      <w:r w:rsidR="00104D76">
        <w:t xml:space="preserve">rea), which might had influenced on detected serum level. </w:t>
      </w:r>
    </w:p>
    <w:p w:rsidR="00104D76" w:rsidRDefault="00104D76" w:rsidP="00057B42">
      <w:pPr>
        <w:spacing w:line="360" w:lineRule="auto"/>
        <w:jc w:val="both"/>
      </w:pPr>
    </w:p>
    <w:p w:rsidR="00B61503" w:rsidRPr="00E43CAF" w:rsidRDefault="00B61503" w:rsidP="00057B42">
      <w:pPr>
        <w:spacing w:line="360" w:lineRule="auto"/>
      </w:pPr>
      <w:r w:rsidRPr="001A6261">
        <w:t xml:space="preserve">    </w:t>
      </w:r>
      <w:bookmarkStart w:id="2191" w:name="_Toc302582465"/>
    </w:p>
    <w:p w:rsidR="00395422" w:rsidRDefault="00B61503" w:rsidP="00057B42">
      <w:pPr>
        <w:tabs>
          <w:tab w:val="left" w:pos="0"/>
        </w:tabs>
        <w:spacing w:line="360" w:lineRule="auto"/>
        <w:jc w:val="center"/>
      </w:pPr>
      <w:r w:rsidRPr="001A6261">
        <w:br w:type="page"/>
      </w:r>
      <w:bookmarkStart w:id="2192" w:name="_Toc302582466"/>
      <w:bookmarkEnd w:id="2191"/>
      <w:bookmarkEnd w:id="2192"/>
    </w:p>
    <w:p w:rsidR="00216522" w:rsidRDefault="00216522" w:rsidP="00057B42">
      <w:pPr>
        <w:tabs>
          <w:tab w:val="left" w:pos="0"/>
        </w:tabs>
        <w:spacing w:line="360" w:lineRule="auto"/>
        <w:jc w:val="center"/>
        <w:rPr>
          <w:sz w:val="72"/>
        </w:rPr>
      </w:pPr>
    </w:p>
    <w:p w:rsidR="00216522" w:rsidRPr="002E5084" w:rsidRDefault="002E5084" w:rsidP="00057B42">
      <w:pPr>
        <w:pStyle w:val="Heading1"/>
        <w:numPr>
          <w:ilvl w:val="0"/>
          <w:numId w:val="19"/>
        </w:numPr>
        <w:tabs>
          <w:tab w:val="left" w:pos="0"/>
        </w:tabs>
        <w:ind w:left="0" w:firstLine="0"/>
        <w:jc w:val="center"/>
        <w:rPr>
          <w:sz w:val="72"/>
        </w:rPr>
      </w:pPr>
      <w:r>
        <w:t xml:space="preserve">  </w:t>
      </w:r>
      <w:bookmarkStart w:id="2193" w:name="_Toc312169455"/>
      <w:bookmarkStart w:id="2194" w:name="_Toc312172382"/>
      <w:bookmarkStart w:id="2195" w:name="_Toc312257931"/>
      <w:bookmarkEnd w:id="2193"/>
      <w:bookmarkEnd w:id="2194"/>
      <w:bookmarkEnd w:id="2195"/>
    </w:p>
    <w:p w:rsidR="00AE7FD6" w:rsidRPr="00AE7FD6" w:rsidRDefault="00AE7FD6" w:rsidP="00057B42">
      <w:pPr>
        <w:tabs>
          <w:tab w:val="left" w:pos="0"/>
        </w:tabs>
        <w:spacing w:line="360" w:lineRule="auto"/>
        <w:jc w:val="center"/>
        <w:rPr>
          <w:sz w:val="72"/>
        </w:rPr>
      </w:pPr>
      <w:r w:rsidRPr="00AE7FD6">
        <w:rPr>
          <w:sz w:val="72"/>
        </w:rPr>
        <w:t>Chapter 5.0</w:t>
      </w:r>
    </w:p>
    <w:p w:rsidR="00216522" w:rsidRPr="00AE7FD6" w:rsidRDefault="00216522" w:rsidP="00057B42">
      <w:pPr>
        <w:tabs>
          <w:tab w:val="left" w:pos="0"/>
        </w:tabs>
        <w:spacing w:line="360" w:lineRule="auto"/>
        <w:jc w:val="center"/>
        <w:rPr>
          <w:sz w:val="72"/>
        </w:rPr>
      </w:pPr>
      <w:r w:rsidRPr="00AE7FD6">
        <w:rPr>
          <w:sz w:val="72"/>
        </w:rPr>
        <w:t>Summary</w:t>
      </w:r>
    </w:p>
    <w:p w:rsidR="00216522" w:rsidRPr="00AE7FD6" w:rsidRDefault="00216522" w:rsidP="00057B42">
      <w:pPr>
        <w:tabs>
          <w:tab w:val="left" w:pos="0"/>
        </w:tabs>
        <w:spacing w:line="360" w:lineRule="auto"/>
        <w:jc w:val="center"/>
        <w:rPr>
          <w:sz w:val="72"/>
        </w:rPr>
      </w:pPr>
      <w:r w:rsidRPr="00AE7FD6">
        <w:rPr>
          <w:sz w:val="72"/>
        </w:rPr>
        <w:t>and</w:t>
      </w:r>
    </w:p>
    <w:p w:rsidR="00395422" w:rsidRPr="00AE7FD6" w:rsidRDefault="00395422" w:rsidP="00057B42">
      <w:pPr>
        <w:tabs>
          <w:tab w:val="left" w:pos="0"/>
        </w:tabs>
        <w:spacing w:line="360" w:lineRule="auto"/>
        <w:jc w:val="center"/>
        <w:rPr>
          <w:sz w:val="72"/>
        </w:rPr>
      </w:pPr>
      <w:r w:rsidRPr="00AE7FD6">
        <w:rPr>
          <w:sz w:val="72"/>
        </w:rPr>
        <w:t xml:space="preserve">Conclusions </w:t>
      </w:r>
    </w:p>
    <w:p w:rsidR="00395422" w:rsidRPr="00AE7FD6" w:rsidRDefault="00395422" w:rsidP="00057B42">
      <w:pPr>
        <w:tabs>
          <w:tab w:val="left" w:pos="0"/>
        </w:tabs>
        <w:spacing w:line="360" w:lineRule="auto"/>
        <w:jc w:val="center"/>
        <w:rPr>
          <w:rFonts w:eastAsia="Times New Roman"/>
          <w:b/>
          <w:color w:val="000000"/>
          <w:lang w:eastAsia="en-US"/>
        </w:rPr>
      </w:pPr>
      <w:r w:rsidRPr="00AE7FD6">
        <w:br w:type="page"/>
      </w:r>
    </w:p>
    <w:p w:rsidR="006350A8" w:rsidRDefault="002E5084" w:rsidP="002E5084">
      <w:pPr>
        <w:pStyle w:val="Heading1"/>
        <w:numPr>
          <w:ilvl w:val="0"/>
          <w:numId w:val="24"/>
        </w:numPr>
      </w:pPr>
      <w:r>
        <w:lastRenderedPageBreak/>
        <w:tab/>
        <w:t xml:space="preserve"> </w:t>
      </w:r>
      <w:bookmarkStart w:id="2196" w:name="_Toc312169456"/>
      <w:bookmarkStart w:id="2197" w:name="_Toc312172383"/>
      <w:bookmarkStart w:id="2198" w:name="_Toc312257932"/>
      <w:r w:rsidR="006350A8" w:rsidRPr="00873C4C">
        <w:t>Summary and Conclusions</w:t>
      </w:r>
      <w:bookmarkEnd w:id="2196"/>
      <w:bookmarkEnd w:id="2197"/>
      <w:bookmarkEnd w:id="2198"/>
    </w:p>
    <w:p w:rsidR="006350A8" w:rsidRPr="00873C4C" w:rsidRDefault="006350A8" w:rsidP="000B3C61">
      <w:pPr>
        <w:spacing w:before="240" w:after="240" w:line="360" w:lineRule="auto"/>
        <w:jc w:val="both"/>
        <w:rPr>
          <w:rFonts w:eastAsia="Times New Roman"/>
          <w:color w:val="000000"/>
          <w:lang w:eastAsia="en-US"/>
        </w:rPr>
      </w:pPr>
      <w:r w:rsidRPr="00873C4C">
        <w:rPr>
          <w:rFonts w:eastAsia="Times New Roman"/>
          <w:color w:val="000000"/>
          <w:lang w:eastAsia="en-US"/>
        </w:rPr>
        <w:t xml:space="preserve">There is some evidence that although individual patient response to Multiple Myeloma treatment is complex, specific markers exist circulating in the </w:t>
      </w:r>
      <w:r w:rsidR="00C5350B" w:rsidRPr="00873C4C">
        <w:rPr>
          <w:rFonts w:eastAsia="Times New Roman"/>
          <w:color w:val="000000"/>
          <w:lang w:eastAsia="en-US"/>
        </w:rPr>
        <w:t>bloodstream which correlates</w:t>
      </w:r>
      <w:r w:rsidRPr="00873C4C">
        <w:rPr>
          <w:rFonts w:eastAsia="Times New Roman"/>
          <w:color w:val="000000"/>
          <w:lang w:eastAsia="en-US"/>
        </w:rPr>
        <w:t xml:space="preserve"> with treatment efficacy. We suggest that the quantification of these markers in serum will provide valuable prognostic information on the likelihood of patient response with a given treatment. </w:t>
      </w:r>
    </w:p>
    <w:p w:rsidR="000B24FD" w:rsidRDefault="00C5350B" w:rsidP="00057B42">
      <w:pPr>
        <w:spacing w:before="100" w:beforeAutospacing="1" w:after="100" w:afterAutospacing="1" w:line="360" w:lineRule="auto"/>
        <w:jc w:val="both"/>
      </w:pPr>
      <w:r>
        <w:t xml:space="preserve">Thalidomide was accidently found to have anti-myeloma activity when it was thought its anti-angiogenic activity could slow the malignant cells activity by inhibiting the formation of new blood vessels in this vascularized cancer. There is now sufficient data exist to demonstrate that the anticancer activity of thalidomide in MM is through various mechanisms and sites in the bone marrow as described earlier. Figure 4-3 shows the bone marrow microenvironment in MM, which contains abnormalities in various cellular processes, immunology, and cell interactions. </w:t>
      </w:r>
    </w:p>
    <w:p w:rsidR="00C5350B" w:rsidRDefault="00C5350B" w:rsidP="00057B42">
      <w:pPr>
        <w:spacing w:before="100" w:beforeAutospacing="1" w:after="100" w:afterAutospacing="1" w:line="360" w:lineRule="auto"/>
        <w:jc w:val="both"/>
      </w:pPr>
      <w:r>
        <w:t>Thalidomide immunomodulatory activities consist of inhibiting the expression of IL-6 and TNF-alpha by bone marrow stromal cells that in turn inhibit the growth of MM cells. The compounds also enhance T cell stimulation and proliferation with the activated cells, then releasing IL-2 and IFN-gamma. These cytokines activate NK cells causing lysis of the MM cells. The combination of immunomodulatory and non-immunomodulatory anticancer activities in the bone marrow is thought to produce the significant anti-tumour responses observed in MM patients.</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In this study we have focused specifically on identifying a biomarker profile that correlates with response rate to thalidomide-based regimens in newly diagnosed patients with multiple myeloma. We have defined a proteomic profile in multiple myeloma patients, using an accessible platform that will assist clinicians in individualizing treatment by identifying patients that will have a high likelihood of response to a thalidomide based regimen.</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5.1</w:t>
      </w:r>
      <w:r>
        <w:rPr>
          <w:rFonts w:eastAsia="Times New Roman"/>
          <w:b/>
          <w:color w:val="000000"/>
          <w:lang w:eastAsia="en-US"/>
        </w:rPr>
        <w:tab/>
      </w:r>
      <w:r w:rsidR="006350A8" w:rsidRPr="00873C4C">
        <w:rPr>
          <w:rFonts w:eastAsia="Times New Roman"/>
          <w:color w:val="000000"/>
          <w:lang w:eastAsia="en-US"/>
        </w:rPr>
        <w:t>We analysed serum samples from 51 (29 responders and 22 non-responders) consecutive newly diagnosed multiple myeloma patients who were having initial treatment with thalidomide-based regimens. Serum samples were obtained from</w:t>
      </w:r>
      <w:r w:rsidR="004D56C5">
        <w:rPr>
          <w:rFonts w:eastAsia="Times New Roman"/>
          <w:color w:val="000000"/>
          <w:lang w:eastAsia="en-US"/>
        </w:rPr>
        <w:t xml:space="preserve"> the</w:t>
      </w:r>
      <w:r w:rsidR="006350A8" w:rsidRPr="00873C4C">
        <w:rPr>
          <w:rFonts w:eastAsia="Times New Roman"/>
          <w:color w:val="000000"/>
          <w:lang w:eastAsia="en-US"/>
        </w:rPr>
        <w:t xml:space="preserve"> </w:t>
      </w:r>
      <w:r w:rsidR="006350A8" w:rsidRPr="00873C4C">
        <w:rPr>
          <w:rFonts w:eastAsia="Times New Roman"/>
          <w:color w:val="000000"/>
          <w:lang w:eastAsia="en-US"/>
        </w:rPr>
        <w:lastRenderedPageBreak/>
        <w:t>consented multiple myeloma patients at diagnosis and prior to commencement of therapy. Serum samples</w:t>
      </w:r>
      <w:r w:rsidR="008C6F38">
        <w:rPr>
          <w:rFonts w:eastAsia="Times New Roman"/>
          <w:color w:val="000000"/>
          <w:lang w:eastAsia="en-US"/>
        </w:rPr>
        <w:t>,</w:t>
      </w:r>
      <w:r w:rsidR="006350A8" w:rsidRPr="00873C4C">
        <w:rPr>
          <w:rFonts w:eastAsia="Times New Roman"/>
          <w:color w:val="000000"/>
          <w:lang w:eastAsia="en-US"/>
        </w:rPr>
        <w:t xml:space="preserve"> following immunodepletion were fluorescently labelled and analysed by 2D-DIGE using an internal standard design. Spot maps were generated and maps were aligned with a master spot map; relative abundance values were generated for each of 886 protein spots that were common to more than 90 percent of gels. Based on 2D-DIGE analysis, protein spots with a fold change of ≥ 1.25 in abundance level and a t-test of ≤ 0.01 were selected. Using these criteria, seven individual differentially expressed proteins spots were detected. Six proteins spots were increased in abundance level, and one was decreased in abundance level in thalidomide non-responders compared to responders to thalidomide based regimen.</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5.2</w:t>
      </w:r>
      <w:r>
        <w:rPr>
          <w:rFonts w:eastAsia="Times New Roman"/>
          <w:b/>
          <w:color w:val="000000"/>
          <w:lang w:eastAsia="en-US"/>
        </w:rPr>
        <w:tab/>
      </w:r>
      <w:r w:rsidR="006350A8" w:rsidRPr="00873C4C">
        <w:rPr>
          <w:rFonts w:eastAsia="Times New Roman"/>
          <w:color w:val="000000"/>
          <w:lang w:eastAsia="en-US"/>
        </w:rPr>
        <w:t xml:space="preserve">Six proteins of interest were robotically picked from preparative gels and were analysed by one-dimensional LC–MS using the Ettan MDLC system and searched against the SWISS PROT database using SEQUEST. Protein identification was performed using the Turbo-SEQUEST algorithm in the BioWorks 3.1 software package and the Swiss-Prot human database. The six serum proteins which exhibited a statistically significant difference in abundance level are Zinc alpha 2-glycoprotein (ZAG), Vitamin D binding Precursor (VDB), Transthyretin (TYR), Serum Amyloid A protein (SAA), Beta-2-microglobulin (B2M), had higher abundance level while Haptoglobin (Hp) had a lower abundance level in non-responders compared to responders. </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470B6" w:rsidRPr="006470B6">
        <w:rPr>
          <w:rFonts w:eastAsia="Times New Roman"/>
          <w:b/>
          <w:color w:val="000000"/>
          <w:lang w:eastAsia="en-US"/>
        </w:rPr>
        <w:t>.3</w:t>
      </w:r>
      <w:r w:rsidR="006350A8" w:rsidRPr="00873C4C">
        <w:rPr>
          <w:rFonts w:eastAsia="Times New Roman"/>
          <w:color w:val="000000"/>
          <w:lang w:eastAsia="en-US"/>
        </w:rPr>
        <w:tab/>
        <w:t>Assay development for validation studies on biomarkers associated with disease or treatment response is a difficult proposition in the development pipeline. The quantitative estimation of altered expression level of various proteins detected by the Decyder software is typically accurate but needs to be validated by a conventional platform. These can be in the form of Enzyme-Linked Immunosorbent Assay (ELISA),</w:t>
      </w:r>
      <w:r w:rsidR="008C4A08">
        <w:rPr>
          <w:rFonts w:eastAsia="Times New Roman"/>
          <w:color w:val="000000"/>
          <w:lang w:eastAsia="en-US"/>
        </w:rPr>
        <w:t xml:space="preserve"> or (semi quantifiable level) by </w:t>
      </w:r>
      <w:r w:rsidR="006350A8" w:rsidRPr="00873C4C">
        <w:rPr>
          <w:rFonts w:eastAsia="Times New Roman"/>
          <w:color w:val="000000"/>
          <w:lang w:eastAsia="en-US"/>
        </w:rPr>
        <w:t xml:space="preserve"> immunohistochemistry. In this study, ELISA-based assays were used to measure the levels of the six candidate marker proteins in raw unfractionated serum samples from thalidomide responders and non-responders. Vitamin D binding Precursor (VDB), Transthyretin (TYR), Zinc alpha 2-glycoprotein (ZAG), Serum Amyloid A protein (SAA), Beta-2-microglobulin (B2M), had higher abundance level with a fold changes of; 1.31 </w:t>
      </w:r>
      <w:r w:rsidR="006350A8" w:rsidRPr="00873C4C">
        <w:rPr>
          <w:rFonts w:eastAsia="Times New Roman"/>
          <w:color w:val="000000"/>
          <w:lang w:eastAsia="en-US"/>
        </w:rPr>
        <w:lastRenderedPageBreak/>
        <w:t>(</w:t>
      </w:r>
      <w:r w:rsidR="0010315E" w:rsidRPr="0010315E">
        <w:rPr>
          <w:rFonts w:eastAsia="Times New Roman"/>
          <w:i/>
          <w:color w:val="000000"/>
          <w:lang w:eastAsia="en-US"/>
        </w:rPr>
        <w:t>p=</w:t>
      </w:r>
      <w:r w:rsidR="006350A8" w:rsidRPr="00873C4C">
        <w:rPr>
          <w:rFonts w:eastAsia="Times New Roman"/>
          <w:color w:val="000000"/>
          <w:lang w:eastAsia="en-US"/>
        </w:rPr>
        <w:t>0.00044), 1.32 (</w:t>
      </w:r>
      <w:r w:rsidR="0010315E" w:rsidRPr="0010315E">
        <w:rPr>
          <w:rFonts w:eastAsia="Times New Roman"/>
          <w:i/>
          <w:color w:val="000000"/>
          <w:lang w:eastAsia="en-US"/>
        </w:rPr>
        <w:t>p=</w:t>
      </w:r>
      <w:r w:rsidR="006350A8" w:rsidRPr="00873C4C">
        <w:rPr>
          <w:rFonts w:eastAsia="Times New Roman"/>
          <w:color w:val="000000"/>
          <w:lang w:eastAsia="en-US"/>
        </w:rPr>
        <w:t>0.0077), 1.48 (</w:t>
      </w:r>
      <w:r w:rsidR="0010315E" w:rsidRPr="0010315E">
        <w:rPr>
          <w:rFonts w:eastAsia="Times New Roman"/>
          <w:i/>
          <w:color w:val="000000"/>
          <w:lang w:eastAsia="en-US"/>
        </w:rPr>
        <w:t>p=</w:t>
      </w:r>
      <w:r w:rsidR="006350A8" w:rsidRPr="00873C4C">
        <w:rPr>
          <w:rFonts w:eastAsia="Times New Roman"/>
          <w:color w:val="000000"/>
          <w:lang w:eastAsia="en-US"/>
        </w:rPr>
        <w:t xml:space="preserve"> 0.0000022),  3.01 (</w:t>
      </w:r>
      <w:r w:rsidR="0010315E" w:rsidRPr="0010315E">
        <w:rPr>
          <w:rFonts w:eastAsia="Times New Roman"/>
          <w:i/>
          <w:color w:val="000000"/>
          <w:lang w:eastAsia="en-US"/>
        </w:rPr>
        <w:t>p=</w:t>
      </w:r>
      <w:r w:rsidR="006350A8" w:rsidRPr="00873C4C">
        <w:rPr>
          <w:rFonts w:eastAsia="Times New Roman"/>
          <w:color w:val="000000"/>
          <w:lang w:eastAsia="en-US"/>
        </w:rPr>
        <w:t>0.006) and 1.96 (</w:t>
      </w:r>
      <w:r w:rsidR="0010315E" w:rsidRPr="0010315E">
        <w:rPr>
          <w:rFonts w:eastAsia="Times New Roman"/>
          <w:i/>
          <w:color w:val="000000"/>
          <w:lang w:eastAsia="en-US"/>
        </w:rPr>
        <w:t>p=</w:t>
      </w:r>
      <w:r w:rsidR="006350A8" w:rsidRPr="00873C4C">
        <w:rPr>
          <w:rFonts w:eastAsia="Times New Roman"/>
          <w:color w:val="000000"/>
          <w:lang w:eastAsia="en-US"/>
        </w:rPr>
        <w:t>0.0015) fold increase in non-responders compared to responders, respectively. In contrast Haptoglobin (Hp) had a lower abundance level in non-responders compared to responder with a fold change of 3.01 (</w:t>
      </w:r>
      <w:r w:rsidR="0010315E" w:rsidRPr="0010315E">
        <w:rPr>
          <w:rFonts w:eastAsia="Times New Roman"/>
          <w:i/>
          <w:color w:val="000000"/>
          <w:lang w:eastAsia="en-US"/>
        </w:rPr>
        <w:t>p=</w:t>
      </w:r>
      <w:r w:rsidR="006350A8" w:rsidRPr="00873C4C">
        <w:rPr>
          <w:rFonts w:eastAsia="Times New Roman"/>
          <w:color w:val="000000"/>
          <w:lang w:eastAsia="en-US"/>
        </w:rPr>
        <w:t xml:space="preserve">0.0015).  </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350A8" w:rsidRPr="006470B6">
        <w:rPr>
          <w:rFonts w:eastAsia="Times New Roman"/>
          <w:b/>
          <w:color w:val="000000"/>
          <w:lang w:eastAsia="en-US"/>
        </w:rPr>
        <w:t>.</w:t>
      </w:r>
      <w:r w:rsidR="006470B6" w:rsidRPr="006470B6">
        <w:rPr>
          <w:rFonts w:eastAsia="Times New Roman"/>
          <w:b/>
          <w:color w:val="000000"/>
          <w:lang w:eastAsia="en-US"/>
        </w:rPr>
        <w:t>4</w:t>
      </w:r>
      <w:r w:rsidR="006350A8" w:rsidRPr="00873C4C">
        <w:rPr>
          <w:rFonts w:eastAsia="Times New Roman"/>
          <w:color w:val="000000"/>
          <w:lang w:eastAsia="en-US"/>
        </w:rPr>
        <w:tab/>
        <w:t xml:space="preserve">Using the ELISA values, logistic regression and ROC curve analysis were carried out with the statistical software R (project.org). The ROC curves were used to interpret the utility of logistic regression models for various combinations of the differentially expressed proteins. The probability of correct prediction for a given model was calculated from the ROC curve by determining the area under curve (AUC). Thus the proteins and combinations of proteins </w:t>
      </w:r>
      <w:r w:rsidR="008C4A08">
        <w:rPr>
          <w:rFonts w:eastAsia="Times New Roman"/>
          <w:color w:val="000000"/>
          <w:lang w:eastAsia="en-US"/>
        </w:rPr>
        <w:t>generating</w:t>
      </w:r>
      <w:r w:rsidR="006350A8" w:rsidRPr="00873C4C">
        <w:rPr>
          <w:rFonts w:eastAsia="Times New Roman"/>
          <w:color w:val="000000"/>
          <w:lang w:eastAsia="en-US"/>
        </w:rPr>
        <w:t xml:space="preserve"> the largest AUC values are considered the most effective for the discrimination of responders from non-responders. Akaike's Information Criterion (AIC) was also used as a measure to select the best possible combination of protein biomarkers. </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 xml:space="preserve">Logistic Regression (LR) models were constructed and receiver operating characteristic (ROC) curve analyses carried out on all possible combinations. The best possible combination of biomarker proteins were achieved by using a combination of Hp, SAA and VDB, which yielded </w:t>
      </w:r>
      <w:r w:rsidR="000B3C61">
        <w:rPr>
          <w:rFonts w:eastAsia="Times New Roman"/>
          <w:color w:val="000000"/>
          <w:lang w:eastAsia="en-US"/>
        </w:rPr>
        <w:t>area</w:t>
      </w:r>
      <w:r w:rsidRPr="00873C4C">
        <w:rPr>
          <w:rFonts w:eastAsia="Times New Roman"/>
          <w:color w:val="000000"/>
          <w:lang w:eastAsia="en-US"/>
        </w:rPr>
        <w:t xml:space="preserve"> under the curve (AUC) of 0.96. </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As a further measure of the predictive potential of these biomarkers to accurately predict response to thalidomide-based therapy, a commonly used more stringent internal validation technique known as leave-one-out-cross-validation (LOOCV) was performed. The combination of Hp, SAA, VDB was found to be the most effective based on the values from the AUC, LOOCV and AIC analyses (AUC=0.96, LOOCV=84.31, AIC=35.26). The sensitivity and specificity of this combination were 82% and 86% respectively. This pilot study established that using a novel panel of predictive biomarkers, the feasibility of predicting response to thalidomide-based therapy in previously untreated multiple myeloma. This approach has the potential for risk-adapted individualized therapy for patients presenting with newly diagnosed multiple myeloma.</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470B6" w:rsidRPr="006470B6">
        <w:rPr>
          <w:rFonts w:eastAsia="Times New Roman"/>
          <w:b/>
          <w:color w:val="000000"/>
          <w:lang w:eastAsia="en-US"/>
        </w:rPr>
        <w:t>.5</w:t>
      </w:r>
      <w:r w:rsidR="006350A8" w:rsidRPr="00873C4C">
        <w:rPr>
          <w:rFonts w:eastAsia="Times New Roman"/>
          <w:color w:val="000000"/>
          <w:lang w:eastAsia="en-US"/>
        </w:rPr>
        <w:tab/>
        <w:t xml:space="preserve">We have focused specifically on identifying a biomarker profile that correlates with response rate to thalidomide-based regimens in newly diagnosed </w:t>
      </w:r>
      <w:r w:rsidR="006350A8" w:rsidRPr="00873C4C">
        <w:rPr>
          <w:rFonts w:eastAsia="Times New Roman"/>
          <w:color w:val="000000"/>
          <w:lang w:eastAsia="en-US"/>
        </w:rPr>
        <w:lastRenderedPageBreak/>
        <w:t>patients with multiple myeloma. In this study, 16 of 22 thalidomide refractory patients successfully achieved CR/VGPR using second-line treatment. If validated in prospective studies, this profile could allow the physician to choose an alternative therapy in patients predicted to be resistant to thalidomide-based treatment, thereby avoiding ineffective, costly treatment and exposure of the patient to unnecessary side effects. This approach has the potential for risk-adapted individualized therapy for patients presenting with newly diagnosed multiple myeloma.</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470B6" w:rsidRPr="006470B6">
        <w:rPr>
          <w:rFonts w:eastAsia="Times New Roman"/>
          <w:b/>
          <w:color w:val="000000"/>
          <w:lang w:eastAsia="en-US"/>
        </w:rPr>
        <w:t>.6</w:t>
      </w:r>
      <w:r w:rsidR="006350A8" w:rsidRPr="006470B6">
        <w:rPr>
          <w:rFonts w:eastAsia="Times New Roman"/>
          <w:b/>
          <w:color w:val="000000"/>
          <w:lang w:eastAsia="en-US"/>
        </w:rPr>
        <w:tab/>
      </w:r>
      <w:r w:rsidR="006350A8" w:rsidRPr="00873C4C">
        <w:rPr>
          <w:rFonts w:eastAsia="Times New Roman"/>
          <w:color w:val="000000"/>
          <w:lang w:eastAsia="en-US"/>
        </w:rPr>
        <w:t xml:space="preserve">It is generally accepted that in investigational studies, the use of high quality frozen samples for retrospective analysis is critical. All biological specimens are collected and processed in a stringent manner.  The time from sample procurement to storage at -80° C was less than 3 hours. However, there is also </w:t>
      </w:r>
      <w:r w:rsidR="008C4A08">
        <w:rPr>
          <w:rFonts w:eastAsia="Times New Roman"/>
          <w:color w:val="000000"/>
          <w:lang w:eastAsia="en-US"/>
        </w:rPr>
        <w:t>awareness that</w:t>
      </w:r>
      <w:r w:rsidR="002A3428">
        <w:rPr>
          <w:rFonts w:eastAsia="Times New Roman"/>
          <w:color w:val="000000"/>
          <w:lang w:eastAsia="en-US"/>
        </w:rPr>
        <w:t xml:space="preserve"> a number of pre</w:t>
      </w:r>
      <w:r w:rsidR="00D461BB">
        <w:rPr>
          <w:rFonts w:eastAsia="Times New Roman"/>
          <w:color w:val="000000"/>
          <w:lang w:eastAsia="en-US"/>
        </w:rPr>
        <w:t>-</w:t>
      </w:r>
      <w:r w:rsidR="006350A8" w:rsidRPr="00873C4C">
        <w:rPr>
          <w:rFonts w:eastAsia="Times New Roman"/>
          <w:color w:val="000000"/>
          <w:lang w:eastAsia="en-US"/>
        </w:rPr>
        <w:t xml:space="preserve">analytical factors such sample collection and storage temperature can impact </w:t>
      </w:r>
      <w:r w:rsidR="008C4A08">
        <w:rPr>
          <w:rFonts w:eastAsia="Times New Roman"/>
          <w:color w:val="000000"/>
          <w:lang w:eastAsia="en-US"/>
        </w:rPr>
        <w:t xml:space="preserve">on </w:t>
      </w:r>
      <w:r w:rsidR="006350A8" w:rsidRPr="00873C4C">
        <w:rPr>
          <w:rFonts w:eastAsia="Times New Roman"/>
          <w:color w:val="000000"/>
          <w:lang w:eastAsia="en-US"/>
        </w:rPr>
        <w:t xml:space="preserve">the laboratory test result. For example, there may be a delay in initial processing of samples when collected outside of standard working hours which may result in prolonged refrigeration prior to analysis.  Furthermore, some investigators may not have access to −80 °C storage and use only −20 °C freezer. </w:t>
      </w:r>
    </w:p>
    <w:p w:rsidR="006350A8" w:rsidRPr="00873C4C" w:rsidRDefault="002A3428" w:rsidP="00057B42">
      <w:pPr>
        <w:spacing w:after="240" w:line="360" w:lineRule="auto"/>
        <w:jc w:val="both"/>
        <w:rPr>
          <w:rFonts w:eastAsia="Times New Roman"/>
          <w:color w:val="000000"/>
          <w:lang w:eastAsia="en-US"/>
        </w:rPr>
      </w:pPr>
      <w:r>
        <w:rPr>
          <w:rFonts w:eastAsia="Times New Roman"/>
          <w:color w:val="000000"/>
          <w:lang w:eastAsia="en-US"/>
        </w:rPr>
        <w:t>These factors, primarily pre</w:t>
      </w:r>
      <w:r w:rsidR="008D2B6E">
        <w:rPr>
          <w:rFonts w:eastAsia="Times New Roman"/>
          <w:color w:val="000000"/>
          <w:lang w:eastAsia="en-US"/>
        </w:rPr>
        <w:t>-</w:t>
      </w:r>
      <w:r w:rsidR="006350A8" w:rsidRPr="00873C4C">
        <w:rPr>
          <w:rFonts w:eastAsia="Times New Roman"/>
          <w:color w:val="000000"/>
          <w:lang w:eastAsia="en-US"/>
        </w:rPr>
        <w:t>analytical storage time and temperature may affect the accuracy of test results. In the biomarker discovery phase, we used stringent protocols for sample collection, storage and proteomic technologies. We subsequently design</w:t>
      </w:r>
      <w:r w:rsidR="008C4A08">
        <w:rPr>
          <w:rFonts w:eastAsia="Times New Roman"/>
          <w:color w:val="000000"/>
          <w:lang w:eastAsia="en-US"/>
        </w:rPr>
        <w:t>ed a study</w:t>
      </w:r>
      <w:r w:rsidR="006350A8" w:rsidRPr="00873C4C">
        <w:rPr>
          <w:rFonts w:eastAsia="Times New Roman"/>
          <w:color w:val="000000"/>
          <w:lang w:eastAsia="en-US"/>
        </w:rPr>
        <w:t xml:space="preserve"> using ELISA to determine the effect of different length of storage time and various </w:t>
      </w:r>
      <w:r w:rsidR="00D461BB" w:rsidRPr="00873C4C">
        <w:rPr>
          <w:rFonts w:eastAsia="Times New Roman"/>
          <w:color w:val="000000"/>
          <w:lang w:eastAsia="en-US"/>
        </w:rPr>
        <w:t>temperatures</w:t>
      </w:r>
      <w:r w:rsidR="006350A8" w:rsidRPr="00873C4C">
        <w:rPr>
          <w:rFonts w:eastAsia="Times New Roman"/>
          <w:color w:val="000000"/>
          <w:lang w:eastAsia="en-US"/>
        </w:rPr>
        <w:t xml:space="preserve"> on the concentrations of discovered biomarkers (VDB, Hp, SAA) in serum samples. Blood samples from 10 Multiple Myeloma patients were collected and divided into 10 aliquots. Each aliquot was processed under 10 diverse storage temperature ranging from room temperature to -80°C with the exposure storage time ranging from a day to 10 days period. </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 xml:space="preserve">Our study demonstrated that that there was no significant difference in the detected levels of the any of proteins in serum samples preserved and stored in the 10 different methods. This suggests that these protein biomarkers (VDB, Hp, SAA) are stable </w:t>
      </w:r>
      <w:r w:rsidR="008C4A08">
        <w:rPr>
          <w:rFonts w:eastAsia="Times New Roman"/>
          <w:color w:val="000000"/>
          <w:lang w:eastAsia="en-US"/>
        </w:rPr>
        <w:t>over a range</w:t>
      </w:r>
      <w:r w:rsidRPr="00873C4C">
        <w:rPr>
          <w:rFonts w:eastAsia="Times New Roman"/>
          <w:color w:val="000000"/>
          <w:lang w:eastAsia="en-US"/>
        </w:rPr>
        <w:t xml:space="preserve"> </w:t>
      </w:r>
      <w:r w:rsidR="00D461BB">
        <w:rPr>
          <w:rFonts w:eastAsia="Times New Roman"/>
          <w:color w:val="000000"/>
          <w:lang w:eastAsia="en-US"/>
        </w:rPr>
        <w:t xml:space="preserve">of </w:t>
      </w:r>
      <w:r w:rsidRPr="00873C4C">
        <w:rPr>
          <w:rFonts w:eastAsia="Times New Roman"/>
          <w:color w:val="000000"/>
          <w:lang w:eastAsia="en-US"/>
        </w:rPr>
        <w:t>storage time</w:t>
      </w:r>
      <w:r w:rsidR="008C4A08">
        <w:rPr>
          <w:rFonts w:eastAsia="Times New Roman"/>
          <w:color w:val="000000"/>
          <w:lang w:eastAsia="en-US"/>
        </w:rPr>
        <w:t>s</w:t>
      </w:r>
      <w:r w:rsidRPr="00873C4C">
        <w:rPr>
          <w:rFonts w:eastAsia="Times New Roman"/>
          <w:color w:val="000000"/>
          <w:lang w:eastAsia="en-US"/>
        </w:rPr>
        <w:t xml:space="preserve"> and temperature</w:t>
      </w:r>
      <w:r w:rsidR="008C4A08">
        <w:rPr>
          <w:rFonts w:eastAsia="Times New Roman"/>
          <w:color w:val="000000"/>
          <w:lang w:eastAsia="en-US"/>
        </w:rPr>
        <w:t>s</w:t>
      </w:r>
      <w:r w:rsidR="00D461BB">
        <w:rPr>
          <w:rFonts w:eastAsia="Times New Roman"/>
          <w:color w:val="000000"/>
          <w:lang w:eastAsia="en-US"/>
        </w:rPr>
        <w:t xml:space="preserve"> which might easily occurs in the hospital setting. T</w:t>
      </w:r>
      <w:r w:rsidRPr="00873C4C">
        <w:rPr>
          <w:rFonts w:eastAsia="Times New Roman"/>
          <w:color w:val="000000"/>
          <w:lang w:eastAsia="en-US"/>
        </w:rPr>
        <w:t xml:space="preserve">he </w:t>
      </w:r>
      <w:r w:rsidR="00D461BB">
        <w:rPr>
          <w:rFonts w:eastAsia="Times New Roman"/>
          <w:color w:val="000000"/>
          <w:lang w:eastAsia="en-US"/>
        </w:rPr>
        <w:t xml:space="preserve">difference between </w:t>
      </w:r>
      <w:r w:rsidRPr="00873C4C">
        <w:rPr>
          <w:rFonts w:eastAsia="Times New Roman"/>
          <w:color w:val="000000"/>
          <w:lang w:eastAsia="en-US"/>
        </w:rPr>
        <w:t>the serum concentration of protein biomarkers stored at -20°C and – 80°C was not significant.</w:t>
      </w:r>
    </w:p>
    <w:p w:rsidR="009C3F1D" w:rsidRDefault="00C2206B" w:rsidP="00057B42">
      <w:pPr>
        <w:spacing w:after="240" w:line="360" w:lineRule="auto"/>
        <w:jc w:val="both"/>
        <w:rPr>
          <w:rFonts w:eastAsia="Times New Roman"/>
          <w:color w:val="000000"/>
          <w:lang w:eastAsia="en-US"/>
        </w:rPr>
      </w:pPr>
      <w:r>
        <w:rPr>
          <w:rFonts w:eastAsia="Times New Roman"/>
          <w:b/>
          <w:color w:val="000000"/>
          <w:lang w:eastAsia="en-US"/>
        </w:rPr>
        <w:lastRenderedPageBreak/>
        <w:t>5.7</w:t>
      </w:r>
      <w:r w:rsidR="006350A8" w:rsidRPr="00873C4C">
        <w:rPr>
          <w:rFonts w:eastAsia="Times New Roman"/>
          <w:color w:val="000000"/>
          <w:lang w:eastAsia="en-US"/>
        </w:rPr>
        <w:tab/>
        <w:t xml:space="preserve">In our initial study, we identified that in multiple myeloma patients there is a difference in abundance level of predictive biomarkers between responders and nonresponders to thalidomide at diagnosis. We also designed a study to describe the change in serum level of predictive biomarkers, three months (Day-100) after commencement of thalidomide based regimen using commercially available ELISA kits. This study demonstrated that; after three months of anti-myeloma treatment using thalidomide, the serum levels of chosen biomarkers </w:t>
      </w:r>
      <w:r w:rsidR="00DD195F">
        <w:rPr>
          <w:rFonts w:eastAsia="Times New Roman"/>
          <w:color w:val="000000"/>
          <w:lang w:eastAsia="en-US"/>
        </w:rPr>
        <w:t xml:space="preserve">no longer </w:t>
      </w:r>
      <w:r w:rsidR="00D461BB">
        <w:rPr>
          <w:rFonts w:eastAsia="Times New Roman"/>
          <w:color w:val="000000"/>
          <w:lang w:eastAsia="en-US"/>
        </w:rPr>
        <w:t>exhibits</w:t>
      </w:r>
      <w:r w:rsidR="00DD195F">
        <w:rPr>
          <w:rFonts w:eastAsia="Times New Roman"/>
          <w:color w:val="000000"/>
          <w:lang w:eastAsia="en-US"/>
        </w:rPr>
        <w:t xml:space="preserve"> the difference </w:t>
      </w:r>
      <w:r w:rsidR="006350A8" w:rsidRPr="00873C4C">
        <w:rPr>
          <w:rFonts w:eastAsia="Times New Roman"/>
          <w:color w:val="000000"/>
          <w:lang w:eastAsia="en-US"/>
        </w:rPr>
        <w:t>in abundance level between responders and non-responders patients. The difference between serum level</w:t>
      </w:r>
      <w:r w:rsidR="00D461BB">
        <w:rPr>
          <w:rFonts w:eastAsia="Times New Roman"/>
          <w:color w:val="000000"/>
          <w:lang w:eastAsia="en-US"/>
        </w:rPr>
        <w:t>s</w:t>
      </w:r>
      <w:r w:rsidR="00D22087">
        <w:rPr>
          <w:rFonts w:eastAsia="Times New Roman"/>
          <w:color w:val="000000"/>
          <w:lang w:eastAsia="en-US"/>
        </w:rPr>
        <w:t xml:space="preserve"> of Hp, VDB and SAA at Day-</w:t>
      </w:r>
      <w:r w:rsidR="006350A8" w:rsidRPr="00873C4C">
        <w:rPr>
          <w:rFonts w:eastAsia="Times New Roman"/>
          <w:color w:val="000000"/>
          <w:lang w:eastAsia="en-US"/>
        </w:rPr>
        <w:t>100 restaging between responders and non-responders to thalidomide was not statistically significant</w:t>
      </w:r>
      <w:r w:rsidR="00D461BB">
        <w:rPr>
          <w:rFonts w:eastAsia="Times New Roman"/>
          <w:color w:val="000000"/>
          <w:lang w:eastAsia="en-US"/>
        </w:rPr>
        <w:t xml:space="preserve">. </w:t>
      </w:r>
      <w:r w:rsidR="00C76C1D">
        <w:rPr>
          <w:rFonts w:eastAsia="Times New Roman"/>
          <w:color w:val="000000"/>
          <w:lang w:eastAsia="en-US"/>
        </w:rPr>
        <w:t>At D</w:t>
      </w:r>
      <w:r w:rsidR="009C3F1D">
        <w:rPr>
          <w:rFonts w:eastAsia="Times New Roman"/>
          <w:color w:val="000000"/>
          <w:lang w:eastAsia="en-US"/>
        </w:rPr>
        <w:t>ay-100 the level of VDB and SAA was reduced in both responders and non-responders as compare to the diagnostic samples. But the level in non-responders reduced more</w:t>
      </w:r>
      <w:r w:rsidR="008D2B6E">
        <w:rPr>
          <w:rFonts w:eastAsia="Times New Roman"/>
          <w:color w:val="000000"/>
          <w:lang w:eastAsia="en-US"/>
        </w:rPr>
        <w:t xml:space="preserve"> and was comparable to the responder group in terms of abundance</w:t>
      </w:r>
      <w:r w:rsidR="009C3F1D">
        <w:rPr>
          <w:rFonts w:eastAsia="Times New Roman"/>
          <w:color w:val="000000"/>
          <w:lang w:eastAsia="en-US"/>
        </w:rPr>
        <w:t xml:space="preserve">. Therefore the difference between the two </w:t>
      </w:r>
      <w:r w:rsidR="008D2B6E">
        <w:rPr>
          <w:rFonts w:eastAsia="Times New Roman"/>
          <w:color w:val="000000"/>
          <w:lang w:eastAsia="en-US"/>
        </w:rPr>
        <w:t>groups</w:t>
      </w:r>
      <w:r w:rsidR="009C3F1D">
        <w:rPr>
          <w:rFonts w:eastAsia="Times New Roman"/>
          <w:color w:val="000000"/>
          <w:lang w:eastAsia="en-US"/>
        </w:rPr>
        <w:t xml:space="preserve"> was </w:t>
      </w:r>
      <w:r w:rsidR="008D2B6E">
        <w:rPr>
          <w:rFonts w:eastAsia="Times New Roman"/>
          <w:color w:val="000000"/>
          <w:lang w:eastAsia="en-US"/>
        </w:rPr>
        <w:t>not statistically</w:t>
      </w:r>
      <w:r w:rsidR="009C3F1D">
        <w:rPr>
          <w:rFonts w:eastAsia="Times New Roman"/>
          <w:color w:val="000000"/>
          <w:lang w:eastAsia="en-US"/>
        </w:rPr>
        <w:t xml:space="preserve"> significant. </w:t>
      </w:r>
    </w:p>
    <w:p w:rsidR="009C3F1D" w:rsidRDefault="009C3F1D" w:rsidP="00057B42">
      <w:pPr>
        <w:spacing w:after="240" w:line="360" w:lineRule="auto"/>
        <w:jc w:val="both"/>
        <w:rPr>
          <w:rFonts w:eastAsia="Times New Roman"/>
          <w:color w:val="000000"/>
          <w:lang w:eastAsia="en-US"/>
        </w:rPr>
      </w:pPr>
      <w:r>
        <w:rPr>
          <w:rFonts w:eastAsia="Times New Roman"/>
          <w:color w:val="000000"/>
          <w:lang w:eastAsia="en-US"/>
        </w:rPr>
        <w:t>At Day-100 the level of Hp was reduced in both responders and non-responders as compare to the diagnostic samples but the level of reduction remain</w:t>
      </w:r>
      <w:r w:rsidR="008D2B6E">
        <w:rPr>
          <w:rFonts w:eastAsia="Times New Roman"/>
          <w:color w:val="000000"/>
          <w:lang w:eastAsia="en-US"/>
        </w:rPr>
        <w:t>ed</w:t>
      </w:r>
      <w:r>
        <w:rPr>
          <w:rFonts w:eastAsia="Times New Roman"/>
          <w:color w:val="000000"/>
          <w:lang w:eastAsia="en-US"/>
        </w:rPr>
        <w:t xml:space="preserve"> the same in both group</w:t>
      </w:r>
      <w:r w:rsidR="008D2B6E">
        <w:rPr>
          <w:rFonts w:eastAsia="Times New Roman"/>
          <w:color w:val="000000"/>
          <w:lang w:eastAsia="en-US"/>
        </w:rPr>
        <w:t>s</w:t>
      </w:r>
      <w:r>
        <w:rPr>
          <w:rFonts w:eastAsia="Times New Roman"/>
          <w:color w:val="000000"/>
          <w:lang w:eastAsia="en-US"/>
        </w:rPr>
        <w:t xml:space="preserve">. Therefore the difference between the two </w:t>
      </w:r>
      <w:r w:rsidR="008D2B6E">
        <w:rPr>
          <w:rFonts w:eastAsia="Times New Roman"/>
          <w:color w:val="000000"/>
          <w:lang w:eastAsia="en-US"/>
        </w:rPr>
        <w:t>groups remained statistically significant (</w:t>
      </w:r>
      <w:r w:rsidR="0010315E" w:rsidRPr="0010315E">
        <w:rPr>
          <w:rFonts w:eastAsia="Times New Roman"/>
          <w:i/>
          <w:color w:val="000000"/>
          <w:lang w:eastAsia="en-US"/>
        </w:rPr>
        <w:t>p=</w:t>
      </w:r>
      <w:r w:rsidR="008D2B6E">
        <w:rPr>
          <w:rFonts w:eastAsia="Times New Roman"/>
          <w:color w:val="000000"/>
          <w:lang w:eastAsia="en-US"/>
        </w:rPr>
        <w:t xml:space="preserve"> 0.03).</w:t>
      </w:r>
      <w:r w:rsidR="008D2B6E" w:rsidRPr="008D2B6E">
        <w:rPr>
          <w:rFonts w:eastAsia="Times New Roman"/>
          <w:color w:val="000000"/>
          <w:lang w:eastAsia="en-US"/>
        </w:rPr>
        <w:t xml:space="preserve"> </w:t>
      </w:r>
    </w:p>
    <w:p w:rsidR="006350A8" w:rsidRPr="00873C4C"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470B6" w:rsidRPr="006470B6">
        <w:rPr>
          <w:rFonts w:eastAsia="Times New Roman"/>
          <w:b/>
          <w:color w:val="000000"/>
          <w:lang w:eastAsia="en-US"/>
        </w:rPr>
        <w:t>.8</w:t>
      </w:r>
      <w:r w:rsidR="006350A8" w:rsidRPr="00873C4C">
        <w:rPr>
          <w:rFonts w:eastAsia="Times New Roman"/>
          <w:color w:val="000000"/>
          <w:lang w:eastAsia="en-US"/>
        </w:rPr>
        <w:tab/>
        <w:t xml:space="preserve">Currently, the pharmacology, and especially the pharmacokinetics of thalidomide, is poorly described. In addition, the optimal thalidomide dosage and schedule are still undecided and unlike many chemotherapeutic agents, thalidomide starting dosages do not depend on the patients’ body weight or body surface area. </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 xml:space="preserve">Patients receiving thalidomide may experience various side effects with differing intensity. The incidence and severity of adverse events are related to the dose of the drug. Patients receiving 200 mg or less/day seem to tolerate the treatment well with lesser side effects. On the other hand, almost all patients taking more than 400 mg/day, experience thalidomide-related toxicities.  This may depend on the thalidomide blood level and capacity of individual patient to metabolize and excrete thalidomide. </w:t>
      </w:r>
    </w:p>
    <w:p w:rsidR="006350A8" w:rsidRPr="00873C4C"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lastRenderedPageBreak/>
        <w:t xml:space="preserve">The objective </w:t>
      </w:r>
      <w:r w:rsidR="00B36A3F">
        <w:rPr>
          <w:rFonts w:eastAsia="Times New Roman"/>
          <w:color w:val="000000"/>
          <w:lang w:eastAsia="en-US"/>
        </w:rPr>
        <w:t xml:space="preserve">of </w:t>
      </w:r>
      <w:r w:rsidRPr="00873C4C">
        <w:rPr>
          <w:rFonts w:eastAsia="Times New Roman"/>
          <w:color w:val="000000"/>
          <w:lang w:eastAsia="en-US"/>
        </w:rPr>
        <w:t>our next p</w:t>
      </w:r>
      <w:r w:rsidR="008C6F38">
        <w:rPr>
          <w:rFonts w:eastAsia="Times New Roman"/>
          <w:color w:val="000000"/>
          <w:lang w:eastAsia="en-US"/>
        </w:rPr>
        <w:t xml:space="preserve">ilot study was to determine if </w:t>
      </w:r>
      <w:r w:rsidRPr="00873C4C">
        <w:rPr>
          <w:rFonts w:eastAsia="Times New Roman"/>
          <w:color w:val="000000"/>
          <w:lang w:eastAsia="en-US"/>
        </w:rPr>
        <w:t xml:space="preserve">the serum concentration of thalidomide is correlated to the development of side effects experienced by multiple myeloma patients. In addition we also explored the association between the serum thalidomide concentration and the efficacy of thalidomide by measuring the clinical response. </w:t>
      </w:r>
    </w:p>
    <w:p w:rsidR="006350A8" w:rsidRDefault="006350A8" w:rsidP="00057B42">
      <w:pPr>
        <w:spacing w:after="240" w:line="360" w:lineRule="auto"/>
        <w:jc w:val="both"/>
        <w:rPr>
          <w:rFonts w:eastAsia="Times New Roman"/>
          <w:color w:val="000000"/>
          <w:lang w:eastAsia="en-US"/>
        </w:rPr>
      </w:pPr>
      <w:r w:rsidRPr="00873C4C">
        <w:rPr>
          <w:rFonts w:eastAsia="Times New Roman"/>
          <w:color w:val="000000"/>
          <w:lang w:eastAsia="en-US"/>
        </w:rPr>
        <w:t xml:space="preserve">21 </w:t>
      </w:r>
      <w:r w:rsidR="002A3428">
        <w:t xml:space="preserve">Serial serum samples were collected </w:t>
      </w:r>
      <w:r w:rsidRPr="00873C4C">
        <w:rPr>
          <w:rFonts w:eastAsia="Times New Roman"/>
          <w:color w:val="000000"/>
          <w:lang w:eastAsia="en-US"/>
        </w:rPr>
        <w:t xml:space="preserve">from 8 patients - 1 female and 7 male. The 13 additional serum samples were collected from the above 8 patients when their thalidomide dosage </w:t>
      </w:r>
      <w:r w:rsidR="002A3428">
        <w:rPr>
          <w:rFonts w:eastAsia="Times New Roman"/>
          <w:color w:val="000000"/>
          <w:lang w:eastAsia="en-US"/>
        </w:rPr>
        <w:t>were altered</w:t>
      </w:r>
      <w:r w:rsidRPr="00873C4C">
        <w:rPr>
          <w:rFonts w:eastAsia="Times New Roman"/>
          <w:color w:val="000000"/>
          <w:lang w:eastAsia="en-US"/>
        </w:rPr>
        <w:t xml:space="preserve"> on clinical grounds. The results demonstrated that serum thalidomide level is dependent on daily dosage, However, the thalidomide serum level does not always correlate with the degree of associated side effects experienced by patients (such as degree of peripheral neuropathy) or until clinical response rate. </w:t>
      </w:r>
    </w:p>
    <w:p w:rsidR="00470737" w:rsidRDefault="00C2206B" w:rsidP="00057B42">
      <w:pPr>
        <w:spacing w:after="240" w:line="360" w:lineRule="auto"/>
        <w:jc w:val="both"/>
        <w:rPr>
          <w:rFonts w:eastAsia="Times New Roman"/>
          <w:color w:val="000000"/>
          <w:lang w:eastAsia="en-US"/>
        </w:rPr>
      </w:pPr>
      <w:r>
        <w:rPr>
          <w:rFonts w:eastAsia="Times New Roman"/>
          <w:b/>
          <w:color w:val="000000"/>
          <w:lang w:eastAsia="en-US"/>
        </w:rPr>
        <w:t>5</w:t>
      </w:r>
      <w:r w:rsidR="006470B6" w:rsidRPr="006470B6">
        <w:rPr>
          <w:rFonts w:eastAsia="Times New Roman"/>
          <w:b/>
          <w:color w:val="000000"/>
          <w:lang w:eastAsia="en-US"/>
        </w:rPr>
        <w:t>.9</w:t>
      </w:r>
      <w:r w:rsidR="006350A8" w:rsidRPr="00873C4C">
        <w:rPr>
          <w:rFonts w:eastAsia="Times New Roman"/>
          <w:color w:val="000000"/>
          <w:lang w:eastAsia="en-US"/>
        </w:rPr>
        <w:tab/>
        <w:t xml:space="preserve"> POEMS syndrome is a variant form of multiple myeloma, a rare multisystem disorder present as a polyneuropathy (P), organomegaly (O), endocrinopathy (E) monoclonal gammapathy (M), and skin changes(S), which may take several years to evolve fully. The Cause for this disease is unknown; however, it may be due to overproduction of the proinflammatory and other cytokines, especially VEGF. In this </w:t>
      </w:r>
      <w:r w:rsidR="008C6F38">
        <w:rPr>
          <w:rFonts w:eastAsia="Times New Roman"/>
          <w:color w:val="000000"/>
          <w:lang w:eastAsia="en-US"/>
        </w:rPr>
        <w:t xml:space="preserve">small </w:t>
      </w:r>
      <w:r w:rsidR="001536DE">
        <w:rPr>
          <w:rFonts w:eastAsia="Times New Roman"/>
          <w:color w:val="000000"/>
          <w:lang w:eastAsia="en-US"/>
        </w:rPr>
        <w:t>single patient</w:t>
      </w:r>
      <w:r w:rsidR="008C6F38">
        <w:rPr>
          <w:rFonts w:eastAsia="Times New Roman"/>
          <w:color w:val="000000"/>
          <w:lang w:eastAsia="en-US"/>
        </w:rPr>
        <w:t xml:space="preserve"> </w:t>
      </w:r>
      <w:r w:rsidR="006350A8" w:rsidRPr="00873C4C">
        <w:rPr>
          <w:rFonts w:eastAsia="Times New Roman"/>
          <w:color w:val="000000"/>
          <w:lang w:eastAsia="en-US"/>
        </w:rPr>
        <w:t xml:space="preserve">perspective study, we measure serum VEGF level at various stages of disease. This case study revealed that, serum VEGF levels in patients with POEM syndrome is correlate with disease activity, clinical intensity and remission status of disease. Therefore, serum VEGF level might be an important marker not only as a diagnostic aid but also as a marker showing response to treatment. </w:t>
      </w:r>
    </w:p>
    <w:p w:rsidR="006B420F" w:rsidRDefault="006B420F" w:rsidP="00057B42">
      <w:pPr>
        <w:spacing w:line="360" w:lineRule="auto"/>
        <w:jc w:val="center"/>
        <w:rPr>
          <w:b/>
          <w:sz w:val="48"/>
          <w:szCs w:val="26"/>
          <w:lang w:eastAsia="en-US"/>
        </w:rPr>
      </w:pPr>
    </w:p>
    <w:p w:rsidR="00176369" w:rsidRDefault="00176369" w:rsidP="00057B42">
      <w:pPr>
        <w:spacing w:line="360" w:lineRule="auto"/>
        <w:rPr>
          <w:rFonts w:cs="Arial"/>
          <w:b/>
          <w:bCs/>
          <w:kern w:val="24"/>
          <w:szCs w:val="32"/>
          <w:lang w:eastAsia="en-US"/>
        </w:rPr>
      </w:pPr>
      <w:bookmarkStart w:id="2199" w:name="_Toc307067888"/>
      <w:bookmarkEnd w:id="2199"/>
    </w:p>
    <w:p w:rsidR="00176369" w:rsidRDefault="00176369" w:rsidP="00057B42">
      <w:pPr>
        <w:spacing w:line="360" w:lineRule="auto"/>
        <w:jc w:val="center"/>
        <w:rPr>
          <w:sz w:val="72"/>
          <w:szCs w:val="26"/>
          <w:lang w:eastAsia="en-US"/>
        </w:rPr>
      </w:pPr>
    </w:p>
    <w:p w:rsidR="00176369" w:rsidRDefault="00176369" w:rsidP="00057B42">
      <w:pPr>
        <w:spacing w:line="360" w:lineRule="auto"/>
        <w:jc w:val="center"/>
        <w:rPr>
          <w:sz w:val="72"/>
          <w:szCs w:val="26"/>
          <w:lang w:eastAsia="en-US"/>
        </w:rPr>
      </w:pPr>
    </w:p>
    <w:p w:rsidR="00746A01" w:rsidRPr="00746A01" w:rsidRDefault="00746A01" w:rsidP="00746A01">
      <w:pPr>
        <w:pStyle w:val="Heading1"/>
        <w:numPr>
          <w:ilvl w:val="0"/>
          <w:numId w:val="25"/>
        </w:numPr>
        <w:rPr>
          <w:sz w:val="28"/>
        </w:rPr>
      </w:pPr>
      <w:bookmarkStart w:id="2200" w:name="_Toc312169457"/>
      <w:bookmarkStart w:id="2201" w:name="_Toc312172384"/>
      <w:bookmarkStart w:id="2202" w:name="_Toc312257933"/>
      <w:bookmarkEnd w:id="2200"/>
      <w:bookmarkEnd w:id="2201"/>
      <w:bookmarkEnd w:id="2202"/>
    </w:p>
    <w:p w:rsidR="000B3C61" w:rsidRDefault="000B3C61" w:rsidP="00057B42">
      <w:pPr>
        <w:spacing w:line="360" w:lineRule="auto"/>
        <w:jc w:val="center"/>
        <w:rPr>
          <w:sz w:val="72"/>
          <w:szCs w:val="26"/>
          <w:lang w:eastAsia="en-US"/>
        </w:rPr>
      </w:pPr>
    </w:p>
    <w:p w:rsidR="000B3C61" w:rsidRDefault="000B3C61" w:rsidP="00057B42">
      <w:pPr>
        <w:spacing w:line="360" w:lineRule="auto"/>
        <w:jc w:val="center"/>
        <w:rPr>
          <w:sz w:val="72"/>
          <w:szCs w:val="26"/>
          <w:lang w:eastAsia="en-US"/>
        </w:rPr>
      </w:pPr>
    </w:p>
    <w:p w:rsidR="00AE7FD6" w:rsidRDefault="00AE7FD6" w:rsidP="00057B42">
      <w:pPr>
        <w:spacing w:line="360" w:lineRule="auto"/>
        <w:jc w:val="center"/>
        <w:rPr>
          <w:sz w:val="72"/>
          <w:szCs w:val="26"/>
          <w:lang w:eastAsia="en-US"/>
        </w:rPr>
      </w:pPr>
      <w:r>
        <w:rPr>
          <w:sz w:val="72"/>
          <w:szCs w:val="26"/>
          <w:lang w:eastAsia="en-US"/>
        </w:rPr>
        <w:t>Chapter 6.0</w:t>
      </w:r>
    </w:p>
    <w:p w:rsidR="00176369" w:rsidRPr="00176369" w:rsidRDefault="00176369" w:rsidP="00057B42">
      <w:pPr>
        <w:spacing w:line="360" w:lineRule="auto"/>
        <w:jc w:val="center"/>
        <w:rPr>
          <w:sz w:val="72"/>
          <w:szCs w:val="26"/>
          <w:lang w:eastAsia="en-US"/>
        </w:rPr>
      </w:pPr>
      <w:r w:rsidRPr="00176369">
        <w:rPr>
          <w:sz w:val="72"/>
          <w:szCs w:val="26"/>
          <w:lang w:eastAsia="en-US"/>
        </w:rPr>
        <w:t>Future studies</w:t>
      </w:r>
    </w:p>
    <w:p w:rsidR="006B420F" w:rsidRPr="006B420F" w:rsidRDefault="006B420F" w:rsidP="00057B42">
      <w:pPr>
        <w:spacing w:line="360" w:lineRule="auto"/>
        <w:rPr>
          <w:lang w:eastAsia="en-US"/>
        </w:rPr>
      </w:pPr>
    </w:p>
    <w:p w:rsidR="00476587" w:rsidRPr="00873C4C" w:rsidRDefault="00476587" w:rsidP="00057B42">
      <w:pPr>
        <w:spacing w:after="240" w:line="360" w:lineRule="auto"/>
        <w:jc w:val="both"/>
        <w:rPr>
          <w:rFonts w:eastAsia="Times New Roman"/>
          <w:color w:val="000000"/>
          <w:lang w:eastAsia="en-US"/>
        </w:rPr>
      </w:pPr>
    </w:p>
    <w:p w:rsidR="006350A8" w:rsidRPr="00746A01" w:rsidRDefault="006350A8" w:rsidP="00746A01">
      <w:r w:rsidRPr="00873C4C">
        <w:br w:type="page"/>
      </w:r>
    </w:p>
    <w:p w:rsidR="006470B6" w:rsidRDefault="00746A01" w:rsidP="00645687">
      <w:pPr>
        <w:pStyle w:val="Heading2"/>
      </w:pPr>
      <w:r>
        <w:lastRenderedPageBreak/>
        <w:tab/>
      </w:r>
      <w:bookmarkStart w:id="2203" w:name="_Toc312169458"/>
      <w:bookmarkStart w:id="2204" w:name="_Toc312172385"/>
      <w:bookmarkStart w:id="2205" w:name="_Toc312257934"/>
      <w:r w:rsidR="001536DE" w:rsidRPr="001536DE">
        <w:t>Clinical trial designs for prospective validation of biomarkers</w:t>
      </w:r>
      <w:bookmarkEnd w:id="2203"/>
      <w:bookmarkEnd w:id="2204"/>
      <w:bookmarkEnd w:id="2205"/>
    </w:p>
    <w:p w:rsidR="006350A8" w:rsidRDefault="001536DE" w:rsidP="00746A01">
      <w:pPr>
        <w:pStyle w:val="ListParagraph"/>
        <w:spacing w:before="240" w:line="360" w:lineRule="auto"/>
        <w:ind w:left="0"/>
        <w:jc w:val="both"/>
        <w:rPr>
          <w:color w:val="000000"/>
        </w:rPr>
      </w:pPr>
      <w:r>
        <w:rPr>
          <w:color w:val="000000"/>
        </w:rPr>
        <w:t xml:space="preserve">Prospective </w:t>
      </w:r>
      <w:r w:rsidR="00746A01">
        <w:rPr>
          <w:color w:val="000000"/>
        </w:rPr>
        <w:t xml:space="preserve">randomised </w:t>
      </w:r>
      <w:r>
        <w:rPr>
          <w:color w:val="000000"/>
        </w:rPr>
        <w:t>clinical trials, u</w:t>
      </w:r>
      <w:r w:rsidR="006350A8" w:rsidRPr="00873C4C">
        <w:rPr>
          <w:color w:val="000000"/>
        </w:rPr>
        <w:t xml:space="preserve">sing the proposed </w:t>
      </w:r>
      <w:r w:rsidR="00746A01">
        <w:rPr>
          <w:color w:val="000000"/>
        </w:rPr>
        <w:t xml:space="preserve">combination </w:t>
      </w:r>
      <w:r w:rsidR="006350A8" w:rsidRPr="00873C4C">
        <w:rPr>
          <w:color w:val="000000"/>
        </w:rPr>
        <w:t>biomarker profile des</w:t>
      </w:r>
      <w:r w:rsidR="00746A01">
        <w:rPr>
          <w:color w:val="000000"/>
        </w:rPr>
        <w:t>cribed in this thesis.</w:t>
      </w:r>
      <w:r w:rsidR="006350A8" w:rsidRPr="00873C4C">
        <w:rPr>
          <w:color w:val="000000"/>
        </w:rPr>
        <w:t xml:space="preserve">. </w:t>
      </w:r>
      <w:r w:rsidR="00837414">
        <w:t>A</w:t>
      </w:r>
      <w:r w:rsidR="00837414" w:rsidRPr="001A6261">
        <w:t xml:space="preserve">lthough the LOOCV procedure likely represents the optimal use of the data given the relatively small sample in our study, it is no substitute for external validation on an independent sample set. Independent validation </w:t>
      </w:r>
      <w:r w:rsidR="00837414">
        <w:t xml:space="preserve">using randomised clinical trials </w:t>
      </w:r>
      <w:r w:rsidR="00837414" w:rsidRPr="001A6261">
        <w:t>of these models is required to more accurately assess their performance</w:t>
      </w:r>
      <w:r w:rsidR="00837414">
        <w:t>. This will help</w:t>
      </w:r>
      <w:r w:rsidR="00837414" w:rsidRPr="001A6261">
        <w:t xml:space="preserve"> to determine if the</w:t>
      </w:r>
      <w:r w:rsidR="00837414">
        <w:t>se biomarkers</w:t>
      </w:r>
      <w:r w:rsidR="00837414" w:rsidRPr="001A6261">
        <w:t xml:space="preserve"> are suitable for incorporation into clinical practice.</w:t>
      </w:r>
      <w:r w:rsidR="00AD533A">
        <w:t xml:space="preserve"> </w:t>
      </w:r>
      <w:r w:rsidR="006350A8" w:rsidRPr="00873C4C">
        <w:rPr>
          <w:color w:val="000000"/>
        </w:rPr>
        <w:t xml:space="preserve">If validated, this will assist clinicians in individualizing therapy by choosing specific targeted therapies. This </w:t>
      </w:r>
      <w:r>
        <w:rPr>
          <w:color w:val="000000"/>
        </w:rPr>
        <w:t>will</w:t>
      </w:r>
      <w:r w:rsidR="006350A8" w:rsidRPr="00873C4C">
        <w:rPr>
          <w:color w:val="000000"/>
        </w:rPr>
        <w:t xml:space="preserve"> allow the physician to avoid therapies that may be ineffective and costly which would expose patients to unnecessary side effects.</w:t>
      </w:r>
    </w:p>
    <w:p w:rsidR="000B3C61" w:rsidRPr="00873C4C" w:rsidRDefault="000B3C61" w:rsidP="00746A01">
      <w:pPr>
        <w:pStyle w:val="ListParagraph"/>
        <w:spacing w:before="240" w:line="360" w:lineRule="auto"/>
        <w:ind w:left="0"/>
        <w:jc w:val="both"/>
        <w:rPr>
          <w:color w:val="000000"/>
        </w:rPr>
      </w:pPr>
    </w:p>
    <w:p w:rsidR="006470B6" w:rsidRDefault="006470B6" w:rsidP="00645687">
      <w:pPr>
        <w:pStyle w:val="Heading2"/>
      </w:pPr>
      <w:bookmarkStart w:id="2206" w:name="_Toc312169459"/>
      <w:bookmarkStart w:id="2207" w:name="_Toc312172386"/>
      <w:bookmarkStart w:id="2208" w:name="_Toc312257935"/>
      <w:r>
        <w:t>Other Pilot studies</w:t>
      </w:r>
      <w:bookmarkEnd w:id="2206"/>
      <w:bookmarkEnd w:id="2207"/>
      <w:bookmarkEnd w:id="2208"/>
    </w:p>
    <w:p w:rsidR="006350A8" w:rsidRPr="00873C4C" w:rsidRDefault="006350A8" w:rsidP="000B3C61">
      <w:pPr>
        <w:spacing w:before="240" w:after="240" w:line="360" w:lineRule="auto"/>
        <w:contextualSpacing/>
        <w:jc w:val="both"/>
        <w:rPr>
          <w:rFonts w:eastAsia="Times New Roman"/>
          <w:color w:val="000000"/>
          <w:lang w:eastAsia="en-US"/>
        </w:rPr>
      </w:pPr>
      <w:r w:rsidRPr="00873C4C">
        <w:rPr>
          <w:rFonts w:eastAsia="Times New Roman"/>
          <w:color w:val="000000"/>
          <w:lang w:eastAsia="en-US"/>
        </w:rPr>
        <w:t xml:space="preserve">Proteomic profiling of serum from patient with MGUS or patients with inflammatory and auto-immune disease and serum from normal healthy volunteers compared with Patients with multiple myeloma and validation using ELISA based assay. </w:t>
      </w:r>
    </w:p>
    <w:p w:rsidR="006350A8" w:rsidRPr="00873C4C" w:rsidRDefault="006350A8" w:rsidP="00057B42">
      <w:pPr>
        <w:spacing w:after="240" w:line="360" w:lineRule="auto"/>
        <w:jc w:val="both"/>
        <w:rPr>
          <w:rFonts w:eastAsia="Times New Roman"/>
          <w:color w:val="000000"/>
          <w:lang w:eastAsia="en-US"/>
        </w:rPr>
      </w:pPr>
    </w:p>
    <w:p w:rsidR="006470B6" w:rsidRDefault="006470B6" w:rsidP="00645687">
      <w:pPr>
        <w:pStyle w:val="Heading2"/>
      </w:pPr>
      <w:bookmarkStart w:id="2209" w:name="_Toc312169460"/>
      <w:bookmarkStart w:id="2210" w:name="_Toc312172387"/>
      <w:bookmarkStart w:id="2211" w:name="_Toc312257936"/>
      <w:r>
        <w:t>Other proteomic techniques</w:t>
      </w:r>
      <w:bookmarkEnd w:id="2209"/>
      <w:bookmarkEnd w:id="2210"/>
      <w:bookmarkEnd w:id="2211"/>
      <w:r>
        <w:t xml:space="preserve"> </w:t>
      </w:r>
    </w:p>
    <w:p w:rsidR="006350A8" w:rsidRPr="00873C4C" w:rsidRDefault="006350A8" w:rsidP="000B3C61">
      <w:pPr>
        <w:spacing w:before="240" w:after="240" w:line="360" w:lineRule="auto"/>
        <w:contextualSpacing/>
        <w:jc w:val="both"/>
        <w:rPr>
          <w:rFonts w:eastAsia="Times New Roman"/>
          <w:color w:val="000000"/>
          <w:lang w:eastAsia="en-US"/>
        </w:rPr>
      </w:pPr>
      <w:r w:rsidRPr="00873C4C">
        <w:rPr>
          <w:rFonts w:eastAsia="Times New Roman"/>
          <w:color w:val="000000"/>
          <w:lang w:eastAsia="en-US"/>
        </w:rPr>
        <w:t>Proteomic profiling of serum from newly diagnosed multiple myeloma patients using non-gel-based, proteomic techniques such as label-free quantitative LC-MS/MS. This newer technique is more sensitive and re</w:t>
      </w:r>
      <w:r w:rsidR="007A013A">
        <w:rPr>
          <w:rFonts w:eastAsia="Times New Roman"/>
          <w:color w:val="000000"/>
          <w:lang w:eastAsia="en-US"/>
        </w:rPr>
        <w:t>producible than 2D-DIGE methods and</w:t>
      </w:r>
      <w:r w:rsidR="007A013A" w:rsidRPr="007A013A">
        <w:t xml:space="preserve"> </w:t>
      </w:r>
      <w:r w:rsidR="007A013A">
        <w:rPr>
          <w:rFonts w:eastAsia="Times New Roman"/>
          <w:color w:val="000000"/>
          <w:lang w:eastAsia="en-US"/>
        </w:rPr>
        <w:t>l</w:t>
      </w:r>
      <w:r w:rsidR="007A013A" w:rsidRPr="007A013A">
        <w:rPr>
          <w:rFonts w:eastAsia="Times New Roman"/>
          <w:color w:val="000000"/>
          <w:lang w:eastAsia="en-US"/>
        </w:rPr>
        <w:t>ikely to ident</w:t>
      </w:r>
      <w:r w:rsidR="007A013A">
        <w:rPr>
          <w:rFonts w:eastAsia="Times New Roman"/>
          <w:color w:val="000000"/>
          <w:lang w:eastAsia="en-US"/>
        </w:rPr>
        <w:t>ify other/new biomarkers</w:t>
      </w:r>
      <w:r w:rsidR="007A013A" w:rsidRPr="007A013A">
        <w:rPr>
          <w:rFonts w:eastAsia="Times New Roman"/>
          <w:color w:val="000000"/>
          <w:lang w:eastAsia="en-US"/>
        </w:rPr>
        <w:t>.</w:t>
      </w:r>
      <w:r w:rsidRPr="00873C4C">
        <w:rPr>
          <w:rFonts w:eastAsia="Times New Roman"/>
          <w:color w:val="000000"/>
          <w:lang w:eastAsia="en-US"/>
        </w:rPr>
        <w:t xml:space="preserve"> Secondly, The label free techniques is more cost effective and less time consuming compared to labelling methods</w:t>
      </w:r>
      <w:r w:rsidR="001536DE">
        <w:rPr>
          <w:rFonts w:eastAsia="Times New Roman"/>
          <w:color w:val="000000"/>
          <w:lang w:eastAsia="en-US"/>
        </w:rPr>
        <w:t>.</w:t>
      </w:r>
      <w:r w:rsidRPr="00873C4C">
        <w:rPr>
          <w:rFonts w:eastAsia="Times New Roman"/>
          <w:color w:val="000000"/>
          <w:lang w:eastAsia="en-US"/>
        </w:rPr>
        <w:t xml:space="preserve"> </w:t>
      </w:r>
    </w:p>
    <w:p w:rsidR="006350A8" w:rsidRDefault="006350A8" w:rsidP="00057B42">
      <w:pPr>
        <w:spacing w:after="240" w:line="360" w:lineRule="auto"/>
        <w:jc w:val="both"/>
        <w:rPr>
          <w:rFonts w:eastAsia="Times New Roman"/>
          <w:color w:val="000000"/>
          <w:lang w:eastAsia="en-US"/>
        </w:rPr>
      </w:pPr>
    </w:p>
    <w:p w:rsidR="001E3EC1" w:rsidRDefault="001E3EC1" w:rsidP="00057B42">
      <w:pPr>
        <w:spacing w:after="240" w:line="360" w:lineRule="auto"/>
        <w:jc w:val="both"/>
        <w:rPr>
          <w:rFonts w:eastAsia="Times New Roman"/>
          <w:color w:val="000000"/>
          <w:lang w:eastAsia="en-US"/>
        </w:rPr>
      </w:pPr>
    </w:p>
    <w:p w:rsidR="006470B6" w:rsidRDefault="006470B6" w:rsidP="00645687">
      <w:pPr>
        <w:pStyle w:val="Heading2"/>
      </w:pPr>
      <w:bookmarkStart w:id="2212" w:name="_Toc312169461"/>
      <w:bookmarkStart w:id="2213" w:name="_Toc312172388"/>
      <w:bookmarkStart w:id="2214" w:name="_Toc312257937"/>
      <w:r>
        <w:lastRenderedPageBreak/>
        <w:t>Predictive biomarkers for other novel agents</w:t>
      </w:r>
      <w:bookmarkEnd w:id="2212"/>
      <w:bookmarkEnd w:id="2213"/>
      <w:bookmarkEnd w:id="2214"/>
    </w:p>
    <w:p w:rsidR="006350A8" w:rsidRDefault="006350A8" w:rsidP="000B3C61">
      <w:pPr>
        <w:spacing w:before="240" w:after="240" w:line="360" w:lineRule="auto"/>
        <w:contextualSpacing/>
        <w:jc w:val="both"/>
        <w:rPr>
          <w:rFonts w:eastAsia="Times New Roman"/>
          <w:color w:val="000000"/>
          <w:lang w:eastAsia="en-US"/>
        </w:rPr>
      </w:pPr>
      <w:r w:rsidRPr="00873C4C">
        <w:rPr>
          <w:rFonts w:eastAsia="Times New Roman"/>
          <w:color w:val="000000"/>
          <w:lang w:eastAsia="en-US"/>
        </w:rPr>
        <w:t>To evaluate and develop predictive profiles, using a panel of protein biomarkers for other novel anti-myeloma agents such as Bortezomib and Lenalidomide, in newly diagnosed multiple myeloma patients. If successful, this will enable clinicians to stratify Myeloma patients into specific groups, enabling the selection of optimal therapeutic regimes. This will reduce the time, cost, and failure rate of very expensive novel agents.</w:t>
      </w:r>
    </w:p>
    <w:p w:rsidR="00A416E1" w:rsidRDefault="00A416E1" w:rsidP="00057B42">
      <w:pPr>
        <w:spacing w:after="240" w:line="360" w:lineRule="auto"/>
        <w:contextualSpacing/>
        <w:jc w:val="both"/>
        <w:rPr>
          <w:rFonts w:eastAsia="Times New Roman"/>
          <w:color w:val="000000"/>
          <w:lang w:eastAsia="en-US"/>
        </w:rPr>
      </w:pPr>
    </w:p>
    <w:p w:rsidR="006470B6" w:rsidRDefault="00A416E1" w:rsidP="00645687">
      <w:pPr>
        <w:pStyle w:val="Heading2"/>
      </w:pPr>
      <w:bookmarkStart w:id="2215" w:name="_Toc305690135"/>
      <w:bookmarkStart w:id="2216" w:name="_Toc306570827"/>
      <w:bookmarkStart w:id="2217" w:name="_Toc312169462"/>
      <w:bookmarkStart w:id="2218" w:name="_Toc312172389"/>
      <w:bookmarkStart w:id="2219" w:name="_Toc312257938"/>
      <w:r w:rsidRPr="001A6261">
        <w:t>Integration of other factors</w:t>
      </w:r>
      <w:bookmarkEnd w:id="2215"/>
      <w:bookmarkEnd w:id="2216"/>
      <w:bookmarkEnd w:id="2217"/>
      <w:bookmarkEnd w:id="2218"/>
      <w:bookmarkEnd w:id="2219"/>
    </w:p>
    <w:p w:rsidR="00B61503" w:rsidRPr="006B420F" w:rsidRDefault="00A416E1" w:rsidP="000B3C61">
      <w:pPr>
        <w:spacing w:before="240" w:line="360" w:lineRule="auto"/>
        <w:jc w:val="both"/>
        <w:rPr>
          <w:b/>
        </w:rPr>
      </w:pPr>
      <w:r w:rsidRPr="001A6261">
        <w:rPr>
          <w:bCs/>
        </w:rPr>
        <w:t xml:space="preserve">So far the thesis has focused on </w:t>
      </w:r>
      <w:r w:rsidR="006F408F">
        <w:rPr>
          <w:bCs/>
        </w:rPr>
        <w:t>myeloma</w:t>
      </w:r>
      <w:r w:rsidRPr="001A6261">
        <w:rPr>
          <w:bCs/>
        </w:rPr>
        <w:t xml:space="preserve"> biomarker discovery and on the capturing of underlying relationship between the identified proteomic patterns and the therapeutic response to thalidomide in newly diagn</w:t>
      </w:r>
      <w:r w:rsidR="002118EE">
        <w:rPr>
          <w:bCs/>
        </w:rPr>
        <w:t xml:space="preserve">osed multiple myeloma patients. </w:t>
      </w:r>
      <w:r w:rsidR="002118EE" w:rsidRPr="002118EE">
        <w:rPr>
          <w:bCs/>
        </w:rPr>
        <w:t>In this study we also comprehensively analysed and correlated the predictive value of various laboratory variables with standard clinical parameters used in MM patients su</w:t>
      </w:r>
      <w:r w:rsidR="002118EE">
        <w:rPr>
          <w:bCs/>
        </w:rPr>
        <w:t>ch as CRP</w:t>
      </w:r>
      <w:r w:rsidR="008D2B6E">
        <w:rPr>
          <w:bCs/>
        </w:rPr>
        <w:t>, serum haemoglobin and patient</w:t>
      </w:r>
      <w:r w:rsidR="002118EE" w:rsidRPr="002118EE">
        <w:rPr>
          <w:bCs/>
        </w:rPr>
        <w:t xml:space="preserve"> age at diagnosis and their correlation with response to thalidomide. Statistical analysis was performed and results showed that </w:t>
      </w:r>
      <w:r w:rsidR="008D2B6E">
        <w:rPr>
          <w:bCs/>
        </w:rPr>
        <w:t>although</w:t>
      </w:r>
      <w:r w:rsidR="002118EE" w:rsidRPr="002118EE">
        <w:rPr>
          <w:bCs/>
        </w:rPr>
        <w:t xml:space="preserve"> these additional factors are important prognostic factor</w:t>
      </w:r>
      <w:r w:rsidR="008D2B6E">
        <w:rPr>
          <w:bCs/>
        </w:rPr>
        <w:t>s</w:t>
      </w:r>
      <w:r w:rsidR="002118EE" w:rsidRPr="002118EE">
        <w:rPr>
          <w:bCs/>
        </w:rPr>
        <w:t xml:space="preserve"> in MM, they did not improve the AUC of the predictive panel, which measures the overall performance of the predictive model.</w:t>
      </w:r>
      <w:r w:rsidR="002118EE">
        <w:rPr>
          <w:bCs/>
        </w:rPr>
        <w:t xml:space="preserve"> </w:t>
      </w:r>
      <w:r w:rsidRPr="001A6261">
        <w:rPr>
          <w:bCs/>
        </w:rPr>
        <w:t xml:space="preserve">However, </w:t>
      </w:r>
      <w:r>
        <w:rPr>
          <w:bCs/>
        </w:rPr>
        <w:t>MM</w:t>
      </w:r>
      <w:r w:rsidRPr="001A6261">
        <w:rPr>
          <w:bCs/>
        </w:rPr>
        <w:t xml:space="preserve"> biology is extremely complex and result from </w:t>
      </w:r>
      <w:r>
        <w:rPr>
          <w:bCs/>
        </w:rPr>
        <w:t xml:space="preserve">microenvironment </w:t>
      </w:r>
      <w:r w:rsidRPr="001A6261">
        <w:rPr>
          <w:bCs/>
        </w:rPr>
        <w:t>interac</w:t>
      </w:r>
      <w:r>
        <w:rPr>
          <w:bCs/>
        </w:rPr>
        <w:t xml:space="preserve">tions between many proteins, myeloma plasma cells and </w:t>
      </w:r>
      <w:r w:rsidRPr="001A6261">
        <w:rPr>
          <w:bCs/>
        </w:rPr>
        <w:t xml:space="preserve">various environmental factors. For example, the proteomic patterns may contain information that influences human’s physical traits, one’s likelihood of suffering from </w:t>
      </w:r>
      <w:r>
        <w:rPr>
          <w:bCs/>
        </w:rPr>
        <w:t xml:space="preserve">resistant </w:t>
      </w:r>
      <w:r w:rsidRPr="001A6261">
        <w:rPr>
          <w:bCs/>
        </w:rPr>
        <w:t xml:space="preserve">myeloma, and the responses of one’s body to substances that one encounters in the environment. It is therefore </w:t>
      </w:r>
      <w:r w:rsidR="006F408F" w:rsidRPr="001A6261">
        <w:rPr>
          <w:bCs/>
        </w:rPr>
        <w:t>anticipated</w:t>
      </w:r>
      <w:r w:rsidRPr="001A6261">
        <w:rPr>
          <w:bCs/>
        </w:rPr>
        <w:t xml:space="preserve"> to incorporate </w:t>
      </w:r>
      <w:r w:rsidR="006F408F">
        <w:rPr>
          <w:bCs/>
        </w:rPr>
        <w:t xml:space="preserve">genetic </w:t>
      </w:r>
      <w:r w:rsidRPr="001A6261">
        <w:rPr>
          <w:bCs/>
        </w:rPr>
        <w:t xml:space="preserve">factors in the classification and prediction models. Our proposed algorithms for proteomic biomarker for prediction of response can be readily extended in the future studies to integrate </w:t>
      </w:r>
      <w:r w:rsidR="006F408F">
        <w:rPr>
          <w:bCs/>
        </w:rPr>
        <w:t>other</w:t>
      </w:r>
      <w:r w:rsidRPr="001A6261">
        <w:rPr>
          <w:bCs/>
        </w:rPr>
        <w:t xml:space="preserve"> factors.</w:t>
      </w:r>
    </w:p>
    <w:p w:rsidR="00983D95" w:rsidRPr="00497BC1" w:rsidRDefault="00983D95" w:rsidP="00057B42">
      <w:pPr>
        <w:spacing w:line="360" w:lineRule="auto"/>
      </w:pPr>
    </w:p>
    <w:p w:rsidR="002118EE" w:rsidRDefault="002118EE" w:rsidP="00057B42">
      <w:pPr>
        <w:spacing w:line="360" w:lineRule="auto"/>
        <w:rPr>
          <w:lang w:eastAsia="en-US"/>
        </w:rPr>
      </w:pPr>
    </w:p>
    <w:p w:rsidR="002118EE" w:rsidRDefault="002118EE" w:rsidP="00057B42">
      <w:pPr>
        <w:spacing w:line="360" w:lineRule="auto"/>
        <w:rPr>
          <w:lang w:eastAsia="en-US"/>
        </w:rPr>
      </w:pPr>
    </w:p>
    <w:p w:rsidR="002118EE" w:rsidRDefault="002118EE" w:rsidP="00057B42">
      <w:pPr>
        <w:spacing w:line="360" w:lineRule="auto"/>
        <w:rPr>
          <w:lang w:eastAsia="en-US"/>
        </w:rPr>
      </w:pPr>
    </w:p>
    <w:p w:rsidR="002118EE" w:rsidRDefault="002118EE" w:rsidP="00057B42">
      <w:pPr>
        <w:spacing w:line="360" w:lineRule="auto"/>
        <w:rPr>
          <w:lang w:eastAsia="en-US"/>
        </w:rPr>
      </w:pPr>
    </w:p>
    <w:p w:rsidR="002118EE" w:rsidRDefault="002118EE" w:rsidP="00057B42">
      <w:pPr>
        <w:spacing w:line="360" w:lineRule="auto"/>
        <w:rPr>
          <w:lang w:eastAsia="en-US"/>
        </w:rPr>
      </w:pPr>
    </w:p>
    <w:p w:rsidR="002118EE" w:rsidRPr="002118EE" w:rsidRDefault="002118EE" w:rsidP="00057B42">
      <w:pPr>
        <w:spacing w:line="360" w:lineRule="auto"/>
        <w:rPr>
          <w:lang w:eastAsia="en-US"/>
        </w:rPr>
      </w:pPr>
    </w:p>
    <w:p w:rsidR="002118EE" w:rsidRDefault="002118EE" w:rsidP="00057B42">
      <w:pPr>
        <w:pStyle w:val="Heading1"/>
        <w:numPr>
          <w:ilvl w:val="0"/>
          <w:numId w:val="22"/>
        </w:numPr>
      </w:pPr>
      <w:bookmarkStart w:id="2220" w:name="_Toc307067889"/>
      <w:bookmarkStart w:id="2221" w:name="_Toc312169463"/>
      <w:bookmarkStart w:id="2222" w:name="_Toc312172390"/>
      <w:bookmarkStart w:id="2223" w:name="_Toc312257939"/>
      <w:bookmarkEnd w:id="2220"/>
      <w:bookmarkEnd w:id="2221"/>
      <w:bookmarkEnd w:id="2222"/>
      <w:bookmarkEnd w:id="2223"/>
    </w:p>
    <w:p w:rsidR="002118EE" w:rsidRPr="00497BC1" w:rsidRDefault="002118EE" w:rsidP="00057B42">
      <w:pPr>
        <w:spacing w:line="360" w:lineRule="auto"/>
      </w:pPr>
    </w:p>
    <w:p w:rsidR="006652AB" w:rsidRDefault="006652AB" w:rsidP="00057B42">
      <w:pPr>
        <w:spacing w:line="360" w:lineRule="auto"/>
        <w:jc w:val="center"/>
        <w:rPr>
          <w:b/>
          <w:sz w:val="72"/>
        </w:rPr>
      </w:pPr>
    </w:p>
    <w:p w:rsidR="00AE7FD6" w:rsidRPr="00203B84" w:rsidRDefault="00AE7FD6" w:rsidP="00057B42">
      <w:pPr>
        <w:spacing w:line="360" w:lineRule="auto"/>
        <w:jc w:val="center"/>
        <w:rPr>
          <w:sz w:val="72"/>
        </w:rPr>
      </w:pPr>
      <w:r w:rsidRPr="00203B84">
        <w:rPr>
          <w:sz w:val="72"/>
        </w:rPr>
        <w:t>Chapter 7.0</w:t>
      </w:r>
    </w:p>
    <w:p w:rsidR="002B362B" w:rsidRPr="00203B84" w:rsidRDefault="002B362B" w:rsidP="00057B42">
      <w:pPr>
        <w:pStyle w:val="Heading1"/>
        <w:numPr>
          <w:ilvl w:val="0"/>
          <w:numId w:val="0"/>
        </w:numPr>
        <w:jc w:val="center"/>
        <w:rPr>
          <w:b w:val="0"/>
          <w:sz w:val="72"/>
        </w:rPr>
      </w:pPr>
      <w:bookmarkStart w:id="2224" w:name="_Toc312169464"/>
      <w:bookmarkStart w:id="2225" w:name="_Toc312172391"/>
      <w:bookmarkStart w:id="2226" w:name="_Toc312257940"/>
      <w:r w:rsidRPr="00203B84">
        <w:rPr>
          <w:b w:val="0"/>
          <w:sz w:val="72"/>
        </w:rPr>
        <w:t>Appendix</w:t>
      </w:r>
      <w:bookmarkEnd w:id="2224"/>
      <w:bookmarkEnd w:id="2225"/>
      <w:bookmarkEnd w:id="2226"/>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p>
    <w:p w:rsidR="002B362B" w:rsidRPr="00497BC1" w:rsidRDefault="002B362B" w:rsidP="00057B42">
      <w:pPr>
        <w:spacing w:line="360" w:lineRule="auto"/>
      </w:pPr>
    </w:p>
    <w:p w:rsidR="002B362B" w:rsidRPr="00497BC1" w:rsidRDefault="002B362B" w:rsidP="00057B42">
      <w:pPr>
        <w:spacing w:line="360" w:lineRule="auto"/>
      </w:pPr>
    </w:p>
    <w:p w:rsidR="002B362B" w:rsidRPr="00873C4C" w:rsidRDefault="002B362B" w:rsidP="00057B42">
      <w:pPr>
        <w:spacing w:line="360" w:lineRule="auto"/>
        <w:jc w:val="both"/>
        <w:rPr>
          <w:b/>
          <w:color w:val="000000"/>
        </w:rPr>
      </w:pPr>
    </w:p>
    <w:p w:rsidR="002B362B" w:rsidRPr="00873C4C" w:rsidRDefault="002B362B" w:rsidP="00057B42">
      <w:pPr>
        <w:spacing w:line="360" w:lineRule="auto"/>
        <w:jc w:val="both"/>
        <w:rPr>
          <w:color w:val="000000"/>
        </w:rPr>
      </w:pPr>
      <w:r w:rsidRPr="00873C4C">
        <w:rPr>
          <w:color w:val="000000"/>
        </w:rPr>
        <w:br w:type="page"/>
      </w:r>
    </w:p>
    <w:p w:rsidR="002B362B" w:rsidRPr="00873C4C" w:rsidRDefault="002B362B" w:rsidP="00057B42">
      <w:pPr>
        <w:spacing w:line="360" w:lineRule="auto"/>
        <w:rPr>
          <w:b/>
          <w:color w:val="000000"/>
          <w:sz w:val="28"/>
        </w:rPr>
      </w:pPr>
      <w:r w:rsidRPr="00873C4C">
        <w:rPr>
          <w:b/>
          <w:color w:val="000000"/>
          <w:sz w:val="28"/>
        </w:rPr>
        <w:lastRenderedPageBreak/>
        <w:t>Printed Patient Information Leaflet</w:t>
      </w:r>
    </w:p>
    <w:p w:rsidR="002B362B" w:rsidRPr="00873C4C" w:rsidRDefault="002B362B" w:rsidP="00057B42">
      <w:pPr>
        <w:spacing w:line="360" w:lineRule="auto"/>
        <w:rPr>
          <w:color w:val="000000"/>
        </w:rPr>
      </w:pPr>
    </w:p>
    <w:p w:rsidR="002B362B" w:rsidRPr="00873C4C" w:rsidRDefault="002B362B" w:rsidP="00057B42">
      <w:pPr>
        <w:spacing w:line="360" w:lineRule="auto"/>
        <w:jc w:val="both"/>
        <w:rPr>
          <w:b/>
          <w:color w:val="000000"/>
          <w:u w:val="single"/>
        </w:rPr>
      </w:pPr>
      <w:r w:rsidRPr="00873C4C">
        <w:rPr>
          <w:b/>
          <w:color w:val="000000"/>
        </w:rPr>
        <w:t xml:space="preserve">Mater Misericordiae University Hospital Headed Paper: </w:t>
      </w:r>
    </w:p>
    <w:p w:rsidR="002B362B" w:rsidRPr="00873C4C" w:rsidRDefault="002B362B" w:rsidP="00057B42">
      <w:pPr>
        <w:spacing w:line="360" w:lineRule="auto"/>
        <w:jc w:val="both"/>
        <w:rPr>
          <w:b/>
          <w:color w:val="000000"/>
          <w:u w:val="single"/>
        </w:rPr>
      </w:pPr>
    </w:p>
    <w:p w:rsidR="002B362B" w:rsidRPr="00873C4C" w:rsidRDefault="002B362B" w:rsidP="00057B42">
      <w:pPr>
        <w:spacing w:line="360" w:lineRule="auto"/>
        <w:jc w:val="center"/>
        <w:rPr>
          <w:b/>
          <w:color w:val="000000"/>
          <w:u w:val="single"/>
        </w:rPr>
      </w:pPr>
      <w:r w:rsidRPr="00873C4C">
        <w:rPr>
          <w:b/>
          <w:color w:val="000000"/>
          <w:u w:val="single"/>
        </w:rPr>
        <w:t>Patient Information Leaflet</w:t>
      </w:r>
    </w:p>
    <w:p w:rsidR="002B362B" w:rsidRPr="00497BC1" w:rsidRDefault="00C46C49" w:rsidP="00057B42">
      <w:pPr>
        <w:spacing w:line="360" w:lineRule="auto"/>
      </w:pPr>
      <w:r>
        <w:rPr>
          <w:noProof/>
          <w:color w:val="000000"/>
          <w:lang w:eastAsia="en-IE"/>
        </w:rPr>
        <mc:AlternateContent>
          <mc:Choice Requires="wps">
            <w:drawing>
              <wp:anchor distT="0" distB="0" distL="114300" distR="114300" simplePos="0" relativeHeight="251654656" behindDoc="0" locked="0" layoutInCell="1" allowOverlap="1" wp14:anchorId="42F453DA" wp14:editId="3241BADF">
                <wp:simplePos x="0" y="0"/>
                <wp:positionH relativeFrom="column">
                  <wp:posOffset>1905</wp:posOffset>
                </wp:positionH>
                <wp:positionV relativeFrom="paragraph">
                  <wp:posOffset>274320</wp:posOffset>
                </wp:positionV>
                <wp:extent cx="5379720" cy="1156970"/>
                <wp:effectExtent l="0" t="0" r="11430" b="2413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1156970"/>
                        </a:xfrm>
                        <a:prstGeom prst="rect">
                          <a:avLst/>
                        </a:prstGeom>
                        <a:solidFill>
                          <a:srgbClr val="FFFFFF"/>
                        </a:solidFill>
                        <a:ln w="9525">
                          <a:solidFill>
                            <a:srgbClr val="000000"/>
                          </a:solidFill>
                          <a:miter lim="800000"/>
                          <a:headEnd/>
                          <a:tailEnd/>
                        </a:ln>
                      </wps:spPr>
                      <wps:txbx>
                        <w:txbxContent>
                          <w:p w:rsidR="004B395A" w:rsidRPr="008C2E6F" w:rsidRDefault="004B395A" w:rsidP="002B362B">
                            <w:pPr>
                              <w:jc w:val="both"/>
                            </w:pPr>
                            <w:r w:rsidRPr="008C2E6F">
                              <w:rPr>
                                <w:rFonts w:ascii="Arial" w:hAnsi="Arial" w:cs="Arial"/>
                                <w:b/>
                              </w:rPr>
                              <w:t>Protocol title: RNA, Microarray &amp; Proteomic analysis of bone marrow and peripheral blood from Multiple Myeloma patients to identify prognostic biomarkers, mechanism of drug Pharmacokinetics (Thalidomide &amp; Lenalidomide), resistance &amp; and identify candidate genes central to Myelomagenesis</w:t>
                            </w:r>
                            <w:r w:rsidRPr="008C2E6F">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53" type="#_x0000_t202" style="position:absolute;margin-left:.15pt;margin-top:21.6pt;width:423.6pt;height:91.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">
                <v:textbox>
                  <w:txbxContent>
                    <w:p w:rsidR="004B395A" w:rsidRPr="008C2E6F" w:rsidRDefault="004B395A" w:rsidP="002B362B">
                      <w:pPr>
                        <w:jc w:val="both"/>
                      </w:pPr>
                      <w:r w:rsidRPr="008C2E6F">
                        <w:rPr>
                          <w:rFonts w:ascii="Arial" w:hAnsi="Arial" w:cs="Arial"/>
                          <w:b/>
                        </w:rPr>
                        <w:t>Protocol title: RNA, Microarray &amp; Proteomic analysis of bone marrow and peripheral blood from Multiple Myeloma patients to identify prognostic biomarkers, mechanism of drug Pharmacokinetics (Thalidomide &amp; Lenalidomide), resistance &amp; and identify candidate genes central to Myelomagenesis</w:t>
                      </w:r>
                      <w:r w:rsidRPr="008C2E6F">
                        <w:t>.</w:t>
                      </w:r>
                    </w:p>
                  </w:txbxContent>
                </v:textbox>
                <w10:wrap type="square"/>
              </v:shape>
            </w:pict>
          </mc:Fallback>
        </mc:AlternateContent>
      </w:r>
    </w:p>
    <w:p w:rsidR="002B362B" w:rsidRPr="00873C4C" w:rsidRDefault="002B362B" w:rsidP="00057B42">
      <w:pPr>
        <w:tabs>
          <w:tab w:val="left" w:pos="4678"/>
        </w:tabs>
        <w:spacing w:line="360" w:lineRule="auto"/>
        <w:jc w:val="both"/>
        <w:rPr>
          <w:b/>
          <w:color w:val="000000"/>
        </w:rPr>
      </w:pPr>
    </w:p>
    <w:p w:rsidR="002B362B" w:rsidRPr="00873C4C" w:rsidRDefault="002B362B" w:rsidP="00057B42">
      <w:pPr>
        <w:tabs>
          <w:tab w:val="left" w:pos="4678"/>
        </w:tabs>
        <w:spacing w:line="360" w:lineRule="auto"/>
        <w:jc w:val="both"/>
        <w:rPr>
          <w:b/>
          <w:color w:val="000000"/>
        </w:rPr>
      </w:pPr>
    </w:p>
    <w:p w:rsidR="002B362B" w:rsidRPr="00873C4C" w:rsidRDefault="002B362B" w:rsidP="00057B42">
      <w:pPr>
        <w:tabs>
          <w:tab w:val="left" w:pos="4678"/>
        </w:tabs>
        <w:spacing w:line="360" w:lineRule="auto"/>
        <w:jc w:val="both"/>
        <w:rPr>
          <w:b/>
          <w:color w:val="000000"/>
        </w:rPr>
      </w:pPr>
      <w:r w:rsidRPr="00873C4C">
        <w:rPr>
          <w:b/>
          <w:color w:val="000000"/>
        </w:rPr>
        <w:t>Principal Investigator’s Name:</w:t>
      </w:r>
      <w:r w:rsidRPr="00873C4C">
        <w:rPr>
          <w:b/>
          <w:color w:val="000000"/>
        </w:rPr>
        <w:tab/>
        <w:t>_____</w:t>
      </w:r>
      <w:r w:rsidRPr="00873C4C">
        <w:rPr>
          <w:color w:val="000000"/>
        </w:rPr>
        <w:t xml:space="preserve"> </w:t>
      </w:r>
      <w:r w:rsidRPr="00873C4C">
        <w:rPr>
          <w:b/>
          <w:color w:val="000000"/>
        </w:rPr>
        <w:t>Dr. Peter O’Gorman</w:t>
      </w:r>
    </w:p>
    <w:p w:rsidR="002B362B" w:rsidRPr="00873C4C" w:rsidRDefault="002B362B" w:rsidP="00057B42">
      <w:pPr>
        <w:tabs>
          <w:tab w:val="left" w:pos="4678"/>
        </w:tabs>
        <w:spacing w:line="360" w:lineRule="auto"/>
        <w:jc w:val="both"/>
        <w:rPr>
          <w:b/>
          <w:color w:val="000000"/>
        </w:rPr>
      </w:pPr>
      <w:r w:rsidRPr="00873C4C">
        <w:rPr>
          <w:b/>
          <w:color w:val="000000"/>
        </w:rPr>
        <w:t>Principal Investigator’s Title:</w:t>
      </w:r>
      <w:r w:rsidRPr="00873C4C">
        <w:rPr>
          <w:b/>
          <w:color w:val="000000"/>
        </w:rPr>
        <w:tab/>
        <w:t xml:space="preserve"> ____Consultant Haematologist </w:t>
      </w:r>
    </w:p>
    <w:p w:rsidR="002B362B" w:rsidRPr="00873C4C" w:rsidRDefault="002B362B" w:rsidP="00057B42">
      <w:pPr>
        <w:tabs>
          <w:tab w:val="left" w:pos="4678"/>
        </w:tabs>
        <w:spacing w:line="360" w:lineRule="auto"/>
        <w:jc w:val="both"/>
        <w:rPr>
          <w:b/>
          <w:color w:val="000000"/>
        </w:rPr>
      </w:pPr>
      <w:r w:rsidRPr="00873C4C">
        <w:rPr>
          <w:b/>
          <w:color w:val="000000"/>
        </w:rPr>
        <w:t xml:space="preserve">Telephone No. of Principal Investigator:   -------   018032000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You are being invited to take part in a clinical research study carried out at Mater Hospital.  Before you decide whether or not</w:t>
      </w:r>
      <w:r w:rsidRPr="00873C4C">
        <w:rPr>
          <w:i/>
          <w:color w:val="000000"/>
        </w:rPr>
        <w:t xml:space="preserve"> </w:t>
      </w:r>
      <w:r w:rsidRPr="00873C4C">
        <w:rPr>
          <w:color w:val="000000"/>
        </w:rPr>
        <w:t xml:space="preserve">you wish to take part, you should read the information provided below carefully and if, you wish, discuss it with your family, friends or GP.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Take time to ask questions – do not feel rushed or under any obligation to make a hasty immediate decision. You should clearly understand the risks and benefits of participating in this study so that you can make a decision that is right for you – this process is known as Informed Consent.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u w:val="single"/>
        </w:rPr>
      </w:pPr>
      <w:r w:rsidRPr="00873C4C">
        <w:rPr>
          <w:color w:val="000000"/>
          <w:u w:val="single"/>
        </w:rPr>
        <w:t>You may change your mind at any time (before the start of the study or even after you have commenced the study) for whatever reason without having to justify your decision and without any negative impact on the care you will receive from the medical staff and will not give up any benefits which you had before entering the study.</w:t>
      </w:r>
    </w:p>
    <w:p w:rsidR="002B362B" w:rsidRPr="00873C4C" w:rsidRDefault="002B362B" w:rsidP="00057B42">
      <w:pPr>
        <w:spacing w:line="360" w:lineRule="auto"/>
        <w:jc w:val="both"/>
        <w:rPr>
          <w:b/>
          <w:color w:val="000000"/>
        </w:rPr>
      </w:pPr>
    </w:p>
    <w:p w:rsidR="002B362B" w:rsidRPr="00497BC1" w:rsidRDefault="002B362B" w:rsidP="00057B42">
      <w:pPr>
        <w:spacing w:line="360" w:lineRule="auto"/>
      </w:pPr>
    </w:p>
    <w:p w:rsidR="002B362B" w:rsidRPr="005B3F87" w:rsidRDefault="002B362B" w:rsidP="00057B42">
      <w:pPr>
        <w:spacing w:line="360" w:lineRule="auto"/>
        <w:rPr>
          <w:b/>
        </w:rPr>
      </w:pPr>
      <w:bookmarkStart w:id="2227" w:name="_Toc306570828"/>
      <w:r w:rsidRPr="005B3F87">
        <w:rPr>
          <w:b/>
        </w:rPr>
        <w:t>WHY IS THIS STUDY BEING DONE?</w:t>
      </w:r>
      <w:bookmarkEnd w:id="2227"/>
      <w:r w:rsidRPr="005B3F87">
        <w:rPr>
          <w:b/>
        </w:rPr>
        <w:t xml:space="preserve">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Multiple myeloma is a type of cancer formed by malignant plasma cells. Normal plasma cells are an important part of the immune system. Plasma cells usually make up less than 5 percent of the cells in your bone marrow.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However, if you have multiple myeloma, a group of abnormal plasma cells (myeloma cells) multiply, raising the percentage of plasma cells to more than 10 percent of the cells in your bone marrow.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Generally, if you have multiple myeloma and are not experiencing symptoms, you do not need treatment. If you' are experiencing symptoms treatment can help. Though there is no cure for multiple myeloma, with good treatment results you can usually return to near-normal activity and remission.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The appropriate treatment depends on your needs, medical status and general health. Standard treatment options include: Chemotherapy and Radiation therapy. </w:t>
      </w:r>
    </w:p>
    <w:p w:rsidR="002B362B" w:rsidRPr="00873C4C" w:rsidRDefault="002B362B" w:rsidP="00057B42">
      <w:pPr>
        <w:spacing w:after="120" w:line="360" w:lineRule="auto"/>
        <w:jc w:val="both"/>
        <w:rPr>
          <w:color w:val="000000"/>
        </w:rPr>
      </w:pPr>
    </w:p>
    <w:p w:rsidR="002B362B" w:rsidRPr="00873C4C" w:rsidRDefault="002B362B" w:rsidP="00057B42">
      <w:pPr>
        <w:spacing w:after="120" w:line="360" w:lineRule="auto"/>
        <w:jc w:val="both"/>
        <w:rPr>
          <w:b/>
          <w:color w:val="000000"/>
        </w:rPr>
      </w:pPr>
      <w:r w:rsidRPr="00873C4C">
        <w:rPr>
          <w:b/>
          <w:color w:val="000000"/>
        </w:rPr>
        <w:t>HOW WILL THE STUDY BE CARRIED OUT?</w:t>
      </w:r>
    </w:p>
    <w:p w:rsidR="002B362B" w:rsidRPr="00873C4C" w:rsidRDefault="002B362B" w:rsidP="00057B42">
      <w:pPr>
        <w:spacing w:after="120" w:line="360" w:lineRule="auto"/>
        <w:jc w:val="both"/>
        <w:rPr>
          <w:color w:val="000000"/>
        </w:rPr>
      </w:pPr>
      <w:r w:rsidRPr="00873C4C">
        <w:rPr>
          <w:color w:val="000000"/>
        </w:rPr>
        <w:t>Blood and bone marrow aspiration are suitable materials for research. These materials will only be obtained when you are having diagnostic or follow –up tests for reasons unrelated to research.</w:t>
      </w:r>
      <w:r w:rsidRPr="00873C4C">
        <w:rPr>
          <w:b/>
          <w:color w:val="000000"/>
        </w:rPr>
        <w:t xml:space="preserve"> </w:t>
      </w:r>
      <w:r w:rsidRPr="00662A1A">
        <w:rPr>
          <w:color w:val="000000"/>
        </w:rPr>
        <w:t>No additional procedures will be performed, nor will the study necessitate any additional hospital attendances</w:t>
      </w:r>
    </w:p>
    <w:p w:rsidR="005B3F87" w:rsidRDefault="005B3F87" w:rsidP="00057B42">
      <w:pPr>
        <w:spacing w:line="360" w:lineRule="auto"/>
        <w:rPr>
          <w:b/>
        </w:rPr>
      </w:pPr>
      <w:bookmarkStart w:id="2228" w:name="_Toc306570829"/>
    </w:p>
    <w:p w:rsidR="002B362B" w:rsidRDefault="002B362B" w:rsidP="00057B42">
      <w:pPr>
        <w:spacing w:line="360" w:lineRule="auto"/>
        <w:rPr>
          <w:b/>
        </w:rPr>
      </w:pPr>
      <w:r w:rsidRPr="005B3F87">
        <w:rPr>
          <w:b/>
        </w:rPr>
        <w:t>WHAT WILL HAPPEN TO ME IF I AGREE TO TAKE PART?</w:t>
      </w:r>
      <w:bookmarkEnd w:id="2228"/>
    </w:p>
    <w:p w:rsidR="005B3F87" w:rsidRPr="005B3F87" w:rsidRDefault="005B3F87" w:rsidP="00057B42">
      <w:pPr>
        <w:spacing w:line="360" w:lineRule="auto"/>
        <w:rPr>
          <w:b/>
        </w:rPr>
      </w:pPr>
    </w:p>
    <w:p w:rsidR="002B362B" w:rsidRPr="005B3F87" w:rsidRDefault="002B362B" w:rsidP="00057B42">
      <w:pPr>
        <w:spacing w:line="360" w:lineRule="auto"/>
        <w:jc w:val="both"/>
      </w:pPr>
      <w:bookmarkStart w:id="2229" w:name="_Toc306570830"/>
      <w:r w:rsidRPr="005B3F87">
        <w:t xml:space="preserve">Patients participating in the study will be required to give samples as follows: 5-10 ml of peripheral blood, 5-10 ml of bone </w:t>
      </w:r>
      <w:r w:rsidR="00273E57" w:rsidRPr="005B3F87">
        <w:t xml:space="preserve">marrow. </w:t>
      </w:r>
      <w:r w:rsidRPr="005B3F87">
        <w:t xml:space="preserve">These samples will be taken only when you are having routine diagnostic and follow up tests. It is important for you to note that no extra procedures / blood tests bone marrow aspirates will be performed. Whenever you have blood or marrow aspirate sampling done to assess your response </w:t>
      </w:r>
      <w:r w:rsidRPr="005B3F87">
        <w:lastRenderedPageBreak/>
        <w:t>to treatment we will simply draw off the extra samples using larger syringe with no extra/ larger needles required.</w:t>
      </w:r>
      <w:bookmarkEnd w:id="2229"/>
      <w:r w:rsidRPr="005B3F87">
        <w:t xml:space="preserve"> </w:t>
      </w:r>
    </w:p>
    <w:p w:rsidR="002B362B" w:rsidRPr="005B3F87" w:rsidRDefault="002B362B" w:rsidP="00057B42">
      <w:pPr>
        <w:spacing w:line="360" w:lineRule="auto"/>
        <w:jc w:val="both"/>
      </w:pPr>
      <w:r w:rsidRPr="005B3F87">
        <w:t xml:space="preserve"> </w:t>
      </w:r>
    </w:p>
    <w:p w:rsidR="002B362B" w:rsidRPr="005B3F87" w:rsidRDefault="002B362B" w:rsidP="00057B42">
      <w:pPr>
        <w:spacing w:line="360" w:lineRule="auto"/>
        <w:jc w:val="both"/>
      </w:pPr>
      <w:bookmarkStart w:id="2230" w:name="_Toc306570831"/>
      <w:r w:rsidRPr="005B3F87">
        <w:t xml:space="preserve">We will initially process these samples in the Mater hospital. However for advanced analysis including micro-array </w:t>
      </w:r>
      <w:r w:rsidR="0010315E">
        <w:t>and</w:t>
      </w:r>
      <w:r w:rsidRPr="005B3F87">
        <w:t xml:space="preserve"> RNA analysis, we will send these samples to National Institute </w:t>
      </w:r>
      <w:r w:rsidR="00273E57" w:rsidRPr="005B3F87">
        <w:t>for</w:t>
      </w:r>
      <w:r w:rsidRPr="005B3F87">
        <w:t xml:space="preserve"> Cellular Biotechnology (NICB) laboratory in Dublin City University (DCU).</w:t>
      </w:r>
      <w:bookmarkEnd w:id="2230"/>
    </w:p>
    <w:p w:rsidR="002B362B" w:rsidRPr="00873C4C" w:rsidRDefault="002B362B" w:rsidP="00057B42">
      <w:pPr>
        <w:spacing w:after="120" w:line="360" w:lineRule="auto"/>
        <w:jc w:val="both"/>
        <w:rPr>
          <w:b/>
          <w:color w:val="000000"/>
        </w:rPr>
      </w:pPr>
    </w:p>
    <w:p w:rsidR="002B362B" w:rsidRPr="00873C4C" w:rsidRDefault="002B362B" w:rsidP="00057B42">
      <w:pPr>
        <w:spacing w:after="120" w:line="360" w:lineRule="auto"/>
        <w:jc w:val="both"/>
        <w:rPr>
          <w:b/>
          <w:color w:val="000000"/>
        </w:rPr>
      </w:pPr>
    </w:p>
    <w:p w:rsidR="002B362B" w:rsidRPr="00873C4C" w:rsidRDefault="002B362B" w:rsidP="00057B42">
      <w:pPr>
        <w:spacing w:after="120" w:line="360" w:lineRule="auto"/>
        <w:jc w:val="both"/>
        <w:rPr>
          <w:b/>
          <w:color w:val="000000"/>
        </w:rPr>
      </w:pPr>
      <w:r w:rsidRPr="00873C4C">
        <w:rPr>
          <w:b/>
          <w:color w:val="000000"/>
        </w:rPr>
        <w:t>BENEFITS:</w:t>
      </w:r>
    </w:p>
    <w:p w:rsidR="002B362B" w:rsidRPr="00873C4C" w:rsidRDefault="002B362B" w:rsidP="00057B42">
      <w:pPr>
        <w:spacing w:after="120" w:line="360" w:lineRule="auto"/>
        <w:jc w:val="both"/>
        <w:rPr>
          <w:color w:val="000000"/>
        </w:rPr>
      </w:pPr>
      <w:r w:rsidRPr="00873C4C">
        <w:rPr>
          <w:color w:val="000000"/>
        </w:rPr>
        <w:t>There is no benefit to the participant himself/herself. However this study may benefit subsequent patients by helping the doctors to better understand multiple myeloma.</w:t>
      </w:r>
    </w:p>
    <w:p w:rsidR="002B362B" w:rsidRPr="00873C4C" w:rsidRDefault="002B362B" w:rsidP="00057B42">
      <w:pPr>
        <w:spacing w:after="120" w:line="360" w:lineRule="auto"/>
        <w:jc w:val="both"/>
        <w:rPr>
          <w:color w:val="000000"/>
        </w:rPr>
      </w:pPr>
      <w:r w:rsidRPr="00873C4C">
        <w:rPr>
          <w:b/>
          <w:color w:val="000000"/>
        </w:rPr>
        <w:t>RISKS:</w:t>
      </w:r>
    </w:p>
    <w:p w:rsidR="002B362B" w:rsidRPr="00873C4C" w:rsidRDefault="002B362B" w:rsidP="00057B42">
      <w:pPr>
        <w:spacing w:after="120" w:line="360" w:lineRule="auto"/>
        <w:jc w:val="both"/>
        <w:rPr>
          <w:b/>
          <w:color w:val="000000"/>
        </w:rPr>
      </w:pPr>
      <w:r w:rsidRPr="00873C4C">
        <w:rPr>
          <w:color w:val="000000"/>
        </w:rPr>
        <w:t>There are no additional risks as no additional procedures will be performed, nor will the study necessitate any additional hospital attendances</w:t>
      </w:r>
    </w:p>
    <w:p w:rsidR="002B362B" w:rsidRPr="00873C4C" w:rsidRDefault="002B362B" w:rsidP="00057B42">
      <w:pPr>
        <w:spacing w:after="120" w:line="360" w:lineRule="auto"/>
        <w:jc w:val="both"/>
        <w:rPr>
          <w:i/>
          <w:color w:val="000000"/>
        </w:rPr>
      </w:pPr>
    </w:p>
    <w:p w:rsidR="002B362B" w:rsidRPr="00873C4C" w:rsidRDefault="002B362B" w:rsidP="00057B42">
      <w:pPr>
        <w:spacing w:after="120" w:line="360" w:lineRule="auto"/>
        <w:jc w:val="both"/>
        <w:rPr>
          <w:b/>
          <w:color w:val="000000"/>
        </w:rPr>
      </w:pPr>
      <w:r w:rsidRPr="00873C4C">
        <w:rPr>
          <w:b/>
          <w:color w:val="000000"/>
        </w:rPr>
        <w:t xml:space="preserve">CONFIDENTIALITY ISSUES: </w:t>
      </w:r>
    </w:p>
    <w:p w:rsidR="002B362B" w:rsidRPr="00873C4C" w:rsidRDefault="002B362B" w:rsidP="00057B42">
      <w:pPr>
        <w:spacing w:after="120" w:line="360" w:lineRule="auto"/>
        <w:jc w:val="both"/>
        <w:rPr>
          <w:color w:val="000000"/>
        </w:rPr>
      </w:pPr>
      <w:r w:rsidRPr="00873C4C">
        <w:rPr>
          <w:color w:val="000000"/>
        </w:rPr>
        <w:t>We intend to inform your GP of your participation in this study. However your GP is not a part of this research group and will not have access to research results.</w:t>
      </w:r>
    </w:p>
    <w:p w:rsidR="002B362B" w:rsidRPr="00873C4C" w:rsidRDefault="002B362B" w:rsidP="00057B42">
      <w:pPr>
        <w:spacing w:line="360" w:lineRule="auto"/>
        <w:ind w:right="-360"/>
        <w:jc w:val="both"/>
        <w:rPr>
          <w:color w:val="000000"/>
        </w:rPr>
      </w:pPr>
      <w:r w:rsidRPr="00873C4C">
        <w:rPr>
          <w:color w:val="000000"/>
        </w:rPr>
        <w:t xml:space="preserve">Your identity will remain confidential. Your name will not be published and will not be disclosed to anyone outside this hospital.  Only the investigator's group (Dr Peter O’Gorman/ Dr Rajesh Rajpal) within Mater Hospital will know your identity; codes will be used to conceal your identities in all external communications </w:t>
      </w:r>
      <w:r w:rsidR="00273E57" w:rsidRPr="00873C4C">
        <w:rPr>
          <w:color w:val="000000"/>
        </w:rPr>
        <w:t>to DCU</w:t>
      </w:r>
      <w:r w:rsidRPr="00873C4C">
        <w:rPr>
          <w:color w:val="000000"/>
        </w:rPr>
        <w:t xml:space="preserve">. </w:t>
      </w:r>
    </w:p>
    <w:p w:rsidR="002B362B" w:rsidRPr="00873C4C" w:rsidRDefault="002B362B" w:rsidP="00057B42">
      <w:pPr>
        <w:spacing w:line="360" w:lineRule="auto"/>
        <w:ind w:right="-360"/>
        <w:jc w:val="both"/>
        <w:rPr>
          <w:color w:val="000000"/>
        </w:rPr>
      </w:pPr>
    </w:p>
    <w:p w:rsidR="002B362B" w:rsidRPr="00873C4C" w:rsidRDefault="002B362B" w:rsidP="00057B42">
      <w:pPr>
        <w:spacing w:line="360" w:lineRule="auto"/>
        <w:ind w:right="-360"/>
        <w:jc w:val="both"/>
        <w:rPr>
          <w:color w:val="000000"/>
        </w:rPr>
      </w:pPr>
      <w:r w:rsidRPr="00873C4C">
        <w:rPr>
          <w:color w:val="000000"/>
        </w:rPr>
        <w:t xml:space="preserve">Your bone marrow, blood sample will be </w:t>
      </w:r>
      <w:r w:rsidRPr="00873C4C">
        <w:rPr>
          <w:b/>
          <w:color w:val="000000"/>
          <w:u w:val="single"/>
        </w:rPr>
        <w:t>stored indefinitely and may be</w:t>
      </w:r>
      <w:r w:rsidRPr="00873C4C">
        <w:rPr>
          <w:b/>
          <w:i/>
          <w:color w:val="000000"/>
          <w:u w:val="single"/>
        </w:rPr>
        <w:t xml:space="preserve"> </w:t>
      </w:r>
      <w:r w:rsidRPr="00873C4C">
        <w:rPr>
          <w:b/>
          <w:color w:val="000000"/>
          <w:u w:val="single"/>
        </w:rPr>
        <w:t>used again in other research in the future related to myeloma</w:t>
      </w:r>
      <w:r w:rsidRPr="00873C4C">
        <w:rPr>
          <w:color w:val="000000"/>
        </w:rPr>
        <w:t xml:space="preserve">. </w:t>
      </w:r>
    </w:p>
    <w:p w:rsidR="002B362B" w:rsidRPr="00873C4C" w:rsidRDefault="002B362B" w:rsidP="00057B42">
      <w:pPr>
        <w:spacing w:line="360" w:lineRule="auto"/>
        <w:ind w:right="-360"/>
        <w:jc w:val="both"/>
        <w:rPr>
          <w:color w:val="000000"/>
        </w:rPr>
      </w:pPr>
    </w:p>
    <w:p w:rsidR="001E3EC1" w:rsidRDefault="001E3EC1" w:rsidP="00057B42">
      <w:pPr>
        <w:spacing w:line="360" w:lineRule="auto"/>
        <w:ind w:right="-360"/>
        <w:jc w:val="both"/>
        <w:rPr>
          <w:b/>
          <w:color w:val="000000"/>
        </w:rPr>
      </w:pPr>
    </w:p>
    <w:p w:rsidR="001E3EC1" w:rsidRDefault="001E3EC1" w:rsidP="00057B42">
      <w:pPr>
        <w:spacing w:line="360" w:lineRule="auto"/>
        <w:ind w:right="-360"/>
        <w:jc w:val="both"/>
        <w:rPr>
          <w:b/>
          <w:color w:val="000000"/>
        </w:rPr>
      </w:pPr>
    </w:p>
    <w:p w:rsidR="001E3EC1" w:rsidRDefault="001E3EC1" w:rsidP="00057B42">
      <w:pPr>
        <w:spacing w:line="360" w:lineRule="auto"/>
        <w:ind w:right="-360"/>
        <w:jc w:val="both"/>
        <w:rPr>
          <w:b/>
          <w:color w:val="000000"/>
        </w:rPr>
      </w:pPr>
    </w:p>
    <w:p w:rsidR="002B362B" w:rsidRPr="00873C4C" w:rsidRDefault="002B362B" w:rsidP="00057B42">
      <w:pPr>
        <w:spacing w:line="360" w:lineRule="auto"/>
        <w:ind w:right="-360"/>
        <w:jc w:val="both"/>
        <w:rPr>
          <w:b/>
          <w:color w:val="000000"/>
        </w:rPr>
      </w:pPr>
      <w:r w:rsidRPr="00873C4C">
        <w:rPr>
          <w:b/>
          <w:color w:val="000000"/>
        </w:rPr>
        <w:lastRenderedPageBreak/>
        <w:t>Future research and studies:</w:t>
      </w:r>
    </w:p>
    <w:p w:rsidR="002B362B" w:rsidRPr="00873C4C" w:rsidRDefault="002B362B" w:rsidP="00057B42">
      <w:pPr>
        <w:spacing w:line="360" w:lineRule="auto"/>
        <w:ind w:right="-360"/>
        <w:jc w:val="both"/>
        <w:rPr>
          <w:b/>
          <w:color w:val="000000"/>
        </w:rPr>
      </w:pPr>
    </w:p>
    <w:p w:rsidR="002B362B" w:rsidRPr="00873C4C" w:rsidRDefault="002B362B" w:rsidP="00057B42">
      <w:pPr>
        <w:spacing w:line="360" w:lineRule="auto"/>
        <w:ind w:right="-360"/>
        <w:jc w:val="both"/>
        <w:rPr>
          <w:color w:val="000000"/>
        </w:rPr>
      </w:pPr>
      <w:r w:rsidRPr="00873C4C">
        <w:rPr>
          <w:color w:val="000000"/>
        </w:rPr>
        <w:t>Further studies and research on these samples will be referred to the Mater Hospital Research Ethics Committee for review and approval.</w:t>
      </w:r>
    </w:p>
    <w:p w:rsidR="002B362B" w:rsidRPr="00873C4C" w:rsidRDefault="002B362B" w:rsidP="00057B42">
      <w:pPr>
        <w:spacing w:line="360" w:lineRule="auto"/>
        <w:ind w:right="-360"/>
        <w:jc w:val="both"/>
        <w:rPr>
          <w:color w:val="000000"/>
        </w:rPr>
      </w:pPr>
    </w:p>
    <w:p w:rsidR="002B362B" w:rsidRDefault="002B362B" w:rsidP="00057B42">
      <w:pPr>
        <w:spacing w:line="360" w:lineRule="auto"/>
        <w:ind w:right="-360"/>
        <w:jc w:val="both"/>
        <w:rPr>
          <w:color w:val="000000"/>
        </w:rPr>
      </w:pPr>
      <w:r w:rsidRPr="00873C4C">
        <w:rPr>
          <w:color w:val="000000"/>
        </w:rPr>
        <w:t xml:space="preserve">Your medical notes will be examined by clinical research workers, Dr Peter O’Gorman, and Dr Rajesh Rajpal.  Non-hospital employees will not have access to your medical notes. </w:t>
      </w:r>
    </w:p>
    <w:p w:rsidR="006652AB" w:rsidRDefault="006652AB" w:rsidP="00057B42">
      <w:pPr>
        <w:spacing w:line="360" w:lineRule="auto"/>
        <w:ind w:right="-360"/>
        <w:jc w:val="both"/>
        <w:rPr>
          <w:color w:val="000000"/>
        </w:rPr>
      </w:pPr>
    </w:p>
    <w:p w:rsidR="006652AB" w:rsidRPr="00873C4C" w:rsidRDefault="006652AB" w:rsidP="00057B42">
      <w:pPr>
        <w:spacing w:line="360" w:lineRule="auto"/>
        <w:ind w:right="-360"/>
        <w:jc w:val="both"/>
        <w:rPr>
          <w:color w:val="000000"/>
        </w:rPr>
      </w:pPr>
    </w:p>
    <w:p w:rsidR="002B362B" w:rsidRPr="00873C4C" w:rsidRDefault="002B362B" w:rsidP="00057B42">
      <w:pPr>
        <w:spacing w:line="360" w:lineRule="auto"/>
        <w:ind w:right="-360"/>
        <w:jc w:val="both"/>
        <w:rPr>
          <w:b/>
          <w:color w:val="000000"/>
        </w:rPr>
      </w:pPr>
      <w:r w:rsidRPr="00873C4C">
        <w:rPr>
          <w:b/>
          <w:color w:val="000000"/>
        </w:rPr>
        <w:t>Compensation:</w:t>
      </w:r>
    </w:p>
    <w:p w:rsidR="002B362B" w:rsidRPr="00873C4C" w:rsidRDefault="002B362B" w:rsidP="00057B42">
      <w:pPr>
        <w:spacing w:line="360" w:lineRule="auto"/>
        <w:ind w:right="-360"/>
        <w:jc w:val="both"/>
        <w:rPr>
          <w:color w:val="000000"/>
        </w:rPr>
      </w:pPr>
    </w:p>
    <w:p w:rsidR="002B362B" w:rsidRPr="00873C4C" w:rsidRDefault="002B362B" w:rsidP="00057B42">
      <w:pPr>
        <w:spacing w:line="360" w:lineRule="auto"/>
        <w:ind w:right="-360"/>
        <w:jc w:val="both"/>
        <w:rPr>
          <w:color w:val="000000"/>
        </w:rPr>
      </w:pPr>
      <w:r w:rsidRPr="00873C4C">
        <w:rPr>
          <w:color w:val="000000"/>
        </w:rPr>
        <w:t>Your doctors are covered by standard medical malpractice insurance. Nothing in this document restricts or curtails your rights.</w:t>
      </w:r>
    </w:p>
    <w:p w:rsidR="002B362B" w:rsidRPr="00873C4C" w:rsidRDefault="002B362B" w:rsidP="00057B42">
      <w:pPr>
        <w:spacing w:line="360" w:lineRule="auto"/>
        <w:ind w:right="-360"/>
        <w:jc w:val="both"/>
        <w:rPr>
          <w:color w:val="000000"/>
        </w:rPr>
      </w:pPr>
    </w:p>
    <w:p w:rsidR="002B362B" w:rsidRPr="00873C4C" w:rsidRDefault="002B362B" w:rsidP="00057B42">
      <w:pPr>
        <w:spacing w:line="360" w:lineRule="auto"/>
        <w:ind w:right="-360"/>
        <w:jc w:val="both"/>
        <w:rPr>
          <w:b/>
          <w:color w:val="000000"/>
        </w:rPr>
      </w:pPr>
      <w:r w:rsidRPr="00873C4C">
        <w:rPr>
          <w:b/>
          <w:color w:val="000000"/>
        </w:rPr>
        <w:t xml:space="preserve">Stopping the study: </w:t>
      </w:r>
    </w:p>
    <w:p w:rsidR="002B362B" w:rsidRPr="00873C4C" w:rsidRDefault="002B362B" w:rsidP="00057B42">
      <w:pPr>
        <w:spacing w:line="360" w:lineRule="auto"/>
        <w:ind w:right="-360"/>
        <w:jc w:val="both"/>
        <w:rPr>
          <w:b/>
          <w:color w:val="000000"/>
        </w:rPr>
      </w:pPr>
    </w:p>
    <w:p w:rsidR="002B362B" w:rsidRPr="00873C4C" w:rsidRDefault="002B362B" w:rsidP="00057B42">
      <w:pPr>
        <w:spacing w:line="360" w:lineRule="auto"/>
        <w:ind w:right="-360"/>
        <w:jc w:val="both"/>
        <w:rPr>
          <w:color w:val="000000"/>
        </w:rPr>
      </w:pPr>
      <w:r w:rsidRPr="00873C4C">
        <w:rPr>
          <w:color w:val="000000"/>
        </w:rPr>
        <w:t>You understand that your doctor may stop your participation in the study at any time without your consent.</w:t>
      </w:r>
    </w:p>
    <w:p w:rsidR="002B362B" w:rsidRPr="00873C4C" w:rsidRDefault="002B362B" w:rsidP="00057B42">
      <w:pPr>
        <w:spacing w:line="360" w:lineRule="auto"/>
        <w:ind w:right="-360"/>
        <w:jc w:val="both"/>
        <w:rPr>
          <w:b/>
          <w:color w:val="000000"/>
        </w:rPr>
      </w:pPr>
    </w:p>
    <w:p w:rsidR="002B362B" w:rsidRPr="00873C4C" w:rsidRDefault="002B362B" w:rsidP="00057B42">
      <w:pPr>
        <w:spacing w:line="360" w:lineRule="auto"/>
        <w:ind w:right="-360"/>
        <w:jc w:val="both"/>
        <w:rPr>
          <w:color w:val="000000"/>
        </w:rPr>
      </w:pPr>
      <w:r w:rsidRPr="00873C4C">
        <w:rPr>
          <w:b/>
          <w:color w:val="000000"/>
        </w:rPr>
        <w:t>Permission:</w:t>
      </w:r>
      <w:r w:rsidRPr="00873C4C">
        <w:rPr>
          <w:color w:val="000000"/>
        </w:rPr>
        <w:t xml:space="preserve"> </w:t>
      </w:r>
    </w:p>
    <w:p w:rsidR="002B362B" w:rsidRPr="00873C4C" w:rsidRDefault="002B362B" w:rsidP="00057B42">
      <w:pPr>
        <w:spacing w:line="360" w:lineRule="auto"/>
        <w:ind w:right="-360"/>
        <w:jc w:val="both"/>
        <w:rPr>
          <w:color w:val="000000"/>
        </w:rPr>
      </w:pPr>
      <w:r w:rsidRPr="00873C4C">
        <w:rPr>
          <w:color w:val="000000"/>
        </w:rPr>
        <w:t xml:space="preserve">This research has Mater Hospital Research Ethics Committee approval. </w:t>
      </w:r>
    </w:p>
    <w:p w:rsidR="002B362B" w:rsidRPr="00873C4C" w:rsidRDefault="002B362B" w:rsidP="00057B42">
      <w:pPr>
        <w:spacing w:after="120" w:line="360" w:lineRule="auto"/>
        <w:jc w:val="both"/>
        <w:rPr>
          <w:i/>
          <w:color w:val="000000"/>
        </w:rPr>
      </w:pPr>
    </w:p>
    <w:p w:rsidR="002B362B" w:rsidRPr="00873C4C" w:rsidRDefault="002B362B" w:rsidP="00057B42">
      <w:pPr>
        <w:spacing w:after="120" w:line="360" w:lineRule="auto"/>
        <w:jc w:val="both"/>
        <w:rPr>
          <w:b/>
          <w:color w:val="000000"/>
        </w:rPr>
      </w:pPr>
      <w:r w:rsidRPr="00873C4C">
        <w:rPr>
          <w:b/>
          <w:color w:val="000000"/>
        </w:rPr>
        <w:t>IF YOU REQUIRE FURTHER INFORMATION</w:t>
      </w:r>
    </w:p>
    <w:p w:rsidR="002B362B" w:rsidRPr="00873C4C" w:rsidRDefault="002B362B" w:rsidP="00057B42">
      <w:pPr>
        <w:spacing w:after="120" w:line="360" w:lineRule="auto"/>
        <w:jc w:val="both"/>
        <w:rPr>
          <w:color w:val="000000"/>
        </w:rPr>
      </w:pPr>
      <w:r w:rsidRPr="00873C4C">
        <w:rPr>
          <w:color w:val="000000"/>
        </w:rPr>
        <w:t xml:space="preserve">If you have any further questions about the study or if you wish to withdraw from the study you may do so without justifying your decision and your future treatment will not be affected.  </w:t>
      </w:r>
    </w:p>
    <w:p w:rsidR="002B362B" w:rsidRPr="00873C4C" w:rsidRDefault="002B362B" w:rsidP="00057B42">
      <w:pPr>
        <w:spacing w:line="360" w:lineRule="auto"/>
        <w:ind w:right="-360"/>
        <w:jc w:val="both"/>
        <w:rPr>
          <w:color w:val="000000"/>
        </w:rPr>
      </w:pPr>
      <w:r w:rsidRPr="00873C4C">
        <w:rPr>
          <w:color w:val="000000"/>
        </w:rPr>
        <w:t xml:space="preserve">You can get more information or answers to your questions about the study, </w:t>
      </w:r>
    </w:p>
    <w:p w:rsidR="002B362B" w:rsidRPr="00873C4C" w:rsidRDefault="002B362B" w:rsidP="00057B42">
      <w:pPr>
        <w:spacing w:line="360" w:lineRule="auto"/>
        <w:ind w:right="-360"/>
        <w:jc w:val="both"/>
        <w:rPr>
          <w:color w:val="000000"/>
        </w:rPr>
      </w:pPr>
      <w:r w:rsidRPr="00873C4C">
        <w:rPr>
          <w:color w:val="000000"/>
        </w:rPr>
        <w:t xml:space="preserve">Your participation in the study, and your rights, from </w:t>
      </w:r>
      <w:r w:rsidRPr="00873C4C">
        <w:rPr>
          <w:b/>
          <w:color w:val="000000"/>
        </w:rPr>
        <w:t xml:space="preserve">Dr Peter O’Gorman </w:t>
      </w:r>
      <w:r w:rsidR="0010315E">
        <w:rPr>
          <w:b/>
          <w:color w:val="000000"/>
        </w:rPr>
        <w:t>and</w:t>
      </w:r>
      <w:r w:rsidRPr="00873C4C">
        <w:rPr>
          <w:b/>
          <w:color w:val="000000"/>
        </w:rPr>
        <w:t xml:space="preserve"> Dr Rajesh Rajpal who can be telephoned at 01 8034412</w:t>
      </w:r>
      <w:r w:rsidRPr="00873C4C">
        <w:rPr>
          <w:color w:val="000000"/>
        </w:rPr>
        <w:t xml:space="preserve"> .</w:t>
      </w:r>
    </w:p>
    <w:p w:rsidR="002B362B" w:rsidRPr="00873C4C" w:rsidRDefault="002B362B" w:rsidP="00057B42">
      <w:pPr>
        <w:spacing w:line="360" w:lineRule="auto"/>
        <w:ind w:right="-360"/>
        <w:jc w:val="both"/>
        <w:rPr>
          <w:color w:val="000000"/>
        </w:rPr>
      </w:pPr>
    </w:p>
    <w:p w:rsidR="002B362B" w:rsidRPr="00873C4C" w:rsidRDefault="002B362B" w:rsidP="00057B42">
      <w:pPr>
        <w:spacing w:line="360" w:lineRule="auto"/>
        <w:ind w:right="-360"/>
        <w:jc w:val="both"/>
        <w:rPr>
          <w:color w:val="000000"/>
        </w:rPr>
      </w:pPr>
      <w:r w:rsidRPr="00873C4C">
        <w:rPr>
          <w:color w:val="000000"/>
        </w:rPr>
        <w:t>If your doctor learns of important new information that might affect your desire to remain in the study, he will inform you of this.</w:t>
      </w:r>
    </w:p>
    <w:p w:rsidR="002B362B" w:rsidRPr="00873C4C" w:rsidRDefault="002B362B" w:rsidP="00057B42">
      <w:pPr>
        <w:spacing w:line="360" w:lineRule="auto"/>
        <w:rPr>
          <w:b/>
          <w:color w:val="000000"/>
          <w:sz w:val="28"/>
        </w:rPr>
      </w:pPr>
      <w:r w:rsidRPr="00873C4C">
        <w:rPr>
          <w:b/>
          <w:color w:val="000000"/>
          <w:sz w:val="28"/>
        </w:rPr>
        <w:lastRenderedPageBreak/>
        <w:t xml:space="preserve"> Consent Form</w:t>
      </w:r>
    </w:p>
    <w:p w:rsidR="002B362B" w:rsidRPr="00873C4C" w:rsidRDefault="002B362B" w:rsidP="00057B42">
      <w:pPr>
        <w:spacing w:line="360" w:lineRule="auto"/>
        <w:rPr>
          <w:color w:val="000000"/>
        </w:rPr>
      </w:pPr>
    </w:p>
    <w:p w:rsidR="002B362B" w:rsidRPr="00873C4C" w:rsidRDefault="002B362B" w:rsidP="00057B42">
      <w:pPr>
        <w:spacing w:line="360" w:lineRule="auto"/>
        <w:jc w:val="both"/>
        <w:rPr>
          <w:color w:val="000000"/>
        </w:rPr>
      </w:pPr>
      <w:r w:rsidRPr="00873C4C">
        <w:rPr>
          <w:b/>
          <w:color w:val="000000"/>
        </w:rPr>
        <w:t>Mater Misericordiae University Hospital Headed Paper:</w:t>
      </w:r>
    </w:p>
    <w:p w:rsidR="002B362B" w:rsidRPr="00873C4C" w:rsidRDefault="002B362B" w:rsidP="00057B42">
      <w:pPr>
        <w:spacing w:line="360" w:lineRule="auto"/>
        <w:ind w:right="-360"/>
        <w:jc w:val="both"/>
        <w:rPr>
          <w:color w:val="000000"/>
        </w:rPr>
      </w:pPr>
    </w:p>
    <w:p w:rsidR="002B362B" w:rsidRPr="00873C4C" w:rsidRDefault="002B362B" w:rsidP="00057B42">
      <w:pPr>
        <w:tabs>
          <w:tab w:val="left" w:pos="7088"/>
        </w:tabs>
        <w:spacing w:line="360" w:lineRule="auto"/>
        <w:jc w:val="both"/>
        <w:rPr>
          <w:rFonts w:eastAsia="Times New Roman"/>
          <w:b/>
          <w:bCs/>
          <w:i/>
          <w:iCs/>
          <w:color w:val="000000"/>
          <w:spacing w:val="10"/>
          <w:u w:val="single"/>
        </w:rPr>
      </w:pPr>
      <w:r w:rsidRPr="00873C4C">
        <w:rPr>
          <w:rFonts w:eastAsia="Times New Roman"/>
          <w:b/>
          <w:bCs/>
          <w:i/>
          <w:iCs/>
          <w:color w:val="000000"/>
          <w:spacing w:val="10"/>
          <w:u w:val="single"/>
        </w:rPr>
        <w:t>Consent Form for the collection of Bone marrow, Peripheral blood sample</w:t>
      </w:r>
    </w:p>
    <w:p w:rsidR="002B362B" w:rsidRPr="005B3F87" w:rsidRDefault="002B362B" w:rsidP="00057B42">
      <w:pPr>
        <w:spacing w:line="360" w:lineRule="auto"/>
        <w:jc w:val="both"/>
        <w:rPr>
          <w:b/>
        </w:rPr>
      </w:pPr>
      <w:bookmarkStart w:id="2231" w:name="_Toc306570832"/>
      <w:r w:rsidRPr="005B3F87">
        <w:rPr>
          <w:b/>
        </w:rPr>
        <w:t xml:space="preserve">Protocol title: RNA, Microarray </w:t>
      </w:r>
      <w:r w:rsidR="0010315E">
        <w:rPr>
          <w:b/>
        </w:rPr>
        <w:t>and</w:t>
      </w:r>
      <w:r w:rsidRPr="005B3F87">
        <w:rPr>
          <w:b/>
        </w:rPr>
        <w:t xml:space="preserve"> Proteomic analysis of bone marrow and peripheral blood from Multiple Myeloma patients to identify prognostic biomarkers, mechanism of drug Pharmacokinetics (Thalidomide </w:t>
      </w:r>
      <w:r w:rsidR="0010315E">
        <w:rPr>
          <w:b/>
        </w:rPr>
        <w:t>and</w:t>
      </w:r>
      <w:r w:rsidRPr="005B3F87">
        <w:rPr>
          <w:b/>
        </w:rPr>
        <w:t xml:space="preserve"> </w:t>
      </w:r>
      <w:r w:rsidR="004D56C5" w:rsidRPr="005B3F87">
        <w:rPr>
          <w:b/>
        </w:rPr>
        <w:t>lenalidomide</w:t>
      </w:r>
      <w:r w:rsidRPr="005B3F87">
        <w:rPr>
          <w:b/>
        </w:rPr>
        <w:t xml:space="preserve">), resistance </w:t>
      </w:r>
      <w:r w:rsidR="0010315E">
        <w:rPr>
          <w:b/>
        </w:rPr>
        <w:t>and</w:t>
      </w:r>
      <w:r w:rsidRPr="005B3F87">
        <w:rPr>
          <w:b/>
        </w:rPr>
        <w:t xml:space="preserve"> identify candidate genes central to Myelomagenesis</w:t>
      </w:r>
      <w:bookmarkEnd w:id="2231"/>
    </w:p>
    <w:p w:rsidR="002B362B" w:rsidRPr="00497BC1" w:rsidRDefault="002B362B" w:rsidP="00057B42">
      <w:pPr>
        <w:spacing w:line="360" w:lineRule="auto"/>
      </w:pPr>
    </w:p>
    <w:p w:rsidR="002B362B" w:rsidRPr="00497BC1" w:rsidRDefault="002B362B" w:rsidP="00057B42">
      <w:pPr>
        <w:spacing w:line="360" w:lineRule="auto"/>
      </w:pPr>
    </w:p>
    <w:p w:rsidR="00497BC1" w:rsidRPr="005B3F87" w:rsidRDefault="002B362B" w:rsidP="00057B42">
      <w:pPr>
        <w:spacing w:line="360" w:lineRule="auto"/>
        <w:rPr>
          <w:b/>
        </w:rPr>
      </w:pPr>
      <w:bookmarkStart w:id="2232" w:name="_Toc306570833"/>
      <w:r w:rsidRPr="005B3F87">
        <w:rPr>
          <w:b/>
        </w:rPr>
        <w:t>Please tick appropriate boxes Yes/No</w:t>
      </w:r>
      <w:bookmarkEnd w:id="2232"/>
    </w:p>
    <w:p w:rsidR="00F77A83" w:rsidRDefault="002B362B" w:rsidP="00057B42">
      <w:pPr>
        <w:spacing w:line="360" w:lineRule="auto"/>
      </w:pPr>
      <w:r w:rsidRPr="00497BC1">
        <w:t xml:space="preserve"> </w:t>
      </w:r>
    </w:p>
    <w:p w:rsidR="00F77A83" w:rsidRDefault="00F77A83" w:rsidP="00057B42">
      <w:pPr>
        <w:spacing w:line="360" w:lineRule="auto"/>
        <w:rPr>
          <w:rFonts w:eastAsia="Andale Sans UI"/>
          <w:color w:val="000000"/>
          <w:lang w:val="en-GB"/>
        </w:rPr>
      </w:pPr>
    </w:p>
    <w:p w:rsidR="00F77A83" w:rsidRDefault="00F77A83" w:rsidP="00057B42">
      <w:pPr>
        <w:spacing w:line="360" w:lineRule="auto"/>
        <w:rPr>
          <w:rFonts w:eastAsia="Andale Sans UI"/>
          <w:color w:val="000000"/>
          <w:lang w:val="en-GB"/>
        </w:rPr>
      </w:pPr>
    </w:p>
    <w:p w:rsidR="002B362B" w:rsidRPr="00F77A83" w:rsidRDefault="002B362B" w:rsidP="00057B42">
      <w:pPr>
        <w:spacing w:line="360" w:lineRule="auto"/>
      </w:pPr>
      <w:r w:rsidRPr="00873C4C">
        <w:rPr>
          <w:rFonts w:eastAsia="Andale Sans UI"/>
          <w:color w:val="000000"/>
          <w:lang w:val="en-GB"/>
        </w:rPr>
        <w:t xml:space="preserve">I am an adult taking part in this study                             </w:t>
      </w:r>
      <w:r w:rsidR="00F77A83">
        <w:rPr>
          <w:rFonts w:eastAsia="Andale Sans UI"/>
          <w:color w:val="000000"/>
          <w:lang w:val="en-GB"/>
        </w:rPr>
        <w:t xml:space="preserve">    </w:t>
      </w:r>
      <w:r w:rsidRPr="00873C4C">
        <w:rPr>
          <w:rFonts w:eastAsia="Andale Sans UI"/>
          <w:color w:val="000000"/>
          <w:lang w:val="en-GB"/>
        </w:rPr>
        <w:t>Yes</w:t>
      </w:r>
      <w:r w:rsidRPr="00873C4C">
        <w:rPr>
          <w:rFonts w:eastAsia="Andale Sans UI"/>
          <w:color w:val="000000"/>
          <w:lang w:val="en-GB"/>
        </w:rPr>
        <w:sym w:font="Symbol" w:char="F07F"/>
      </w:r>
      <w:r w:rsidRPr="00873C4C">
        <w:rPr>
          <w:rFonts w:eastAsia="Andale Sans UI"/>
          <w:color w:val="000000"/>
          <w:lang w:val="en-GB"/>
        </w:rPr>
        <w:tab/>
        <w:t xml:space="preserve">  No</w:t>
      </w:r>
      <w:r w:rsidRPr="00873C4C">
        <w:rPr>
          <w:rFonts w:eastAsia="Andale Sans UI"/>
          <w:color w:val="000000"/>
          <w:lang w:val="en-GB"/>
        </w:rPr>
        <w:tab/>
      </w:r>
      <w:r w:rsidRPr="00873C4C">
        <w:rPr>
          <w:rFonts w:eastAsia="Andale Sans UI"/>
          <w:color w:val="000000"/>
          <w:lang w:val="en-GB"/>
        </w:rPr>
        <w:sym w:font="Symbol" w:char="F07F"/>
      </w:r>
    </w:p>
    <w:p w:rsidR="002B362B" w:rsidRPr="00873C4C" w:rsidRDefault="002B362B" w:rsidP="00057B42">
      <w:pPr>
        <w:tabs>
          <w:tab w:val="left" w:pos="7088"/>
        </w:tabs>
        <w:spacing w:line="360" w:lineRule="auto"/>
        <w:jc w:val="both"/>
        <w:rPr>
          <w:color w:val="000000"/>
        </w:rPr>
      </w:pPr>
    </w:p>
    <w:p w:rsidR="002B362B" w:rsidRPr="00873C4C" w:rsidRDefault="002B362B" w:rsidP="00057B42">
      <w:pPr>
        <w:widowControl w:val="0"/>
        <w:numPr>
          <w:ilvl w:val="0"/>
          <w:numId w:val="4"/>
        </w:numPr>
        <w:tabs>
          <w:tab w:val="left" w:pos="7088"/>
        </w:tabs>
        <w:suppressAutoHyphens/>
        <w:spacing w:line="360" w:lineRule="auto"/>
        <w:jc w:val="both"/>
        <w:rPr>
          <w:color w:val="000000"/>
        </w:rPr>
      </w:pPr>
      <w:r w:rsidRPr="00873C4C">
        <w:rPr>
          <w:color w:val="000000"/>
        </w:rPr>
        <w:t xml:space="preserve">I have read the information leaflet about this research project, and have been given a copy to keep. The information has been fully explained to me and I have been able to ask questions. I understand why the research is being done and any risks involved. </w:t>
      </w:r>
    </w:p>
    <w:p w:rsidR="002B362B" w:rsidRPr="00873C4C" w:rsidRDefault="002B362B" w:rsidP="00057B42">
      <w:pPr>
        <w:widowControl w:val="0"/>
        <w:numPr>
          <w:ilvl w:val="0"/>
          <w:numId w:val="4"/>
        </w:numPr>
        <w:tabs>
          <w:tab w:val="left" w:pos="6096"/>
        </w:tabs>
        <w:suppressAutoHyphens/>
        <w:spacing w:line="360" w:lineRule="auto"/>
        <w:jc w:val="both"/>
        <w:rPr>
          <w:color w:val="000000"/>
        </w:rPr>
      </w:pPr>
      <w:r w:rsidRPr="00873C4C">
        <w:rPr>
          <w:color w:val="000000"/>
        </w:rPr>
        <w:t xml:space="preserve">                                                                                 </w:t>
      </w:r>
      <w:r w:rsidR="00497BC1">
        <w:rPr>
          <w:color w:val="000000"/>
        </w:rPr>
        <w:t xml:space="preserve">                   </w:t>
      </w:r>
      <w:r w:rsidRPr="00873C4C">
        <w:rPr>
          <w:color w:val="000000"/>
        </w:rPr>
        <w:t xml:space="preserve">Yes    </w:t>
      </w:r>
      <w:r w:rsidRPr="00873C4C">
        <w:rPr>
          <w:color w:val="000000"/>
        </w:rPr>
        <w:sym w:font="Symbol" w:char="F07F"/>
      </w:r>
      <w:r w:rsidRPr="00873C4C">
        <w:rPr>
          <w:color w:val="000000"/>
        </w:rPr>
        <w:t xml:space="preserve">    </w:t>
      </w:r>
      <w:r w:rsidR="00497BC1">
        <w:rPr>
          <w:color w:val="000000"/>
        </w:rPr>
        <w:t xml:space="preserve">       </w:t>
      </w:r>
      <w:r w:rsidRPr="00873C4C">
        <w:rPr>
          <w:color w:val="000000"/>
        </w:rPr>
        <w:t xml:space="preserve"> No </w:t>
      </w:r>
      <w:r w:rsidRPr="00873C4C">
        <w:rPr>
          <w:color w:val="000000"/>
        </w:rPr>
        <w:sym w:font="Symbol" w:char="F07F"/>
      </w:r>
    </w:p>
    <w:p w:rsidR="002B362B" w:rsidRPr="00873C4C" w:rsidRDefault="002B362B" w:rsidP="00057B42">
      <w:pPr>
        <w:tabs>
          <w:tab w:val="left" w:pos="7088"/>
        </w:tabs>
        <w:spacing w:line="360" w:lineRule="auto"/>
        <w:jc w:val="both"/>
        <w:rPr>
          <w:color w:val="000000"/>
        </w:rPr>
      </w:pPr>
    </w:p>
    <w:p w:rsidR="002B362B" w:rsidRPr="00873C4C" w:rsidRDefault="002B362B" w:rsidP="00057B42">
      <w:pPr>
        <w:widowControl w:val="0"/>
        <w:numPr>
          <w:ilvl w:val="0"/>
          <w:numId w:val="4"/>
        </w:numPr>
        <w:tabs>
          <w:tab w:val="left" w:pos="6804"/>
        </w:tabs>
        <w:suppressAutoHyphens/>
        <w:spacing w:line="360" w:lineRule="auto"/>
        <w:jc w:val="both"/>
        <w:rPr>
          <w:color w:val="000000"/>
        </w:rPr>
      </w:pPr>
      <w:r w:rsidRPr="00873C4C">
        <w:rPr>
          <w:color w:val="000000"/>
        </w:rPr>
        <w:t xml:space="preserve">I agree to donate a marrow, Peripheral blood sample for this research project. I understand that giving a sample for this research is voluntary and that I am free to withdraw my approval at any time without my medical treatment being affected.          </w:t>
      </w:r>
      <w:r w:rsidRPr="00873C4C">
        <w:rPr>
          <w:color w:val="000000"/>
        </w:rPr>
        <w:tab/>
        <w:t xml:space="preserve">Yes </w:t>
      </w:r>
      <w:r w:rsidRPr="00873C4C">
        <w:rPr>
          <w:color w:val="000000"/>
        </w:rPr>
        <w:sym w:font="Symbol" w:char="F07F"/>
      </w:r>
      <w:r w:rsidRPr="00873C4C">
        <w:rPr>
          <w:color w:val="000000"/>
        </w:rPr>
        <w:t xml:space="preserve">   No</w:t>
      </w:r>
      <w:r w:rsidRPr="00873C4C">
        <w:rPr>
          <w:color w:val="000000"/>
        </w:rPr>
        <w:tab/>
      </w:r>
      <w:r w:rsidRPr="00873C4C">
        <w:rPr>
          <w:color w:val="000000"/>
        </w:rPr>
        <w:sym w:font="Symbol" w:char="F07F"/>
      </w:r>
      <w:r w:rsidRPr="00873C4C">
        <w:rPr>
          <w:color w:val="000000"/>
        </w:rPr>
        <w:t xml:space="preserve"> </w:t>
      </w:r>
    </w:p>
    <w:p w:rsidR="002B362B" w:rsidRPr="00873C4C" w:rsidRDefault="002B362B" w:rsidP="00057B42">
      <w:pPr>
        <w:widowControl w:val="0"/>
        <w:numPr>
          <w:ilvl w:val="0"/>
          <w:numId w:val="4"/>
        </w:numPr>
        <w:tabs>
          <w:tab w:val="left" w:pos="7088"/>
        </w:tabs>
        <w:suppressAutoHyphens/>
        <w:spacing w:line="360" w:lineRule="auto"/>
        <w:jc w:val="both"/>
        <w:rPr>
          <w:color w:val="000000"/>
        </w:rPr>
      </w:pPr>
    </w:p>
    <w:p w:rsidR="002B362B" w:rsidRPr="00873C4C" w:rsidRDefault="002B362B" w:rsidP="00057B42">
      <w:pPr>
        <w:widowControl w:val="0"/>
        <w:numPr>
          <w:ilvl w:val="0"/>
          <w:numId w:val="4"/>
        </w:numPr>
        <w:tabs>
          <w:tab w:val="left" w:pos="7088"/>
        </w:tabs>
        <w:suppressAutoHyphens/>
        <w:spacing w:line="360" w:lineRule="auto"/>
        <w:jc w:val="both"/>
        <w:rPr>
          <w:color w:val="000000"/>
        </w:rPr>
      </w:pPr>
      <w:r w:rsidRPr="00873C4C">
        <w:rPr>
          <w:color w:val="000000"/>
        </w:rPr>
        <w:t xml:space="preserve">I give permission for medical research personnel to look at my medical records to obtain information. I have been assured that information about me will be kept confidential.  </w:t>
      </w:r>
      <w:r w:rsidRPr="00873C4C">
        <w:rPr>
          <w:color w:val="000000"/>
        </w:rPr>
        <w:tab/>
      </w:r>
    </w:p>
    <w:p w:rsidR="002B362B" w:rsidRPr="00873C4C" w:rsidRDefault="002B362B" w:rsidP="00057B42">
      <w:pPr>
        <w:widowControl w:val="0"/>
        <w:numPr>
          <w:ilvl w:val="0"/>
          <w:numId w:val="4"/>
        </w:numPr>
        <w:tabs>
          <w:tab w:val="left" w:pos="7088"/>
        </w:tabs>
        <w:suppressAutoHyphens/>
        <w:spacing w:line="360" w:lineRule="auto"/>
        <w:jc w:val="both"/>
        <w:rPr>
          <w:color w:val="000000"/>
        </w:rPr>
      </w:pPr>
      <w:r w:rsidRPr="00873C4C">
        <w:rPr>
          <w:color w:val="000000"/>
        </w:rPr>
        <w:t xml:space="preserve">                                                                                                    Yes</w:t>
      </w:r>
      <w:r w:rsidRPr="00873C4C">
        <w:rPr>
          <w:color w:val="000000"/>
        </w:rPr>
        <w:sym w:font="Symbol" w:char="F07F"/>
      </w:r>
      <w:r w:rsidRPr="00873C4C">
        <w:rPr>
          <w:color w:val="000000"/>
        </w:rPr>
        <w:t xml:space="preserve">              No </w:t>
      </w:r>
      <w:r w:rsidRPr="00873C4C">
        <w:rPr>
          <w:color w:val="000000"/>
        </w:rPr>
        <w:sym w:font="Symbol" w:char="F07F"/>
      </w:r>
    </w:p>
    <w:p w:rsidR="002B362B" w:rsidRPr="00873C4C" w:rsidRDefault="002B362B" w:rsidP="00057B42">
      <w:pPr>
        <w:widowControl w:val="0"/>
        <w:numPr>
          <w:ilvl w:val="0"/>
          <w:numId w:val="4"/>
        </w:numPr>
        <w:tabs>
          <w:tab w:val="left" w:pos="8364"/>
        </w:tabs>
        <w:suppressAutoHyphens/>
        <w:spacing w:line="360" w:lineRule="auto"/>
        <w:jc w:val="both"/>
        <w:rPr>
          <w:color w:val="000000"/>
        </w:rPr>
      </w:pPr>
      <w:r w:rsidRPr="00873C4C">
        <w:rPr>
          <w:color w:val="000000"/>
        </w:rPr>
        <w:t xml:space="preserve">I give permission for my Bone marrow, blood sample and information collected </w:t>
      </w:r>
      <w:r w:rsidRPr="00873C4C">
        <w:rPr>
          <w:color w:val="000000"/>
        </w:rPr>
        <w:lastRenderedPageBreak/>
        <w:t>from me to be stored indefinitely. However, any future studies on these sample should be referred to Mater Hospital Ethics Committee for review and approval                                                                      Yes</w:t>
      </w:r>
      <w:r w:rsidRPr="00873C4C">
        <w:rPr>
          <w:color w:val="000000"/>
        </w:rPr>
        <w:sym w:font="Symbol" w:char="F07F"/>
      </w:r>
      <w:r w:rsidRPr="00873C4C">
        <w:rPr>
          <w:color w:val="000000"/>
        </w:rPr>
        <w:t xml:space="preserve">     No</w:t>
      </w:r>
      <w:r w:rsidRPr="00873C4C">
        <w:rPr>
          <w:color w:val="000000"/>
        </w:rPr>
        <w:sym w:font="Symbol" w:char="F07F"/>
      </w:r>
    </w:p>
    <w:p w:rsidR="002B362B" w:rsidRPr="00873C4C" w:rsidRDefault="002B362B" w:rsidP="00057B42">
      <w:pPr>
        <w:tabs>
          <w:tab w:val="left" w:pos="7088"/>
        </w:tabs>
        <w:spacing w:line="360" w:lineRule="auto"/>
        <w:jc w:val="both"/>
        <w:rPr>
          <w:i/>
          <w:iCs/>
          <w:color w:val="000000"/>
        </w:rPr>
      </w:pPr>
    </w:p>
    <w:p w:rsidR="002B362B" w:rsidRPr="00873C4C" w:rsidRDefault="002B362B" w:rsidP="00057B42">
      <w:pPr>
        <w:tabs>
          <w:tab w:val="left" w:pos="7088"/>
        </w:tabs>
        <w:spacing w:line="360" w:lineRule="auto"/>
        <w:jc w:val="both"/>
        <w:rPr>
          <w:color w:val="000000"/>
        </w:rPr>
      </w:pPr>
    </w:p>
    <w:p w:rsidR="002B362B" w:rsidRPr="00873C4C" w:rsidRDefault="002B362B" w:rsidP="00057B42">
      <w:pPr>
        <w:tabs>
          <w:tab w:val="left" w:pos="7088"/>
        </w:tabs>
        <w:spacing w:line="360" w:lineRule="auto"/>
        <w:jc w:val="both"/>
        <w:rPr>
          <w:color w:val="000000"/>
        </w:rPr>
      </w:pPr>
      <w:r w:rsidRPr="00873C4C">
        <w:rPr>
          <w:color w:val="000000"/>
        </w:rPr>
        <w:t xml:space="preserve">Signed:............................................................................... Date:..................................................... </w:t>
      </w:r>
    </w:p>
    <w:p w:rsidR="002B362B" w:rsidRPr="00873C4C" w:rsidRDefault="002B362B" w:rsidP="00057B42">
      <w:pPr>
        <w:tabs>
          <w:tab w:val="left" w:pos="7088"/>
        </w:tabs>
        <w:spacing w:line="360" w:lineRule="auto"/>
        <w:jc w:val="both"/>
        <w:rPr>
          <w:color w:val="000000"/>
        </w:rPr>
      </w:pPr>
      <w:r w:rsidRPr="00873C4C">
        <w:rPr>
          <w:color w:val="000000"/>
        </w:rPr>
        <w:t>Name of research participant</w:t>
      </w:r>
    </w:p>
    <w:p w:rsidR="002B362B" w:rsidRPr="00873C4C" w:rsidRDefault="002B362B" w:rsidP="00057B42">
      <w:pPr>
        <w:tabs>
          <w:tab w:val="left" w:pos="7088"/>
        </w:tabs>
        <w:spacing w:line="360" w:lineRule="auto"/>
        <w:jc w:val="both"/>
        <w:rPr>
          <w:color w:val="000000"/>
        </w:rPr>
      </w:pPr>
    </w:p>
    <w:p w:rsidR="002B362B" w:rsidRPr="00873C4C" w:rsidRDefault="002B362B" w:rsidP="00057B42">
      <w:pPr>
        <w:tabs>
          <w:tab w:val="left" w:pos="7088"/>
        </w:tabs>
        <w:spacing w:line="360" w:lineRule="auto"/>
        <w:jc w:val="both"/>
        <w:rPr>
          <w:color w:val="000000"/>
        </w:rPr>
      </w:pPr>
    </w:p>
    <w:p w:rsidR="002B362B" w:rsidRPr="00873C4C" w:rsidRDefault="002B362B" w:rsidP="00057B42">
      <w:pPr>
        <w:tabs>
          <w:tab w:val="left" w:pos="7088"/>
        </w:tabs>
        <w:spacing w:line="360" w:lineRule="auto"/>
        <w:jc w:val="both"/>
        <w:rPr>
          <w:color w:val="000000"/>
        </w:rPr>
      </w:pPr>
      <w:r w:rsidRPr="00873C4C">
        <w:rPr>
          <w:color w:val="000000"/>
        </w:rPr>
        <w:t xml:space="preserve">Signed:............................................................................... Date:..................................................... </w:t>
      </w:r>
    </w:p>
    <w:p w:rsidR="002B362B" w:rsidRPr="00873C4C" w:rsidRDefault="002B362B" w:rsidP="00057B42">
      <w:pPr>
        <w:tabs>
          <w:tab w:val="left" w:pos="7088"/>
        </w:tabs>
        <w:spacing w:line="360" w:lineRule="auto"/>
        <w:jc w:val="both"/>
        <w:rPr>
          <w:color w:val="000000"/>
        </w:rPr>
      </w:pPr>
      <w:r w:rsidRPr="00873C4C">
        <w:rPr>
          <w:color w:val="000000"/>
        </w:rPr>
        <w:t>Name of person taking consent</w:t>
      </w:r>
    </w:p>
    <w:p w:rsidR="002B362B" w:rsidRPr="00873C4C" w:rsidRDefault="002B362B" w:rsidP="00057B42">
      <w:pPr>
        <w:spacing w:line="360" w:lineRule="auto"/>
        <w:jc w:val="both"/>
        <w:rPr>
          <w:b/>
          <w:color w:val="000000"/>
        </w:rPr>
      </w:pPr>
    </w:p>
    <w:p w:rsidR="002B362B" w:rsidRPr="00873C4C" w:rsidRDefault="002B362B" w:rsidP="00057B42">
      <w:pPr>
        <w:spacing w:line="360" w:lineRule="auto"/>
        <w:jc w:val="both"/>
        <w:rPr>
          <w:b/>
          <w:color w:val="000000"/>
        </w:rPr>
      </w:pPr>
    </w:p>
    <w:p w:rsidR="00C46C49" w:rsidRDefault="00C46C49" w:rsidP="00057B42">
      <w:pPr>
        <w:spacing w:line="360" w:lineRule="auto"/>
        <w:rPr>
          <w:b/>
          <w:color w:val="000000"/>
        </w:rPr>
      </w:pPr>
      <w:r>
        <w:rPr>
          <w:b/>
          <w:color w:val="000000"/>
        </w:rPr>
        <w:br w:type="page"/>
      </w:r>
    </w:p>
    <w:p w:rsidR="002B362B" w:rsidRPr="00873C4C" w:rsidRDefault="002B362B" w:rsidP="00057B42">
      <w:pPr>
        <w:spacing w:line="360" w:lineRule="auto"/>
        <w:rPr>
          <w:b/>
          <w:color w:val="000000"/>
          <w:sz w:val="28"/>
        </w:rPr>
      </w:pPr>
      <w:r w:rsidRPr="00873C4C">
        <w:rPr>
          <w:b/>
          <w:color w:val="000000"/>
          <w:sz w:val="28"/>
        </w:rPr>
        <w:lastRenderedPageBreak/>
        <w:t>Standard Letter to Patients General Practitioner (GP)</w:t>
      </w:r>
    </w:p>
    <w:p w:rsidR="002B362B" w:rsidRPr="00873C4C" w:rsidRDefault="002B362B" w:rsidP="00057B42">
      <w:pPr>
        <w:spacing w:line="360" w:lineRule="auto"/>
        <w:rPr>
          <w:b/>
          <w:color w:val="000000"/>
          <w:sz w:val="28"/>
        </w:rPr>
      </w:pPr>
    </w:p>
    <w:p w:rsidR="002B362B" w:rsidRPr="00873C4C" w:rsidRDefault="002B362B" w:rsidP="00057B42">
      <w:pPr>
        <w:spacing w:line="360" w:lineRule="auto"/>
        <w:jc w:val="both"/>
        <w:rPr>
          <w:b/>
          <w:color w:val="000000"/>
        </w:rPr>
      </w:pPr>
      <w:r w:rsidRPr="00873C4C">
        <w:rPr>
          <w:b/>
          <w:color w:val="000000"/>
        </w:rPr>
        <w:t>Mater Misericordiae University Hospital Headed Paper</w:t>
      </w:r>
    </w:p>
    <w:p w:rsidR="002B362B" w:rsidRPr="00873C4C" w:rsidRDefault="002B362B" w:rsidP="00057B42">
      <w:pPr>
        <w:spacing w:line="360" w:lineRule="auto"/>
        <w:jc w:val="both"/>
        <w:rPr>
          <w:b/>
          <w:color w:val="000000"/>
          <w:u w:val="single"/>
        </w:rPr>
      </w:pPr>
    </w:p>
    <w:p w:rsidR="002B362B" w:rsidRPr="00873C4C" w:rsidRDefault="002B362B" w:rsidP="00057B42">
      <w:pPr>
        <w:spacing w:line="360" w:lineRule="auto"/>
        <w:jc w:val="both"/>
        <w:rPr>
          <w:color w:val="000000"/>
        </w:rPr>
      </w:pPr>
      <w:r w:rsidRPr="00873C4C">
        <w:rPr>
          <w:color w:val="000000"/>
        </w:rPr>
        <w:t xml:space="preserve">Dr. </w:t>
      </w:r>
    </w:p>
    <w:p w:rsidR="002B362B" w:rsidRPr="00873C4C" w:rsidRDefault="002B362B" w:rsidP="00057B42">
      <w:pPr>
        <w:spacing w:line="360" w:lineRule="auto"/>
        <w:jc w:val="both"/>
        <w:rPr>
          <w:color w:val="000000"/>
        </w:rPr>
      </w:pPr>
      <w:r w:rsidRPr="00873C4C">
        <w:rPr>
          <w:color w:val="000000"/>
        </w:rPr>
        <w:t>Address</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b/>
          <w:color w:val="000000"/>
        </w:rPr>
      </w:pPr>
      <w:r w:rsidRPr="00873C4C">
        <w:rPr>
          <w:b/>
          <w:color w:val="000000"/>
        </w:rPr>
        <w:t>Re:  Participant’s Name and address</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Dear Dr…………………..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rFonts w:eastAsia="Times New Roman"/>
          <w:color w:val="000000"/>
          <w:lang w:val="en-GB" w:eastAsia="en-US"/>
        </w:rPr>
      </w:pPr>
      <w:r w:rsidRPr="00873C4C">
        <w:rPr>
          <w:rFonts w:eastAsia="Times New Roman"/>
          <w:color w:val="000000"/>
          <w:lang w:eastAsia="en-US"/>
        </w:rPr>
        <w:t xml:space="preserve">We are conducting a study to </w:t>
      </w:r>
      <w:r w:rsidRPr="00873C4C">
        <w:rPr>
          <w:rFonts w:eastAsia="Times New Roman"/>
          <w:color w:val="000000"/>
          <w:lang w:val="en-GB" w:eastAsia="en-US"/>
        </w:rPr>
        <w:t xml:space="preserve">analyse bone marrow, and peripheral blood </w:t>
      </w:r>
      <w:r w:rsidR="0010315E">
        <w:rPr>
          <w:rFonts w:eastAsia="Times New Roman"/>
          <w:color w:val="000000"/>
          <w:lang w:val="en-GB" w:eastAsia="en-US"/>
        </w:rPr>
        <w:t>and</w:t>
      </w:r>
      <w:r w:rsidRPr="00873C4C">
        <w:rPr>
          <w:rFonts w:eastAsia="Times New Roman"/>
          <w:color w:val="000000"/>
          <w:lang w:val="en-GB" w:eastAsia="en-US"/>
        </w:rPr>
        <w:t xml:space="preserve"> sample from patients to establish a Biological bank. </w:t>
      </w:r>
    </w:p>
    <w:p w:rsidR="002B362B" w:rsidRPr="00873C4C" w:rsidRDefault="002B362B" w:rsidP="00057B42">
      <w:pPr>
        <w:keepNext/>
        <w:tabs>
          <w:tab w:val="left" w:pos="426"/>
          <w:tab w:val="left" w:pos="7938"/>
        </w:tabs>
        <w:spacing w:line="360" w:lineRule="auto"/>
        <w:jc w:val="both"/>
        <w:rPr>
          <w:rFonts w:eastAsia="Times New Roman"/>
          <w:color w:val="000000"/>
          <w:lang w:val="en-US" w:eastAsia="en-US"/>
        </w:rPr>
      </w:pPr>
    </w:p>
    <w:p w:rsidR="002B362B" w:rsidRPr="00873C4C" w:rsidRDefault="002B362B" w:rsidP="00057B42">
      <w:pPr>
        <w:keepNext/>
        <w:tabs>
          <w:tab w:val="left" w:pos="426"/>
          <w:tab w:val="left" w:pos="7938"/>
        </w:tabs>
        <w:spacing w:line="360" w:lineRule="auto"/>
        <w:jc w:val="both"/>
        <w:rPr>
          <w:rFonts w:eastAsia="Times New Roman"/>
          <w:color w:val="000000"/>
          <w:lang w:val="en-US" w:eastAsia="en-US"/>
        </w:rPr>
      </w:pPr>
      <w:r w:rsidRPr="00873C4C">
        <w:rPr>
          <w:rFonts w:eastAsia="Times New Roman"/>
          <w:color w:val="000000"/>
          <w:lang w:val="en-US" w:eastAsia="en-US"/>
        </w:rPr>
        <w:t xml:space="preserve"> Although genetic screening studies have provided some insight into the pathogenesis that underlies Multiple Myeloma, (MM) the full landscape of genomic events driving cancer initiation, progression, and response to treatment have remained hidden.  </w:t>
      </w:r>
    </w:p>
    <w:p w:rsidR="002B362B" w:rsidRPr="00873C4C" w:rsidRDefault="002B362B" w:rsidP="00057B42">
      <w:pPr>
        <w:keepNext/>
        <w:tabs>
          <w:tab w:val="left" w:pos="426"/>
          <w:tab w:val="left" w:pos="7938"/>
        </w:tabs>
        <w:spacing w:line="360" w:lineRule="auto"/>
        <w:jc w:val="both"/>
        <w:rPr>
          <w:rFonts w:eastAsia="Times New Roman"/>
          <w:color w:val="000000"/>
          <w:lang w:val="en-US" w:eastAsia="en-US"/>
        </w:rPr>
      </w:pPr>
    </w:p>
    <w:p w:rsidR="002B362B" w:rsidRPr="00873C4C" w:rsidRDefault="002B362B" w:rsidP="00057B42">
      <w:pPr>
        <w:keepNext/>
        <w:tabs>
          <w:tab w:val="left" w:pos="426"/>
          <w:tab w:val="left" w:pos="7938"/>
        </w:tabs>
        <w:spacing w:line="360" w:lineRule="auto"/>
        <w:jc w:val="both"/>
        <w:rPr>
          <w:rFonts w:eastAsia="Times New Roman"/>
          <w:color w:val="000000"/>
          <w:lang w:val="en-US" w:eastAsia="en-US"/>
        </w:rPr>
      </w:pPr>
      <w:r w:rsidRPr="00873C4C">
        <w:rPr>
          <w:rFonts w:eastAsia="Times New Roman"/>
          <w:color w:val="000000"/>
          <w:lang w:val="en-US" w:eastAsia="en-US"/>
        </w:rPr>
        <w:t xml:space="preserve">Future translational research in MM will focus on the development of molecular based combination therapies to achieve durable responses in the majority of patients. It may also help to define new subgroups of myeloma in term of genetic / prognostic markers and clinical outcomes secondly ex-vivo </w:t>
      </w:r>
      <w:r w:rsidR="004D56C5" w:rsidRPr="00873C4C">
        <w:rPr>
          <w:rFonts w:eastAsia="Times New Roman"/>
          <w:color w:val="000000"/>
          <w:lang w:val="en-US" w:eastAsia="en-US"/>
        </w:rPr>
        <w:t>erythropoiesis</w:t>
      </w:r>
      <w:r w:rsidRPr="00873C4C">
        <w:rPr>
          <w:rFonts w:eastAsia="Times New Roman"/>
          <w:color w:val="000000"/>
          <w:lang w:val="en-US" w:eastAsia="en-US"/>
        </w:rPr>
        <w:t xml:space="preserve"> using hematopoietic stem cells, the objective of this process is to provide blood of rare blood group and perhaps replace the complete reliance on volunteer blood donations in the future.  </w:t>
      </w:r>
    </w:p>
    <w:p w:rsidR="002B362B" w:rsidRPr="00873C4C" w:rsidRDefault="002B362B" w:rsidP="00057B42">
      <w:pPr>
        <w:tabs>
          <w:tab w:val="left" w:pos="6870"/>
        </w:tabs>
        <w:spacing w:line="360" w:lineRule="auto"/>
        <w:jc w:val="both"/>
        <w:rPr>
          <w:color w:val="000000"/>
        </w:rPr>
      </w:pPr>
    </w:p>
    <w:p w:rsidR="005B3F87" w:rsidRDefault="002B362B" w:rsidP="00057B42">
      <w:pPr>
        <w:spacing w:line="360" w:lineRule="auto"/>
        <w:jc w:val="both"/>
        <w:rPr>
          <w:b/>
          <w:bCs/>
          <w:color w:val="000000"/>
        </w:rPr>
      </w:pPr>
      <w:r w:rsidRPr="00873C4C">
        <w:rPr>
          <w:color w:val="000000"/>
        </w:rPr>
        <w:t>Your (Participant’s patient name) has been recruited to the study.  The details are as follows:</w:t>
      </w:r>
      <w:r w:rsidR="005B3F87">
        <w:rPr>
          <w:color w:val="000000"/>
        </w:rPr>
        <w:t xml:space="preserve"> </w:t>
      </w:r>
    </w:p>
    <w:p w:rsidR="005B3F87" w:rsidRDefault="005B3F87" w:rsidP="00057B42">
      <w:pPr>
        <w:spacing w:line="360" w:lineRule="auto"/>
        <w:rPr>
          <w:b/>
          <w:bCs/>
          <w:color w:val="000000"/>
        </w:rPr>
      </w:pPr>
    </w:p>
    <w:p w:rsidR="005B3F87" w:rsidRDefault="005B3F87" w:rsidP="00057B42">
      <w:pPr>
        <w:spacing w:line="360" w:lineRule="auto"/>
        <w:rPr>
          <w:b/>
          <w:bCs/>
          <w:color w:val="000000"/>
        </w:rPr>
      </w:pPr>
    </w:p>
    <w:p w:rsidR="001E3EC1" w:rsidRDefault="001E3EC1" w:rsidP="00057B42">
      <w:pPr>
        <w:spacing w:line="360" w:lineRule="auto"/>
        <w:rPr>
          <w:b/>
          <w:bCs/>
          <w:color w:val="000000"/>
        </w:rPr>
      </w:pPr>
    </w:p>
    <w:p w:rsidR="001E3EC1" w:rsidRDefault="001E3EC1" w:rsidP="00057B42">
      <w:pPr>
        <w:spacing w:line="360" w:lineRule="auto"/>
        <w:rPr>
          <w:b/>
          <w:bCs/>
          <w:color w:val="000000"/>
        </w:rPr>
      </w:pPr>
    </w:p>
    <w:p w:rsidR="001E3EC1" w:rsidRDefault="001E3EC1" w:rsidP="00057B42">
      <w:pPr>
        <w:spacing w:line="360" w:lineRule="auto"/>
        <w:rPr>
          <w:b/>
          <w:bCs/>
          <w:color w:val="000000"/>
        </w:rPr>
      </w:pPr>
    </w:p>
    <w:p w:rsidR="002B362B" w:rsidRPr="00873C4C" w:rsidRDefault="002B362B" w:rsidP="00057B42">
      <w:pPr>
        <w:pBdr>
          <w:bottom w:val="single" w:sz="12" w:space="1" w:color="auto"/>
        </w:pBdr>
        <w:spacing w:line="360" w:lineRule="auto"/>
        <w:jc w:val="both"/>
        <w:rPr>
          <w:b/>
          <w:bCs/>
          <w:color w:val="000000"/>
        </w:rPr>
      </w:pPr>
      <w:r w:rsidRPr="00873C4C">
        <w:rPr>
          <w:b/>
          <w:bCs/>
          <w:color w:val="000000"/>
        </w:rPr>
        <w:lastRenderedPageBreak/>
        <w:t xml:space="preserve">Title of the study:  </w:t>
      </w:r>
    </w:p>
    <w:p w:rsidR="003818B7" w:rsidRPr="00497BC1" w:rsidRDefault="003818B7" w:rsidP="00057B42">
      <w:pPr>
        <w:spacing w:line="360" w:lineRule="auto"/>
      </w:pPr>
      <w:bookmarkStart w:id="2233" w:name="_Toc306570834"/>
    </w:p>
    <w:p w:rsidR="002B362B" w:rsidRPr="005B3F87" w:rsidRDefault="002B362B" w:rsidP="00057B42">
      <w:pPr>
        <w:spacing w:line="360" w:lineRule="auto"/>
        <w:jc w:val="both"/>
        <w:rPr>
          <w:b/>
        </w:rPr>
      </w:pPr>
      <w:r w:rsidRPr="005B3F87">
        <w:rPr>
          <w:b/>
        </w:rPr>
        <w:t xml:space="preserve">Protocol title: RNA, Microarray </w:t>
      </w:r>
      <w:r w:rsidR="0010315E">
        <w:rPr>
          <w:b/>
        </w:rPr>
        <w:t>and</w:t>
      </w:r>
      <w:r w:rsidRPr="005B3F87">
        <w:rPr>
          <w:b/>
        </w:rPr>
        <w:t xml:space="preserve"> Proteomic analysis of bone marrow and peripheral blood from Multiple Myeloma patients to identify prognostic biomarkers, mechanism of drug P</w:t>
      </w:r>
      <w:r w:rsidR="00861C20">
        <w:rPr>
          <w:b/>
        </w:rPr>
        <w:t xml:space="preserve">harmacokinetics (Thalidomide </w:t>
      </w:r>
      <w:r w:rsidR="0010315E">
        <w:rPr>
          <w:b/>
        </w:rPr>
        <w:t>and</w:t>
      </w:r>
      <w:r w:rsidR="00861C20">
        <w:rPr>
          <w:b/>
        </w:rPr>
        <w:t xml:space="preserve"> L</w:t>
      </w:r>
      <w:r w:rsidR="00861C20" w:rsidRPr="005B3F87">
        <w:rPr>
          <w:b/>
        </w:rPr>
        <w:t>enalidomide</w:t>
      </w:r>
      <w:r w:rsidRPr="005B3F87">
        <w:rPr>
          <w:b/>
        </w:rPr>
        <w:t xml:space="preserve">), resistance </w:t>
      </w:r>
      <w:r w:rsidR="0010315E">
        <w:rPr>
          <w:b/>
        </w:rPr>
        <w:t>and</w:t>
      </w:r>
      <w:r w:rsidRPr="005B3F87">
        <w:rPr>
          <w:b/>
        </w:rPr>
        <w:t xml:space="preserve"> identify candidate genes central to Myelomagenesis</w:t>
      </w:r>
      <w:bookmarkEnd w:id="2233"/>
      <w:r w:rsidR="00861C20">
        <w:rPr>
          <w:b/>
        </w:rPr>
        <w:t>.</w:t>
      </w:r>
    </w:p>
    <w:p w:rsidR="003818B7" w:rsidRPr="003818B7" w:rsidRDefault="003818B7" w:rsidP="00057B42">
      <w:pPr>
        <w:spacing w:line="360" w:lineRule="auto"/>
        <w:rPr>
          <w:lang w:eastAsia="en-US"/>
        </w:rPr>
      </w:pPr>
      <w:r w:rsidRPr="003818B7">
        <w:rPr>
          <w:lang w:eastAsia="en-US"/>
        </w:rPr>
        <w:t>____________________________________________________________________</w:t>
      </w:r>
    </w:p>
    <w:p w:rsidR="003818B7" w:rsidRPr="005B3F87" w:rsidRDefault="003818B7" w:rsidP="00057B42">
      <w:pPr>
        <w:spacing w:line="360" w:lineRule="auto"/>
      </w:pPr>
    </w:p>
    <w:p w:rsidR="002B362B" w:rsidRPr="00873C4C" w:rsidRDefault="002B362B" w:rsidP="00057B42">
      <w:pPr>
        <w:tabs>
          <w:tab w:val="left" w:pos="4678"/>
        </w:tabs>
        <w:spacing w:line="360" w:lineRule="auto"/>
        <w:jc w:val="both"/>
        <w:rPr>
          <w:b/>
          <w:color w:val="000000"/>
        </w:rPr>
      </w:pPr>
    </w:p>
    <w:p w:rsidR="002B362B" w:rsidRPr="00873C4C" w:rsidRDefault="002B362B" w:rsidP="00057B42">
      <w:pPr>
        <w:tabs>
          <w:tab w:val="left" w:pos="4678"/>
        </w:tabs>
        <w:spacing w:line="360" w:lineRule="auto"/>
        <w:jc w:val="both"/>
        <w:rPr>
          <w:b/>
          <w:color w:val="000000"/>
        </w:rPr>
      </w:pPr>
      <w:r w:rsidRPr="00873C4C">
        <w:rPr>
          <w:b/>
          <w:color w:val="000000"/>
        </w:rPr>
        <w:t xml:space="preserve">Principal Investigator’s Name: </w:t>
      </w:r>
      <w:r w:rsidRPr="00873C4C">
        <w:rPr>
          <w:color w:val="000000"/>
        </w:rPr>
        <w:t xml:space="preserve"> Dr. Peter O’Gorman</w:t>
      </w:r>
    </w:p>
    <w:p w:rsidR="002B362B" w:rsidRPr="00873C4C" w:rsidRDefault="002B362B" w:rsidP="00057B42">
      <w:pPr>
        <w:spacing w:line="360" w:lineRule="auto"/>
        <w:jc w:val="both"/>
        <w:rPr>
          <w:color w:val="000000"/>
        </w:rPr>
      </w:pPr>
      <w:r w:rsidRPr="00873C4C">
        <w:rPr>
          <w:b/>
          <w:bCs/>
          <w:color w:val="000000"/>
        </w:rPr>
        <w:t xml:space="preserve">Co-Investigators: </w:t>
      </w:r>
      <w:r w:rsidRPr="00873C4C">
        <w:rPr>
          <w:color w:val="000000"/>
        </w:rPr>
        <w:t>Dr Rajesh Rajpal</w:t>
      </w:r>
    </w:p>
    <w:p w:rsidR="002B362B" w:rsidRPr="00873C4C" w:rsidRDefault="002B362B" w:rsidP="00057B42">
      <w:pPr>
        <w:spacing w:line="360" w:lineRule="auto"/>
        <w:ind w:right="-360"/>
        <w:jc w:val="both"/>
        <w:rPr>
          <w:b/>
          <w:bCs/>
          <w:color w:val="000000"/>
        </w:rPr>
      </w:pPr>
    </w:p>
    <w:p w:rsidR="002B362B" w:rsidRPr="00873C4C" w:rsidRDefault="002B362B" w:rsidP="00057B42">
      <w:pPr>
        <w:spacing w:line="360" w:lineRule="auto"/>
        <w:ind w:right="-360"/>
        <w:jc w:val="both"/>
        <w:rPr>
          <w:b/>
          <w:bCs/>
          <w:color w:val="000000"/>
        </w:rPr>
      </w:pPr>
      <w:r w:rsidRPr="00873C4C">
        <w:rPr>
          <w:b/>
          <w:bCs/>
          <w:color w:val="000000"/>
        </w:rPr>
        <w:t xml:space="preserve">What it involves for your patient? </w:t>
      </w:r>
    </w:p>
    <w:p w:rsidR="002B362B" w:rsidRPr="00873C4C" w:rsidRDefault="002B362B" w:rsidP="00057B42">
      <w:pPr>
        <w:spacing w:line="360" w:lineRule="auto"/>
        <w:ind w:right="-360"/>
        <w:jc w:val="both"/>
        <w:rPr>
          <w:color w:val="000000"/>
        </w:rPr>
      </w:pPr>
    </w:p>
    <w:p w:rsidR="002B362B" w:rsidRPr="00873C4C" w:rsidRDefault="002B362B" w:rsidP="00057B42">
      <w:pPr>
        <w:spacing w:line="360" w:lineRule="auto"/>
        <w:ind w:right="-360"/>
        <w:jc w:val="both"/>
        <w:rPr>
          <w:color w:val="000000"/>
        </w:rPr>
      </w:pPr>
      <w:r w:rsidRPr="00873C4C">
        <w:rPr>
          <w:color w:val="000000"/>
        </w:rPr>
        <w:t xml:space="preserve">Patients participating in the study would be required to give samples as follows: 5-10 ml of peripheral blood, 5-10 ml of bone marrow. These samples will be taken </w:t>
      </w:r>
      <w:r w:rsidRPr="00873C4C">
        <w:rPr>
          <w:color w:val="000000"/>
          <w:u w:val="single"/>
        </w:rPr>
        <w:t>only</w:t>
      </w:r>
      <w:r w:rsidRPr="00873C4C">
        <w:rPr>
          <w:color w:val="000000"/>
        </w:rPr>
        <w:t xml:space="preserve"> when the patient is having </w:t>
      </w:r>
      <w:r w:rsidRPr="00873C4C">
        <w:rPr>
          <w:color w:val="000000"/>
          <w:u w:val="single"/>
        </w:rPr>
        <w:t>routine diagnostic and follow up tests</w:t>
      </w:r>
      <w:r w:rsidRPr="00873C4C">
        <w:rPr>
          <w:color w:val="000000"/>
        </w:rPr>
        <w:t xml:space="preserve">. No additional procedures will be performed, nor will the study necessitate any additional hospital attendances. </w:t>
      </w:r>
    </w:p>
    <w:p w:rsidR="002B362B" w:rsidRPr="00873C4C" w:rsidRDefault="002B362B" w:rsidP="00057B42">
      <w:pPr>
        <w:spacing w:line="360" w:lineRule="auto"/>
        <w:jc w:val="both"/>
        <w:rPr>
          <w:color w:val="000000"/>
        </w:rPr>
      </w:pPr>
    </w:p>
    <w:p w:rsidR="003818B7" w:rsidRDefault="003818B7" w:rsidP="00057B42">
      <w:pPr>
        <w:spacing w:line="360" w:lineRule="auto"/>
        <w:jc w:val="both"/>
        <w:rPr>
          <w:color w:val="000000"/>
        </w:rPr>
      </w:pPr>
    </w:p>
    <w:p w:rsidR="003818B7" w:rsidRDefault="003818B7" w:rsidP="00057B42">
      <w:pPr>
        <w:spacing w:line="360" w:lineRule="auto"/>
        <w:jc w:val="both"/>
        <w:rPr>
          <w:color w:val="000000"/>
        </w:rPr>
      </w:pPr>
    </w:p>
    <w:p w:rsidR="003818B7" w:rsidRDefault="003818B7" w:rsidP="00057B42">
      <w:pPr>
        <w:spacing w:line="360" w:lineRule="auto"/>
        <w:jc w:val="both"/>
        <w:rPr>
          <w:color w:val="000000"/>
        </w:rPr>
      </w:pPr>
    </w:p>
    <w:p w:rsidR="003818B7" w:rsidRDefault="003818B7"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Should you have any queries, I can be contacted at 01804412. </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Yours sincerely,</w:t>
      </w:r>
    </w:p>
    <w:p w:rsidR="002B362B" w:rsidRPr="00873C4C" w:rsidRDefault="002B362B" w:rsidP="00057B42">
      <w:pPr>
        <w:spacing w:line="360" w:lineRule="auto"/>
        <w:jc w:val="both"/>
        <w:rPr>
          <w:color w:val="000000"/>
        </w:rPr>
      </w:pPr>
    </w:p>
    <w:p w:rsidR="002B362B" w:rsidRPr="00873C4C" w:rsidRDefault="002B362B" w:rsidP="00057B42">
      <w:pPr>
        <w:spacing w:line="360" w:lineRule="auto"/>
        <w:jc w:val="both"/>
        <w:rPr>
          <w:color w:val="000000"/>
        </w:rPr>
      </w:pPr>
      <w:r w:rsidRPr="00873C4C">
        <w:rPr>
          <w:color w:val="000000"/>
        </w:rPr>
        <w:t xml:space="preserve">Dr. Peter O’Gorman, </w:t>
      </w:r>
      <w:r w:rsidRPr="00873C4C">
        <w:rPr>
          <w:color w:val="000000"/>
        </w:rPr>
        <w:tab/>
      </w:r>
      <w:r w:rsidRPr="00873C4C">
        <w:rPr>
          <w:color w:val="000000"/>
        </w:rPr>
        <w:tab/>
      </w:r>
      <w:r w:rsidRPr="00873C4C">
        <w:rPr>
          <w:color w:val="000000"/>
        </w:rPr>
        <w:tab/>
      </w:r>
      <w:r w:rsidRPr="00873C4C">
        <w:rPr>
          <w:color w:val="000000"/>
        </w:rPr>
        <w:tab/>
        <w:t xml:space="preserve">         Dr. Rajesh Rajpal</w:t>
      </w:r>
    </w:p>
    <w:p w:rsidR="002B362B" w:rsidRPr="00873C4C" w:rsidRDefault="002B362B" w:rsidP="00057B42">
      <w:pPr>
        <w:spacing w:line="360" w:lineRule="auto"/>
        <w:jc w:val="both"/>
        <w:rPr>
          <w:color w:val="000000"/>
        </w:rPr>
      </w:pPr>
      <w:r w:rsidRPr="00873C4C">
        <w:rPr>
          <w:color w:val="000000"/>
        </w:rPr>
        <w:t xml:space="preserve">Consultant Haematologist,                                      Research Specialist Registrar, </w:t>
      </w:r>
    </w:p>
    <w:p w:rsidR="002B362B" w:rsidRDefault="002B362B" w:rsidP="00057B42">
      <w:pPr>
        <w:spacing w:line="360" w:lineRule="auto"/>
        <w:jc w:val="both"/>
        <w:rPr>
          <w:color w:val="000000"/>
        </w:rPr>
      </w:pPr>
      <w:r w:rsidRPr="00873C4C">
        <w:rPr>
          <w:color w:val="000000"/>
        </w:rPr>
        <w:t xml:space="preserve">Mater Misericordiae Hospital, </w:t>
      </w:r>
      <w:r w:rsidR="004D56C5" w:rsidRPr="00873C4C">
        <w:rPr>
          <w:color w:val="000000"/>
        </w:rPr>
        <w:t>Dublin</w:t>
      </w:r>
      <w:r w:rsidR="004D56C5">
        <w:rPr>
          <w:color w:val="000000"/>
        </w:rPr>
        <w:t xml:space="preserve"> </w:t>
      </w:r>
      <w:r w:rsidR="004D56C5" w:rsidRPr="00873C4C">
        <w:rPr>
          <w:color w:val="000000"/>
        </w:rPr>
        <w:t>7</w:t>
      </w:r>
      <w:r w:rsidRPr="00873C4C">
        <w:rPr>
          <w:color w:val="000000"/>
        </w:rPr>
        <w:t xml:space="preserve">.                 Mater Misericordiae Hospital </w:t>
      </w:r>
    </w:p>
    <w:p w:rsidR="004A3DC1" w:rsidRDefault="004A3DC1" w:rsidP="00057B42">
      <w:pPr>
        <w:spacing w:line="360" w:lineRule="auto"/>
        <w:rPr>
          <w:color w:val="000000"/>
        </w:rPr>
      </w:pPr>
      <w:r>
        <w:rPr>
          <w:color w:val="000000"/>
        </w:rPr>
        <w:br w:type="page"/>
      </w:r>
    </w:p>
    <w:p w:rsidR="004A3DC1" w:rsidRDefault="004A3DC1" w:rsidP="00645687">
      <w:pPr>
        <w:pStyle w:val="Heading2"/>
      </w:pPr>
      <w:bookmarkStart w:id="2234" w:name="_Toc312169465"/>
      <w:bookmarkStart w:id="2235" w:name="_Toc312172392"/>
      <w:bookmarkStart w:id="2236" w:name="_Toc312257941"/>
      <w:r>
        <w:lastRenderedPageBreak/>
        <w:t>Publication and Presentations</w:t>
      </w:r>
      <w:bookmarkEnd w:id="2234"/>
      <w:bookmarkEnd w:id="2235"/>
      <w:bookmarkEnd w:id="2236"/>
    </w:p>
    <w:p w:rsidR="006652AB" w:rsidRPr="006652AB" w:rsidRDefault="006652AB" w:rsidP="00057B42">
      <w:pPr>
        <w:spacing w:line="360" w:lineRule="auto"/>
        <w:rPr>
          <w:lang w:eastAsia="en-US"/>
        </w:rPr>
      </w:pPr>
    </w:p>
    <w:p w:rsidR="004A3DC1" w:rsidRDefault="004A3DC1" w:rsidP="00057B42">
      <w:pPr>
        <w:spacing w:line="360" w:lineRule="auto"/>
        <w:jc w:val="both"/>
      </w:pPr>
      <w:r>
        <w:t xml:space="preserve">Rajesh Rajpal, Paul Dowling, Justine Meiller, Colin Clarke, William G Murphy, Robert O'Connor, Malcolm Kell, Constantine Mitsiades, Paul Richardson, Kenneth C Anderson, Martin Clynes and Peter O'Gorman, PROTEOMICS Volume 11, Issue 8, pages 1391–1402, April 2011 Proteomics ():n/a-n/a (2011) PMID 21365752 </w:t>
      </w:r>
    </w:p>
    <w:p w:rsidR="004A3DC1" w:rsidRDefault="004A3DC1" w:rsidP="00057B42">
      <w:pPr>
        <w:spacing w:line="360" w:lineRule="auto"/>
        <w:jc w:val="both"/>
      </w:pPr>
      <w:r>
        <w:t>A novel panel of protein biomarkers for predicting response to thalidomide-based therapy in newly diagnosed multiple myeloma patients</w:t>
      </w:r>
    </w:p>
    <w:p w:rsidR="004A3DC1" w:rsidRDefault="004A3DC1" w:rsidP="00057B42">
      <w:pPr>
        <w:spacing w:line="360" w:lineRule="auto"/>
        <w:jc w:val="both"/>
      </w:pPr>
    </w:p>
    <w:p w:rsidR="004A3DC1" w:rsidRPr="004A3DC1" w:rsidRDefault="004A3DC1" w:rsidP="00057B42">
      <w:pPr>
        <w:spacing w:line="360" w:lineRule="auto"/>
        <w:jc w:val="both"/>
      </w:pPr>
      <w:r w:rsidRPr="004A3DC1">
        <w:t xml:space="preserve">Rajesh </w:t>
      </w:r>
      <w:r w:rsidRPr="004A3DC1">
        <w:rPr>
          <w:bCs/>
        </w:rPr>
        <w:t>Rajpal</w:t>
      </w:r>
      <w:r w:rsidRPr="004A3DC1">
        <w:t>, Paul Dowling, Justine Meiller, William G Murphy, Kenneth C. Anderson, Philip Murphy, Robert O Connor, Martin Clynes, and Peter O'Gorman</w:t>
      </w:r>
      <w:r w:rsidRPr="004A3DC1">
        <w:br/>
      </w:r>
      <w:r w:rsidRPr="004A3DC1">
        <w:rPr>
          <w:bCs/>
        </w:rPr>
        <w:t xml:space="preserve">A Panel Of Potential Protein Biomarkers For Predicting Clinical Response To Thalidomide In Newly Diagnosed Multiple Myeloma Patients. </w:t>
      </w:r>
      <w:r w:rsidRPr="004A3DC1">
        <w:t xml:space="preserve">Blood (ASH Annual Meeting Abstracts), Nov 2009; </w:t>
      </w:r>
      <w:r w:rsidRPr="004A3DC1">
        <w:rPr>
          <w:bCs/>
        </w:rPr>
        <w:t>114</w:t>
      </w:r>
      <w:r w:rsidRPr="004A3DC1">
        <w:t>: 4882.</w:t>
      </w:r>
    </w:p>
    <w:p w:rsidR="004A3DC1" w:rsidRPr="004A3DC1" w:rsidRDefault="004A3DC1" w:rsidP="00057B42">
      <w:pPr>
        <w:spacing w:line="360" w:lineRule="auto"/>
        <w:jc w:val="both"/>
      </w:pPr>
    </w:p>
    <w:p w:rsidR="004A3DC1" w:rsidRPr="004A3DC1" w:rsidRDefault="004A3DC1" w:rsidP="00057B42">
      <w:pPr>
        <w:spacing w:line="360" w:lineRule="auto"/>
        <w:jc w:val="both"/>
      </w:pPr>
      <w:r w:rsidRPr="004A3DC1">
        <w:t xml:space="preserve">Rajpal R, Dowling P, Meiller J, Murphy W, Murphy P, O'Driscol L, et al. Panel of Potential Proteomic Biomarkers for Predicting Response to Thalidomide in Multiple Myeloma. Clinical Lymphoma </w:t>
      </w:r>
      <w:r w:rsidR="0010315E">
        <w:t>and</w:t>
      </w:r>
      <w:r w:rsidRPr="004A3DC1">
        <w:t xml:space="preserve"> Myeloma 2009;9:S119-S120.</w:t>
      </w:r>
    </w:p>
    <w:p w:rsidR="004A3DC1" w:rsidRPr="004A3DC1" w:rsidRDefault="004A3DC1" w:rsidP="00057B42">
      <w:pPr>
        <w:spacing w:line="360" w:lineRule="auto"/>
        <w:jc w:val="both"/>
      </w:pPr>
    </w:p>
    <w:p w:rsidR="004A3DC1" w:rsidRPr="004A3DC1" w:rsidRDefault="004A3DC1" w:rsidP="00057B42">
      <w:pPr>
        <w:spacing w:line="360" w:lineRule="auto"/>
        <w:jc w:val="both"/>
      </w:pPr>
      <w:r w:rsidRPr="004A3DC1">
        <w:t>Rajpal R, Dowling P, Meiller J, Murphy WG, O'Connor R, Anderson KC, et al. Personalised Medicine - the Use of Proteomics Biomarkers to Predict Response to Thalidomide in Multiple Myeloma. Haematologica-the Hematology Journal 2009;94:10-11.</w:t>
      </w:r>
    </w:p>
    <w:p w:rsidR="004A3DC1" w:rsidRPr="004A3DC1" w:rsidRDefault="004A3DC1" w:rsidP="00057B42">
      <w:pPr>
        <w:spacing w:line="360" w:lineRule="auto"/>
        <w:jc w:val="both"/>
      </w:pPr>
    </w:p>
    <w:p w:rsidR="004A3DC1" w:rsidRPr="004A3DC1" w:rsidRDefault="004A3DC1" w:rsidP="00057B42">
      <w:pPr>
        <w:spacing w:line="360" w:lineRule="auto"/>
        <w:jc w:val="both"/>
      </w:pPr>
      <w:r w:rsidRPr="004A3DC1">
        <w:t>Raj</w:t>
      </w:r>
      <w:r w:rsidR="00FD0B6C">
        <w:t>esh</w:t>
      </w:r>
      <w:r w:rsidRPr="004A3DC1">
        <w:t xml:space="preserve"> Rajpal, Paul Dowling, Justine Meiller, Kenneth C Anderson, Philip Murphy, Martin Clynes, and Peter O’Gorman</w:t>
      </w:r>
    </w:p>
    <w:p w:rsidR="004A3DC1" w:rsidRPr="004A3DC1" w:rsidRDefault="004A3DC1" w:rsidP="00057B42">
      <w:pPr>
        <w:spacing w:line="360" w:lineRule="auto"/>
        <w:jc w:val="both"/>
      </w:pPr>
      <w:r w:rsidRPr="004A3DC1">
        <w:t>Prediction of Thalidomide Response in the Newly Diagnosed Untreated Multiple Myeloma Patients Based on a Panel of Protein Biomarkers</w:t>
      </w:r>
    </w:p>
    <w:p w:rsidR="004A3DC1" w:rsidRPr="004A3DC1" w:rsidRDefault="004A3DC1" w:rsidP="00057B42">
      <w:pPr>
        <w:spacing w:line="360" w:lineRule="auto"/>
        <w:jc w:val="both"/>
      </w:pPr>
      <w:r w:rsidRPr="004A3DC1">
        <w:t>Blood (ASH Annual Meeting Abstracts), Nov 2008; 112: 5018</w:t>
      </w:r>
    </w:p>
    <w:p w:rsidR="004A3DC1" w:rsidRPr="004A3DC1" w:rsidRDefault="004A3DC1" w:rsidP="00057B42">
      <w:pPr>
        <w:spacing w:line="360" w:lineRule="auto"/>
        <w:jc w:val="both"/>
      </w:pPr>
    </w:p>
    <w:p w:rsidR="004A3DC1" w:rsidRPr="004A3DC1" w:rsidRDefault="004A3DC1" w:rsidP="00057B42">
      <w:pPr>
        <w:spacing w:line="360" w:lineRule="auto"/>
        <w:jc w:val="both"/>
      </w:pPr>
      <w:r w:rsidRPr="004A3DC1">
        <w:t>Rajesh Rajpal, Paul Dowling, Justine Meiller, William G Murphy, Kenneth C. Anderson, Philip Murphy, Robert O Connor, Martin Clynes, and Peter O'Gorman</w:t>
      </w:r>
    </w:p>
    <w:p w:rsidR="004A3DC1" w:rsidRDefault="004A3DC1" w:rsidP="00057B42">
      <w:pPr>
        <w:spacing w:line="360" w:lineRule="auto"/>
        <w:jc w:val="both"/>
      </w:pPr>
      <w:r w:rsidRPr="004A3DC1">
        <w:lastRenderedPageBreak/>
        <w:t>A Panel of POTENTIAL PROTEIN BIOMARKERS for Predicting CLINICAL RESPONSE to Thalidomide IN Newly Diagnosed MULTIPLE MYELOMA PATIENTS</w:t>
      </w:r>
    </w:p>
    <w:p w:rsidR="004A3DC1" w:rsidRDefault="004A3DC1" w:rsidP="00057B42">
      <w:pPr>
        <w:spacing w:line="360" w:lineRule="auto"/>
        <w:jc w:val="both"/>
      </w:pPr>
    </w:p>
    <w:p w:rsidR="004A3DC1" w:rsidRDefault="004A3DC1" w:rsidP="00057B42">
      <w:pPr>
        <w:spacing w:line="360" w:lineRule="auto"/>
        <w:jc w:val="both"/>
      </w:pPr>
      <w:r>
        <w:t xml:space="preserve">Development and validation of a sensitive method for the quantification of thalidomide in biological samples. </w:t>
      </w:r>
    </w:p>
    <w:p w:rsidR="004A3DC1" w:rsidRDefault="004A3DC1" w:rsidP="00057B42">
      <w:pPr>
        <w:spacing w:line="360" w:lineRule="auto"/>
        <w:jc w:val="both"/>
      </w:pPr>
      <w:r>
        <w:t>Sandra Roche, Louise Sewell, Justine Meiller, Rajesh Rajpal, Peter O’ Gorman, Martin Clynes, Robert O’ Connor,</w:t>
      </w:r>
    </w:p>
    <w:p w:rsidR="004A3DC1" w:rsidRDefault="004A3DC1" w:rsidP="00057B42">
      <w:pPr>
        <w:spacing w:line="360" w:lineRule="auto"/>
        <w:jc w:val="both"/>
      </w:pPr>
    </w:p>
    <w:p w:rsidR="004A3DC1" w:rsidRDefault="004A3DC1" w:rsidP="00057B42">
      <w:pPr>
        <w:spacing w:line="360" w:lineRule="auto"/>
        <w:jc w:val="both"/>
      </w:pPr>
      <w:r>
        <w:br w:type="page"/>
      </w:r>
    </w:p>
    <w:p w:rsidR="004A3DC1" w:rsidRDefault="004A3DC1" w:rsidP="00645687">
      <w:pPr>
        <w:pStyle w:val="Heading2"/>
      </w:pPr>
      <w:bookmarkStart w:id="2237" w:name="_Toc312169466"/>
      <w:bookmarkStart w:id="2238" w:name="_Toc312172393"/>
      <w:bookmarkStart w:id="2239" w:name="_Toc312257942"/>
      <w:r>
        <w:lastRenderedPageBreak/>
        <w:t>Expert reviews</w:t>
      </w:r>
      <w:bookmarkEnd w:id="2237"/>
      <w:bookmarkEnd w:id="2238"/>
      <w:bookmarkEnd w:id="2239"/>
    </w:p>
    <w:p w:rsidR="004A3DC1" w:rsidRDefault="004A3DC1" w:rsidP="00057B42">
      <w:pPr>
        <w:spacing w:line="360" w:lineRule="auto"/>
        <w:jc w:val="both"/>
        <w:rPr>
          <w:lang w:eastAsia="en-US"/>
        </w:rPr>
      </w:pPr>
      <w:r>
        <w:rPr>
          <w:lang w:eastAsia="en-US"/>
        </w:rPr>
        <w:t>Expert Rev Proteomics. 2011 Aug;8(4):439-42. doi: 10.1586/EPR.11.42.</w:t>
      </w:r>
    </w:p>
    <w:p w:rsidR="004A3DC1" w:rsidRDefault="004A3DC1" w:rsidP="00057B42">
      <w:pPr>
        <w:spacing w:line="360" w:lineRule="auto"/>
        <w:jc w:val="both"/>
        <w:rPr>
          <w:lang w:eastAsia="en-US"/>
        </w:rPr>
      </w:pPr>
      <w:r>
        <w:rPr>
          <w:lang w:eastAsia="en-US"/>
        </w:rPr>
        <w:t>Identification and evaluation of a panel of serum biomarkers for predicting response to thalidomide in multiple myeloma patients.</w:t>
      </w:r>
    </w:p>
    <w:p w:rsidR="004A3DC1" w:rsidRPr="004A3DC1" w:rsidRDefault="004A3DC1" w:rsidP="00057B42">
      <w:pPr>
        <w:spacing w:line="360" w:lineRule="auto"/>
        <w:jc w:val="both"/>
        <w:rPr>
          <w:lang w:eastAsia="en-US"/>
        </w:rPr>
      </w:pPr>
      <w:r>
        <w:rPr>
          <w:lang w:eastAsia="en-US"/>
        </w:rPr>
        <w:t>Xiong Q, Ge F.</w:t>
      </w:r>
    </w:p>
    <w:p w:rsidR="004A3DC1" w:rsidRDefault="004A3DC1" w:rsidP="00057B42">
      <w:pPr>
        <w:spacing w:line="360" w:lineRule="auto"/>
        <w:jc w:val="both"/>
      </w:pPr>
    </w:p>
    <w:p w:rsidR="004A3DC1" w:rsidRDefault="004A3DC1" w:rsidP="00057B42">
      <w:pPr>
        <w:spacing w:line="360" w:lineRule="auto"/>
        <w:jc w:val="both"/>
      </w:pPr>
    </w:p>
    <w:p w:rsidR="004A3DC1" w:rsidRPr="004A3DC1" w:rsidRDefault="004A3DC1" w:rsidP="00057B42">
      <w:pPr>
        <w:spacing w:line="360" w:lineRule="auto"/>
        <w:jc w:val="both"/>
      </w:pPr>
    </w:p>
    <w:p w:rsidR="00B62E24" w:rsidRPr="004A3DC1" w:rsidRDefault="00B62E24" w:rsidP="00057B42">
      <w:pPr>
        <w:spacing w:line="360" w:lineRule="auto"/>
        <w:jc w:val="both"/>
        <w:rPr>
          <w:color w:val="000000"/>
        </w:rPr>
      </w:pPr>
    </w:p>
    <w:p w:rsidR="00B62E24" w:rsidRPr="004A3DC1" w:rsidRDefault="00B62E24" w:rsidP="00057B42">
      <w:pPr>
        <w:spacing w:line="360" w:lineRule="auto"/>
        <w:jc w:val="both"/>
        <w:rPr>
          <w:color w:val="000000"/>
        </w:rPr>
      </w:pPr>
      <w:r w:rsidRPr="004A3DC1">
        <w:rPr>
          <w:color w:val="000000"/>
        </w:rPr>
        <w:br w:type="page"/>
      </w:r>
    </w:p>
    <w:p w:rsidR="008D5AF0" w:rsidRDefault="004C40B9" w:rsidP="00057B42">
      <w:pPr>
        <w:pStyle w:val="Heading1"/>
      </w:pPr>
      <w:bookmarkStart w:id="2240" w:name="_Toc307067890"/>
      <w:bookmarkStart w:id="2241" w:name="_Toc260495815"/>
      <w:bookmarkStart w:id="2242" w:name="_Toc260496066"/>
      <w:bookmarkStart w:id="2243" w:name="_Toc260500459"/>
      <w:bookmarkStart w:id="2244" w:name="_Toc261098498"/>
      <w:bookmarkStart w:id="2245" w:name="_Toc305759154"/>
      <w:bookmarkStart w:id="2246" w:name="_Toc306570835"/>
      <w:bookmarkStart w:id="2247" w:name="_Toc307067891"/>
      <w:bookmarkStart w:id="2248" w:name="_Toc312169467"/>
      <w:bookmarkStart w:id="2249" w:name="_Toc312172394"/>
      <w:bookmarkStart w:id="2250" w:name="_Toc312257943"/>
      <w:bookmarkEnd w:id="2240"/>
      <w:r w:rsidRPr="00873C4C">
        <w:lastRenderedPageBreak/>
        <w:t>References</w:t>
      </w:r>
      <w:bookmarkEnd w:id="2241"/>
      <w:bookmarkEnd w:id="2242"/>
      <w:bookmarkEnd w:id="2243"/>
      <w:bookmarkEnd w:id="2244"/>
      <w:bookmarkEnd w:id="2245"/>
      <w:bookmarkEnd w:id="2246"/>
      <w:bookmarkEnd w:id="2247"/>
      <w:bookmarkEnd w:id="2248"/>
      <w:bookmarkEnd w:id="2249"/>
      <w:bookmarkEnd w:id="2250"/>
    </w:p>
    <w:p w:rsidR="008D5AF0" w:rsidRPr="008C445A" w:rsidRDefault="008D5AF0" w:rsidP="00057B42">
      <w:pPr>
        <w:spacing w:line="360" w:lineRule="auto"/>
        <w:ind w:left="720" w:hanging="720"/>
        <w:jc w:val="both"/>
        <w:rPr>
          <w:rFonts w:eastAsia="Times New Roman"/>
          <w:color w:val="0D0D0D"/>
          <w:lang w:eastAsia="en-US"/>
        </w:rPr>
      </w:pPr>
    </w:p>
    <w:p w:rsidR="004A784D" w:rsidRPr="004A784D" w:rsidRDefault="00685D96" w:rsidP="004A784D">
      <w:pPr>
        <w:spacing w:after="240"/>
        <w:jc w:val="both"/>
        <w:rPr>
          <w:noProof/>
          <w:color w:val="000000"/>
          <w:sz w:val="22"/>
        </w:rPr>
      </w:pPr>
      <w:r w:rsidRPr="00873C4C">
        <w:rPr>
          <w:color w:val="000000"/>
        </w:rPr>
        <w:fldChar w:fldCharType="begin"/>
      </w:r>
      <w:r w:rsidRPr="00873C4C">
        <w:rPr>
          <w:color w:val="000000"/>
        </w:rPr>
        <w:instrText xml:space="preserve"> ADDIN EN.REFLIST </w:instrText>
      </w:r>
      <w:r w:rsidRPr="00873C4C">
        <w:rPr>
          <w:color w:val="000000"/>
        </w:rPr>
        <w:fldChar w:fldCharType="separate"/>
      </w:r>
      <w:bookmarkStart w:id="2251" w:name="_ENREF_1"/>
      <w:r w:rsidR="004A784D" w:rsidRPr="004A784D">
        <w:rPr>
          <w:noProof/>
          <w:color w:val="000000"/>
          <w:sz w:val="22"/>
        </w:rPr>
        <w:t xml:space="preserve">2009. Treatment of multiple myeloma: 2009 update. </w:t>
      </w:r>
      <w:r w:rsidR="004A784D" w:rsidRPr="004A784D">
        <w:rPr>
          <w:i/>
          <w:noProof/>
          <w:color w:val="000000"/>
          <w:sz w:val="22"/>
        </w:rPr>
        <w:t>Prescrire Int,</w:t>
      </w:r>
      <w:r w:rsidR="004A784D" w:rsidRPr="004A784D">
        <w:rPr>
          <w:noProof/>
          <w:color w:val="000000"/>
          <w:sz w:val="22"/>
        </w:rPr>
        <w:t xml:space="preserve"> 18</w:t>
      </w:r>
      <w:r w:rsidR="004A784D" w:rsidRPr="004A784D">
        <w:rPr>
          <w:b/>
          <w:noProof/>
          <w:color w:val="000000"/>
          <w:sz w:val="22"/>
        </w:rPr>
        <w:t>,</w:t>
      </w:r>
      <w:r w:rsidR="004A784D" w:rsidRPr="004A784D">
        <w:rPr>
          <w:noProof/>
          <w:color w:val="000000"/>
          <w:sz w:val="22"/>
        </w:rPr>
        <w:t xml:space="preserve"> 263-6.</w:t>
      </w:r>
      <w:bookmarkEnd w:id="2251"/>
    </w:p>
    <w:p w:rsidR="004A784D" w:rsidRPr="004A784D" w:rsidRDefault="004A784D" w:rsidP="004A784D">
      <w:pPr>
        <w:spacing w:after="240"/>
        <w:jc w:val="both"/>
        <w:rPr>
          <w:noProof/>
          <w:color w:val="000000"/>
          <w:sz w:val="22"/>
        </w:rPr>
      </w:pPr>
      <w:bookmarkStart w:id="2252" w:name="_ENREF_2"/>
      <w:r w:rsidRPr="004A784D">
        <w:rPr>
          <w:noProof/>
          <w:color w:val="000000"/>
          <w:sz w:val="22"/>
        </w:rPr>
        <w:t xml:space="preserve">ABDUL-RAHMAN, P. S., LIM, B. K. &amp; HASHIM, O. H. 2007. Expression of high-abundance proteins in sera of patients with endometrial and cervical cancers: analysis using 2-DE with silver staining and lectin detection methods. </w:t>
      </w:r>
      <w:r w:rsidRPr="004A784D">
        <w:rPr>
          <w:i/>
          <w:noProof/>
          <w:color w:val="000000"/>
          <w:sz w:val="22"/>
        </w:rPr>
        <w:t>Electrophoresis,</w:t>
      </w:r>
      <w:r w:rsidRPr="004A784D">
        <w:rPr>
          <w:noProof/>
          <w:color w:val="000000"/>
          <w:sz w:val="22"/>
        </w:rPr>
        <w:t xml:space="preserve"> 28</w:t>
      </w:r>
      <w:r w:rsidRPr="004A784D">
        <w:rPr>
          <w:b/>
          <w:noProof/>
          <w:color w:val="000000"/>
          <w:sz w:val="22"/>
        </w:rPr>
        <w:t>,</w:t>
      </w:r>
      <w:r w:rsidRPr="004A784D">
        <w:rPr>
          <w:noProof/>
          <w:color w:val="000000"/>
          <w:sz w:val="22"/>
        </w:rPr>
        <w:t xml:space="preserve"> 1989-96.</w:t>
      </w:r>
      <w:bookmarkEnd w:id="2252"/>
    </w:p>
    <w:p w:rsidR="004A784D" w:rsidRPr="004A784D" w:rsidRDefault="004A784D" w:rsidP="004A784D">
      <w:pPr>
        <w:spacing w:after="240"/>
        <w:jc w:val="both"/>
        <w:rPr>
          <w:noProof/>
          <w:color w:val="000000"/>
          <w:sz w:val="22"/>
        </w:rPr>
      </w:pPr>
      <w:bookmarkStart w:id="2253" w:name="_ENREF_3"/>
      <w:r w:rsidRPr="004A784D">
        <w:rPr>
          <w:noProof/>
          <w:color w:val="000000"/>
          <w:sz w:val="22"/>
        </w:rPr>
        <w:t xml:space="preserve">ABRUZZO, L. V., BARRON, L. L., ANDERSON, K., NEWMAN, R. J., WIERDA, W. G., O'BRIEN, S., FERRAJOLI, A., LUTHRA, M., TALWALKAR, S., LUTHRA, R., JONES, D., KEATING, M. J. &amp; COOMBES, K. R. 2007. Identification and validation of biomarkers of IgV(H) mutation status in chronic lymphocytic leukemia using microfluidics quantitative real-time polymerase chain reaction technology. </w:t>
      </w:r>
      <w:r w:rsidRPr="004A784D">
        <w:rPr>
          <w:i/>
          <w:noProof/>
          <w:color w:val="000000"/>
          <w:sz w:val="22"/>
        </w:rPr>
        <w:t>J Mol Diagn,</w:t>
      </w:r>
      <w:r w:rsidRPr="004A784D">
        <w:rPr>
          <w:noProof/>
          <w:color w:val="000000"/>
          <w:sz w:val="22"/>
        </w:rPr>
        <w:t xml:space="preserve"> 9</w:t>
      </w:r>
      <w:r w:rsidRPr="004A784D">
        <w:rPr>
          <w:b/>
          <w:noProof/>
          <w:color w:val="000000"/>
          <w:sz w:val="22"/>
        </w:rPr>
        <w:t>,</w:t>
      </w:r>
      <w:r w:rsidRPr="004A784D">
        <w:rPr>
          <w:noProof/>
          <w:color w:val="000000"/>
          <w:sz w:val="22"/>
        </w:rPr>
        <w:t xml:space="preserve"> 546-55.</w:t>
      </w:r>
      <w:bookmarkEnd w:id="2253"/>
    </w:p>
    <w:p w:rsidR="004A784D" w:rsidRPr="004A784D" w:rsidRDefault="004A784D" w:rsidP="004A784D">
      <w:pPr>
        <w:spacing w:after="240"/>
        <w:jc w:val="both"/>
        <w:rPr>
          <w:noProof/>
          <w:color w:val="000000"/>
          <w:sz w:val="22"/>
        </w:rPr>
      </w:pPr>
      <w:bookmarkStart w:id="2254" w:name="_ENREF_4"/>
      <w:r w:rsidRPr="004A784D">
        <w:rPr>
          <w:noProof/>
          <w:color w:val="000000"/>
          <w:sz w:val="22"/>
        </w:rPr>
        <w:t xml:space="preserve">ADAM, Z., KREJCI, M., POUR, L., NEUBAUER, J., PRASEK, J. &amp; HAJEK, R. 2008. [Schnitzler syndrome--report on a fourteen-year course of the disease and an overview of information on the disease]. </w:t>
      </w:r>
      <w:r w:rsidRPr="004A784D">
        <w:rPr>
          <w:i/>
          <w:noProof/>
          <w:color w:val="000000"/>
          <w:sz w:val="22"/>
        </w:rPr>
        <w:t>Vnitr Lek,</w:t>
      </w:r>
      <w:r w:rsidRPr="004A784D">
        <w:rPr>
          <w:noProof/>
          <w:color w:val="000000"/>
          <w:sz w:val="22"/>
        </w:rPr>
        <w:t xml:space="preserve"> 54</w:t>
      </w:r>
      <w:r w:rsidRPr="004A784D">
        <w:rPr>
          <w:b/>
          <w:noProof/>
          <w:color w:val="000000"/>
          <w:sz w:val="22"/>
        </w:rPr>
        <w:t>,</w:t>
      </w:r>
      <w:r w:rsidRPr="004A784D">
        <w:rPr>
          <w:noProof/>
          <w:color w:val="000000"/>
          <w:sz w:val="22"/>
        </w:rPr>
        <w:t xml:space="preserve"> 1140-53.</w:t>
      </w:r>
      <w:bookmarkEnd w:id="2254"/>
    </w:p>
    <w:p w:rsidR="004A784D" w:rsidRPr="004A784D" w:rsidRDefault="004A784D" w:rsidP="004A784D">
      <w:pPr>
        <w:spacing w:after="240"/>
        <w:jc w:val="both"/>
        <w:rPr>
          <w:noProof/>
          <w:color w:val="000000"/>
          <w:sz w:val="22"/>
        </w:rPr>
      </w:pPr>
      <w:bookmarkStart w:id="2255" w:name="_ENREF_5"/>
      <w:r w:rsidRPr="004A784D">
        <w:rPr>
          <w:noProof/>
          <w:color w:val="000000"/>
          <w:sz w:val="22"/>
        </w:rPr>
        <w:t xml:space="preserve">ADAMSSON ERYD, S., SMITH, J. G., MELANDER, O., HEDBLAD, B. &amp; ENGSTROM, G. 2011. Inflammation-sensitive proteins and risk of atrial fibrillation: a population-based cohort study. </w:t>
      </w:r>
      <w:r w:rsidRPr="004A784D">
        <w:rPr>
          <w:i/>
          <w:noProof/>
          <w:color w:val="000000"/>
          <w:sz w:val="22"/>
        </w:rPr>
        <w:t>Eur J Epidemiol,</w:t>
      </w:r>
      <w:r w:rsidRPr="004A784D">
        <w:rPr>
          <w:noProof/>
          <w:color w:val="000000"/>
          <w:sz w:val="22"/>
        </w:rPr>
        <w:t xml:space="preserve"> 26</w:t>
      </w:r>
      <w:r w:rsidRPr="004A784D">
        <w:rPr>
          <w:b/>
          <w:noProof/>
          <w:color w:val="000000"/>
          <w:sz w:val="22"/>
        </w:rPr>
        <w:t>,</w:t>
      </w:r>
      <w:r w:rsidRPr="004A784D">
        <w:rPr>
          <w:noProof/>
          <w:color w:val="000000"/>
          <w:sz w:val="22"/>
        </w:rPr>
        <w:t xml:space="preserve"> 449-55.</w:t>
      </w:r>
      <w:bookmarkEnd w:id="2255"/>
    </w:p>
    <w:p w:rsidR="004A784D" w:rsidRPr="004A784D" w:rsidRDefault="004A784D" w:rsidP="004A784D">
      <w:pPr>
        <w:spacing w:after="240"/>
        <w:jc w:val="both"/>
        <w:rPr>
          <w:noProof/>
          <w:color w:val="000000"/>
          <w:sz w:val="22"/>
        </w:rPr>
      </w:pPr>
      <w:bookmarkStart w:id="2256" w:name="_ENREF_6"/>
      <w:r w:rsidRPr="004A784D">
        <w:rPr>
          <w:noProof/>
          <w:color w:val="000000"/>
          <w:sz w:val="22"/>
        </w:rPr>
        <w:t xml:space="preserve">ADDONA, T. A., ABBATIELLO, S. E., SCHILLING, B., SKATES, S. J., MANI, D. R., BUNK, D. M., SPIEGELMAN, C. H., ZIMMERMAN, L. J., HAM, A. J., KESHISHIAN, H., HALL, S. C., ALLEN, S., BLACKMAN, R. K., BORCHERS, C. H., BUCK, C., CARDASIS, H. L., CUSACK, M. P., DODDER, N. G., GIBSON, B. W., HELD, J. M., HILTKE, T., JACKSON, A., JOHANSEN, E. B., KINSINGER, C. R., LI, J., MESRI, M., NEUBERT, T. A., NILES, R. K., PULSIPHER, T. C., RANSOHOFF, D., RODRIGUEZ, H., RUDNICK, P. A., SMITH, D., TABB, D. L., TEGELER, T. J., VARIYATH, A. M., VEGA-MONTOTO, L. J., WAHLANDER, A., WALDEMARSON, S., WANG, M., WHITEAKER, J. R., ZHAO, L., ANDERSON, N. L., FISHER, S. J., LIEBLER, D. C., PAULOVICH, A. G., REGNIER, F. E., TEMPST, P. &amp; CARR, S. A. 2009. Multi-site assessment of the precision and reproducibility of multiple reaction monitoring-based measurements of proteins in plasma. </w:t>
      </w:r>
      <w:r w:rsidRPr="004A784D">
        <w:rPr>
          <w:i/>
          <w:noProof/>
          <w:color w:val="000000"/>
          <w:sz w:val="22"/>
        </w:rPr>
        <w:t>Nat Biotechnol,</w:t>
      </w:r>
      <w:r w:rsidRPr="004A784D">
        <w:rPr>
          <w:noProof/>
          <w:color w:val="000000"/>
          <w:sz w:val="22"/>
        </w:rPr>
        <w:t xml:space="preserve"> 27</w:t>
      </w:r>
      <w:r w:rsidRPr="004A784D">
        <w:rPr>
          <w:b/>
          <w:noProof/>
          <w:color w:val="000000"/>
          <w:sz w:val="22"/>
        </w:rPr>
        <w:t>,</w:t>
      </w:r>
      <w:r w:rsidRPr="004A784D">
        <w:rPr>
          <w:noProof/>
          <w:color w:val="000000"/>
          <w:sz w:val="22"/>
        </w:rPr>
        <w:t xml:space="preserve"> 633-41.</w:t>
      </w:r>
      <w:bookmarkEnd w:id="2256"/>
    </w:p>
    <w:p w:rsidR="004A784D" w:rsidRPr="004A784D" w:rsidRDefault="004A784D" w:rsidP="004A784D">
      <w:pPr>
        <w:spacing w:after="240"/>
        <w:jc w:val="both"/>
        <w:rPr>
          <w:noProof/>
          <w:color w:val="000000"/>
          <w:sz w:val="22"/>
        </w:rPr>
      </w:pPr>
      <w:bookmarkStart w:id="2257" w:name="_ENREF_7"/>
      <w:r w:rsidRPr="004A784D">
        <w:rPr>
          <w:noProof/>
          <w:color w:val="000000"/>
          <w:sz w:val="22"/>
        </w:rPr>
        <w:t xml:space="preserve">AGGARWAL, R., GHOBRIAL, I. M. &amp; ROODMAN, G. D. 2006. Chemokines in multiple myeloma. </w:t>
      </w:r>
      <w:r w:rsidRPr="004A784D">
        <w:rPr>
          <w:i/>
          <w:noProof/>
          <w:color w:val="000000"/>
          <w:sz w:val="22"/>
        </w:rPr>
        <w:t>Exp Hematol,</w:t>
      </w:r>
      <w:r w:rsidRPr="004A784D">
        <w:rPr>
          <w:noProof/>
          <w:color w:val="000000"/>
          <w:sz w:val="22"/>
        </w:rPr>
        <w:t xml:space="preserve"> 34</w:t>
      </w:r>
      <w:r w:rsidRPr="004A784D">
        <w:rPr>
          <w:b/>
          <w:noProof/>
          <w:color w:val="000000"/>
          <w:sz w:val="22"/>
        </w:rPr>
        <w:t>,</w:t>
      </w:r>
      <w:r w:rsidRPr="004A784D">
        <w:rPr>
          <w:noProof/>
          <w:color w:val="000000"/>
          <w:sz w:val="22"/>
        </w:rPr>
        <w:t xml:space="preserve"> 1289-95.</w:t>
      </w:r>
      <w:bookmarkEnd w:id="2257"/>
    </w:p>
    <w:p w:rsidR="004A784D" w:rsidRPr="004A784D" w:rsidRDefault="004A784D" w:rsidP="004A784D">
      <w:pPr>
        <w:spacing w:after="240"/>
        <w:jc w:val="both"/>
        <w:rPr>
          <w:noProof/>
          <w:color w:val="000000"/>
          <w:sz w:val="22"/>
        </w:rPr>
      </w:pPr>
      <w:bookmarkStart w:id="2258" w:name="_ENREF_8"/>
      <w:r w:rsidRPr="004A784D">
        <w:rPr>
          <w:noProof/>
          <w:color w:val="000000"/>
          <w:sz w:val="22"/>
        </w:rPr>
        <w:t xml:space="preserve">AHMAD, A. E., DEHAGHANI, A. S., SHAKER, M. &amp; FATTAHI, M. J. 2008. Clinical value of tumor markers in gestational trophoblastic diseases. </w:t>
      </w:r>
      <w:r w:rsidRPr="004A784D">
        <w:rPr>
          <w:i/>
          <w:noProof/>
          <w:color w:val="000000"/>
          <w:sz w:val="22"/>
        </w:rPr>
        <w:t>J Reprod Med,</w:t>
      </w:r>
      <w:r w:rsidRPr="004A784D">
        <w:rPr>
          <w:noProof/>
          <w:color w:val="000000"/>
          <w:sz w:val="22"/>
        </w:rPr>
        <w:t xml:space="preserve"> 53</w:t>
      </w:r>
      <w:r w:rsidRPr="004A784D">
        <w:rPr>
          <w:b/>
          <w:noProof/>
          <w:color w:val="000000"/>
          <w:sz w:val="22"/>
        </w:rPr>
        <w:t>,</w:t>
      </w:r>
      <w:r w:rsidRPr="004A784D">
        <w:rPr>
          <w:noProof/>
          <w:color w:val="000000"/>
          <w:sz w:val="22"/>
        </w:rPr>
        <w:t xml:space="preserve"> 930-4.</w:t>
      </w:r>
      <w:bookmarkEnd w:id="2258"/>
    </w:p>
    <w:p w:rsidR="004A784D" w:rsidRPr="004A784D" w:rsidRDefault="004A784D" w:rsidP="004A784D">
      <w:pPr>
        <w:spacing w:after="240"/>
        <w:jc w:val="both"/>
        <w:rPr>
          <w:noProof/>
          <w:color w:val="000000"/>
          <w:sz w:val="22"/>
        </w:rPr>
      </w:pPr>
      <w:bookmarkStart w:id="2259" w:name="_ENREF_9"/>
      <w:r w:rsidRPr="004A784D">
        <w:rPr>
          <w:noProof/>
          <w:color w:val="000000"/>
          <w:sz w:val="22"/>
        </w:rPr>
        <w:t xml:space="preserve">ALAOUI-JAMALI, M. A. &amp; XU, Y. J. 2006. Proteomic technology for biomarker profiling in cancer: an update. </w:t>
      </w:r>
      <w:r w:rsidRPr="004A784D">
        <w:rPr>
          <w:i/>
          <w:noProof/>
          <w:color w:val="000000"/>
          <w:sz w:val="22"/>
        </w:rPr>
        <w:t>J Zhejiang Univ Sci B,</w:t>
      </w:r>
      <w:r w:rsidRPr="004A784D">
        <w:rPr>
          <w:noProof/>
          <w:color w:val="000000"/>
          <w:sz w:val="22"/>
        </w:rPr>
        <w:t xml:space="preserve"> 7</w:t>
      </w:r>
      <w:r w:rsidRPr="004A784D">
        <w:rPr>
          <w:b/>
          <w:noProof/>
          <w:color w:val="000000"/>
          <w:sz w:val="22"/>
        </w:rPr>
        <w:t>,</w:t>
      </w:r>
      <w:r w:rsidRPr="004A784D">
        <w:rPr>
          <w:noProof/>
          <w:color w:val="000000"/>
          <w:sz w:val="22"/>
        </w:rPr>
        <w:t xml:space="preserve"> 411-20.</w:t>
      </w:r>
      <w:bookmarkEnd w:id="2259"/>
    </w:p>
    <w:p w:rsidR="004A784D" w:rsidRPr="004A784D" w:rsidRDefault="004A784D" w:rsidP="004A784D">
      <w:pPr>
        <w:spacing w:after="240"/>
        <w:jc w:val="both"/>
        <w:rPr>
          <w:noProof/>
          <w:color w:val="000000"/>
          <w:sz w:val="22"/>
        </w:rPr>
      </w:pPr>
      <w:bookmarkStart w:id="2260" w:name="_ENREF_10"/>
      <w:r w:rsidRPr="004A784D">
        <w:rPr>
          <w:noProof/>
          <w:color w:val="000000"/>
          <w:sz w:val="22"/>
        </w:rPr>
        <w:t xml:space="preserve">ALBAN, A., DAVID, S. O., BJORKESTEN, L., ANDERSSON, C., SLOGE, E., LEWIS, S. &amp; CURRIE, I. 2003. A novel experimental design for comparative two-dimensional gel analysis: two-dimensional difference gel electrophoresis incorporating a pooled internal standard. </w:t>
      </w:r>
      <w:r w:rsidRPr="004A784D">
        <w:rPr>
          <w:i/>
          <w:noProof/>
          <w:color w:val="000000"/>
          <w:sz w:val="22"/>
        </w:rPr>
        <w:t>Proteomics,</w:t>
      </w:r>
      <w:r w:rsidRPr="004A784D">
        <w:rPr>
          <w:noProof/>
          <w:color w:val="000000"/>
          <w:sz w:val="22"/>
        </w:rPr>
        <w:t xml:space="preserve"> 3</w:t>
      </w:r>
      <w:r w:rsidRPr="004A784D">
        <w:rPr>
          <w:b/>
          <w:noProof/>
          <w:color w:val="000000"/>
          <w:sz w:val="22"/>
        </w:rPr>
        <w:t>,</w:t>
      </w:r>
      <w:r w:rsidRPr="004A784D">
        <w:rPr>
          <w:noProof/>
          <w:color w:val="000000"/>
          <w:sz w:val="22"/>
        </w:rPr>
        <w:t xml:space="preserve"> 36-44.</w:t>
      </w:r>
      <w:bookmarkEnd w:id="2260"/>
    </w:p>
    <w:p w:rsidR="004A784D" w:rsidRPr="004A784D" w:rsidRDefault="004A784D" w:rsidP="004A784D">
      <w:pPr>
        <w:spacing w:after="240"/>
        <w:jc w:val="both"/>
        <w:rPr>
          <w:noProof/>
          <w:color w:val="000000"/>
          <w:sz w:val="22"/>
        </w:rPr>
      </w:pPr>
      <w:bookmarkStart w:id="2261" w:name="_ENREF_11"/>
      <w:r w:rsidRPr="004A784D">
        <w:rPr>
          <w:noProof/>
          <w:color w:val="000000"/>
          <w:sz w:val="22"/>
        </w:rPr>
        <w:t xml:space="preserve">ALEXANDRAKIS, M. G., PASSAM, F. H., GANOTAKIS, E. S., SFIRIDAKI, K., XILOURI, I., PERISINAKIS, K. &amp; KYRIAKOU, D. S. 2003. The clinical and prognostic significance of erythrocyte sedimentation rate (ESR), serum interleukin-6 (IL-6) and acute phase protein levels in multiple myeloma. </w:t>
      </w:r>
      <w:r w:rsidRPr="004A784D">
        <w:rPr>
          <w:i/>
          <w:noProof/>
          <w:color w:val="000000"/>
          <w:sz w:val="22"/>
        </w:rPr>
        <w:t>Clin Lab Haematol,</w:t>
      </w:r>
      <w:r w:rsidRPr="004A784D">
        <w:rPr>
          <w:noProof/>
          <w:color w:val="000000"/>
          <w:sz w:val="22"/>
        </w:rPr>
        <w:t xml:space="preserve"> 25</w:t>
      </w:r>
      <w:r w:rsidRPr="004A784D">
        <w:rPr>
          <w:b/>
          <w:noProof/>
          <w:color w:val="000000"/>
          <w:sz w:val="22"/>
        </w:rPr>
        <w:t>,</w:t>
      </w:r>
      <w:r w:rsidRPr="004A784D">
        <w:rPr>
          <w:noProof/>
          <w:color w:val="000000"/>
          <w:sz w:val="22"/>
        </w:rPr>
        <w:t xml:space="preserve"> 41-6.</w:t>
      </w:r>
      <w:bookmarkEnd w:id="2261"/>
    </w:p>
    <w:p w:rsidR="004A784D" w:rsidRPr="004A784D" w:rsidRDefault="004A784D" w:rsidP="004A784D">
      <w:pPr>
        <w:spacing w:after="240"/>
        <w:jc w:val="both"/>
        <w:rPr>
          <w:noProof/>
          <w:color w:val="000000"/>
          <w:sz w:val="22"/>
        </w:rPr>
      </w:pPr>
      <w:bookmarkStart w:id="2262" w:name="_ENREF_12"/>
      <w:r w:rsidRPr="004A784D">
        <w:rPr>
          <w:noProof/>
          <w:color w:val="000000"/>
          <w:sz w:val="22"/>
        </w:rPr>
        <w:lastRenderedPageBreak/>
        <w:t xml:space="preserve">ALEXANDRAKIS, M. G., SFIRIDAKI, A., MIYAKIS, S., PAPPA, C., KANDIDAKI, E., ALEGAKIS, A. &amp; MARGIORIS, A. N. 2007. Relationship between serum levels of vascular endothelial growth factor, hepatocyte growth factor and matrix metalloproteinase-9 with biochemical markers of bone disease in multiple myeloma. </w:t>
      </w:r>
      <w:r w:rsidRPr="004A784D">
        <w:rPr>
          <w:i/>
          <w:noProof/>
          <w:color w:val="000000"/>
          <w:sz w:val="22"/>
        </w:rPr>
        <w:t>Clin Chim Acta,</w:t>
      </w:r>
      <w:r w:rsidRPr="004A784D">
        <w:rPr>
          <w:noProof/>
          <w:color w:val="000000"/>
          <w:sz w:val="22"/>
        </w:rPr>
        <w:t xml:space="preserve"> 379</w:t>
      </w:r>
      <w:r w:rsidRPr="004A784D">
        <w:rPr>
          <w:b/>
          <w:noProof/>
          <w:color w:val="000000"/>
          <w:sz w:val="22"/>
        </w:rPr>
        <w:t>,</w:t>
      </w:r>
      <w:r w:rsidRPr="004A784D">
        <w:rPr>
          <w:noProof/>
          <w:color w:val="000000"/>
          <w:sz w:val="22"/>
        </w:rPr>
        <w:t xml:space="preserve"> 31-5.</w:t>
      </w:r>
      <w:bookmarkEnd w:id="2262"/>
    </w:p>
    <w:p w:rsidR="004A784D" w:rsidRPr="004A784D" w:rsidRDefault="004A784D" w:rsidP="004A784D">
      <w:pPr>
        <w:spacing w:after="240"/>
        <w:jc w:val="both"/>
        <w:rPr>
          <w:noProof/>
          <w:color w:val="000000"/>
          <w:sz w:val="22"/>
        </w:rPr>
      </w:pPr>
      <w:bookmarkStart w:id="2263" w:name="_ENREF_13"/>
      <w:r w:rsidRPr="004A784D">
        <w:rPr>
          <w:noProof/>
          <w:color w:val="000000"/>
          <w:sz w:val="22"/>
        </w:rPr>
        <w:t xml:space="preserve">ALINOVI, C. A., WARD, M. P., LIN, T. L. &amp; WU, C. C. 2009. Sample handling substantially affects Johne's ELISA. </w:t>
      </w:r>
      <w:r w:rsidRPr="004A784D">
        <w:rPr>
          <w:i/>
          <w:noProof/>
          <w:color w:val="000000"/>
          <w:sz w:val="22"/>
        </w:rPr>
        <w:t>Prev Vet Med,</w:t>
      </w:r>
      <w:r w:rsidRPr="004A784D">
        <w:rPr>
          <w:noProof/>
          <w:color w:val="000000"/>
          <w:sz w:val="22"/>
        </w:rPr>
        <w:t xml:space="preserve"> 90</w:t>
      </w:r>
      <w:r w:rsidRPr="004A784D">
        <w:rPr>
          <w:b/>
          <w:noProof/>
          <w:color w:val="000000"/>
          <w:sz w:val="22"/>
        </w:rPr>
        <w:t>,</w:t>
      </w:r>
      <w:r w:rsidRPr="004A784D">
        <w:rPr>
          <w:noProof/>
          <w:color w:val="000000"/>
          <w:sz w:val="22"/>
        </w:rPr>
        <w:t xml:space="preserve"> 278-83.</w:t>
      </w:r>
      <w:bookmarkEnd w:id="2263"/>
    </w:p>
    <w:p w:rsidR="004A784D" w:rsidRPr="004A784D" w:rsidRDefault="004A784D" w:rsidP="004A784D">
      <w:pPr>
        <w:spacing w:after="240"/>
        <w:jc w:val="both"/>
        <w:rPr>
          <w:noProof/>
          <w:color w:val="000000"/>
          <w:sz w:val="22"/>
        </w:rPr>
      </w:pPr>
      <w:bookmarkStart w:id="2264" w:name="_ENREF_14"/>
      <w:r w:rsidRPr="004A784D">
        <w:rPr>
          <w:noProof/>
          <w:color w:val="000000"/>
          <w:sz w:val="22"/>
        </w:rPr>
        <w:t xml:space="preserve">ALONZO, T. A. &amp; PEPE, M. S. 2007. Development and evaluation of classifiers. </w:t>
      </w:r>
      <w:r w:rsidRPr="004A784D">
        <w:rPr>
          <w:i/>
          <w:noProof/>
          <w:color w:val="000000"/>
          <w:sz w:val="22"/>
        </w:rPr>
        <w:t>Methods Mol Biol,</w:t>
      </w:r>
      <w:r w:rsidRPr="004A784D">
        <w:rPr>
          <w:noProof/>
          <w:color w:val="000000"/>
          <w:sz w:val="22"/>
        </w:rPr>
        <w:t xml:space="preserve"> 404</w:t>
      </w:r>
      <w:r w:rsidRPr="004A784D">
        <w:rPr>
          <w:b/>
          <w:noProof/>
          <w:color w:val="000000"/>
          <w:sz w:val="22"/>
        </w:rPr>
        <w:t>,</w:t>
      </w:r>
      <w:r w:rsidRPr="004A784D">
        <w:rPr>
          <w:noProof/>
          <w:color w:val="000000"/>
          <w:sz w:val="22"/>
        </w:rPr>
        <w:t xml:space="preserve"> 89-116.</w:t>
      </w:r>
      <w:bookmarkEnd w:id="2264"/>
    </w:p>
    <w:p w:rsidR="004A784D" w:rsidRPr="004A784D" w:rsidRDefault="004A784D" w:rsidP="004A784D">
      <w:pPr>
        <w:spacing w:after="240"/>
        <w:jc w:val="both"/>
        <w:rPr>
          <w:noProof/>
          <w:color w:val="000000"/>
          <w:sz w:val="22"/>
        </w:rPr>
      </w:pPr>
      <w:bookmarkStart w:id="2265" w:name="_ENREF_15"/>
      <w:r w:rsidRPr="004A784D">
        <w:rPr>
          <w:noProof/>
          <w:color w:val="000000"/>
          <w:sz w:val="22"/>
        </w:rPr>
        <w:t xml:space="preserve">ALVAREZ, I., DEL CARMEN SALDIAS, M., WODOWOZ, O., PEREZ CAMPOS, H., MACHIN, D., SILVA, W., SUETA, P., PEREZ, N. &amp; ACOSTA MD MDEL, C. 2003. Progress of National Multi-tissue Bank in Uruguay in the International Atomic Energy Agency (IAEA) Tissue Banking Programme. </w:t>
      </w:r>
      <w:r w:rsidRPr="004A784D">
        <w:rPr>
          <w:i/>
          <w:noProof/>
          <w:color w:val="000000"/>
          <w:sz w:val="22"/>
        </w:rPr>
        <w:t>Cell Tissue Bank,</w:t>
      </w:r>
      <w:r w:rsidRPr="004A784D">
        <w:rPr>
          <w:noProof/>
          <w:color w:val="000000"/>
          <w:sz w:val="22"/>
        </w:rPr>
        <w:t xml:space="preserve"> 4</w:t>
      </w:r>
      <w:r w:rsidRPr="004A784D">
        <w:rPr>
          <w:b/>
          <w:noProof/>
          <w:color w:val="000000"/>
          <w:sz w:val="22"/>
        </w:rPr>
        <w:t>,</w:t>
      </w:r>
      <w:r w:rsidRPr="004A784D">
        <w:rPr>
          <w:noProof/>
          <w:color w:val="000000"/>
          <w:sz w:val="22"/>
        </w:rPr>
        <w:t xml:space="preserve"> 173-8.</w:t>
      </w:r>
      <w:bookmarkEnd w:id="2265"/>
    </w:p>
    <w:p w:rsidR="004A784D" w:rsidRPr="004A784D" w:rsidRDefault="004A784D" w:rsidP="004A784D">
      <w:pPr>
        <w:spacing w:after="240"/>
        <w:jc w:val="both"/>
        <w:rPr>
          <w:noProof/>
          <w:color w:val="000000"/>
          <w:sz w:val="22"/>
        </w:rPr>
      </w:pPr>
      <w:bookmarkStart w:id="2266" w:name="_ENREF_16"/>
      <w:r w:rsidRPr="004A784D">
        <w:rPr>
          <w:noProof/>
          <w:color w:val="000000"/>
          <w:sz w:val="22"/>
        </w:rPr>
        <w:t xml:space="preserve">AMRANI HASSANI, M., FILALI BABA, A., ALAMI, M. &amp; LAHLOU, H. 2010. [Laboratory diagnostic and prognostic factors: Multiple myeloma in Morocco.]. </w:t>
      </w:r>
      <w:r w:rsidRPr="004A784D">
        <w:rPr>
          <w:i/>
          <w:noProof/>
          <w:color w:val="000000"/>
          <w:sz w:val="22"/>
        </w:rPr>
        <w:t>Sante,</w:t>
      </w:r>
      <w:r w:rsidRPr="004A784D">
        <w:rPr>
          <w:noProof/>
          <w:color w:val="000000"/>
          <w:sz w:val="22"/>
        </w:rPr>
        <w:t xml:space="preserve"> 20</w:t>
      </w:r>
      <w:r w:rsidRPr="004A784D">
        <w:rPr>
          <w:b/>
          <w:noProof/>
          <w:color w:val="000000"/>
          <w:sz w:val="22"/>
        </w:rPr>
        <w:t>,</w:t>
      </w:r>
      <w:r w:rsidRPr="004A784D">
        <w:rPr>
          <w:noProof/>
          <w:color w:val="000000"/>
          <w:sz w:val="22"/>
        </w:rPr>
        <w:t xml:space="preserve"> 209-213.</w:t>
      </w:r>
      <w:bookmarkEnd w:id="2266"/>
    </w:p>
    <w:p w:rsidR="004A784D" w:rsidRPr="004A784D" w:rsidRDefault="004A784D" w:rsidP="004A784D">
      <w:pPr>
        <w:spacing w:after="240"/>
        <w:jc w:val="both"/>
        <w:rPr>
          <w:noProof/>
          <w:color w:val="000000"/>
          <w:sz w:val="22"/>
        </w:rPr>
      </w:pPr>
      <w:bookmarkStart w:id="2267" w:name="_ENREF_17"/>
      <w:r w:rsidRPr="004A784D">
        <w:rPr>
          <w:noProof/>
          <w:color w:val="000000"/>
          <w:sz w:val="22"/>
        </w:rPr>
        <w:t xml:space="preserve">ANAGNOSTOPOULOS, A., GIKA, D., HAMILOS, G., ZERVAS, K., ZOMAS, A., POULI, A., ZORZOU, M., KASTRITIS, E., ANAGNOSTOPOULOS, N., TASSIDOU, A., ANAGNOSTOU, D. &amp; DIMOPOULOS, M. A. 2004. Treatment of relapsed/refractory multiple myeloma with thalidomide-based regimens: identification of prognostic factors. </w:t>
      </w:r>
      <w:r w:rsidRPr="004A784D">
        <w:rPr>
          <w:i/>
          <w:noProof/>
          <w:color w:val="000000"/>
          <w:sz w:val="22"/>
        </w:rPr>
        <w:t>Leuk Lymphoma,</w:t>
      </w:r>
      <w:r w:rsidRPr="004A784D">
        <w:rPr>
          <w:noProof/>
          <w:color w:val="000000"/>
          <w:sz w:val="22"/>
        </w:rPr>
        <w:t xml:space="preserve"> 45</w:t>
      </w:r>
      <w:r w:rsidRPr="004A784D">
        <w:rPr>
          <w:b/>
          <w:noProof/>
          <w:color w:val="000000"/>
          <w:sz w:val="22"/>
        </w:rPr>
        <w:t>,</w:t>
      </w:r>
      <w:r w:rsidRPr="004A784D">
        <w:rPr>
          <w:noProof/>
          <w:color w:val="000000"/>
          <w:sz w:val="22"/>
        </w:rPr>
        <w:t xml:space="preserve"> 2275-9.</w:t>
      </w:r>
      <w:bookmarkEnd w:id="2267"/>
    </w:p>
    <w:p w:rsidR="004A784D" w:rsidRPr="004A784D" w:rsidRDefault="004A784D" w:rsidP="004A784D">
      <w:pPr>
        <w:spacing w:after="240"/>
        <w:jc w:val="both"/>
        <w:rPr>
          <w:noProof/>
          <w:color w:val="000000"/>
          <w:sz w:val="22"/>
        </w:rPr>
      </w:pPr>
      <w:bookmarkStart w:id="2268" w:name="_ENREF_18"/>
      <w:r w:rsidRPr="004A784D">
        <w:rPr>
          <w:noProof/>
          <w:color w:val="000000"/>
          <w:sz w:val="22"/>
        </w:rPr>
        <w:t xml:space="preserve">ANAGNOSTOPOULOS, A., GIKA, D., SYMEONIDIS, A., ZERVAS, K., POULI, A., REPOUSSIS, P., GRIGORAKI, V., ANAGNOSTOPOULOS, N., ECONOMOPOULOS, T., MANIATIS, A. &amp; DIMOPOULOS, M. A. 2005. Multiple myeloma in elderly patients: prognostic factors and outcome. </w:t>
      </w:r>
      <w:r w:rsidRPr="004A784D">
        <w:rPr>
          <w:i/>
          <w:noProof/>
          <w:color w:val="000000"/>
          <w:sz w:val="22"/>
        </w:rPr>
        <w:t>Eur J Haematol,</w:t>
      </w:r>
      <w:r w:rsidRPr="004A784D">
        <w:rPr>
          <w:noProof/>
          <w:color w:val="000000"/>
          <w:sz w:val="22"/>
        </w:rPr>
        <w:t xml:space="preserve"> 75</w:t>
      </w:r>
      <w:r w:rsidRPr="004A784D">
        <w:rPr>
          <w:b/>
          <w:noProof/>
          <w:color w:val="000000"/>
          <w:sz w:val="22"/>
        </w:rPr>
        <w:t>,</w:t>
      </w:r>
      <w:r w:rsidRPr="004A784D">
        <w:rPr>
          <w:noProof/>
          <w:color w:val="000000"/>
          <w:sz w:val="22"/>
        </w:rPr>
        <w:t xml:space="preserve"> 370-5.</w:t>
      </w:r>
      <w:bookmarkEnd w:id="2268"/>
    </w:p>
    <w:p w:rsidR="004A784D" w:rsidRPr="004A784D" w:rsidRDefault="004A784D" w:rsidP="004A784D">
      <w:pPr>
        <w:spacing w:after="240"/>
        <w:jc w:val="both"/>
        <w:rPr>
          <w:noProof/>
          <w:color w:val="000000"/>
          <w:sz w:val="22"/>
        </w:rPr>
      </w:pPr>
      <w:bookmarkStart w:id="2269" w:name="_ENREF_19"/>
      <w:r w:rsidRPr="004A784D">
        <w:rPr>
          <w:noProof/>
          <w:color w:val="000000"/>
          <w:sz w:val="22"/>
        </w:rPr>
        <w:t xml:space="preserve">ANDERSEN, J. D., BOYLAN, K. L., XUE, F. S., ANDERSON, L. B., WITTHUHN, B. A., MARKOWSKI, T. W., HIGGINS, L. &amp; SKUBITZ, A. P. Identification of candidate biomarkers in ovarian cancer serum by depletion of highly abundant proteins and differential in-gel electrophoresis. </w:t>
      </w:r>
      <w:r w:rsidRPr="004A784D">
        <w:rPr>
          <w:i/>
          <w:noProof/>
          <w:color w:val="000000"/>
          <w:sz w:val="22"/>
        </w:rPr>
        <w:t>Electrophoresis,</w:t>
      </w:r>
      <w:r w:rsidRPr="004A784D">
        <w:rPr>
          <w:noProof/>
          <w:color w:val="000000"/>
          <w:sz w:val="22"/>
        </w:rPr>
        <w:t xml:space="preserve"> 31</w:t>
      </w:r>
      <w:r w:rsidRPr="004A784D">
        <w:rPr>
          <w:b/>
          <w:noProof/>
          <w:color w:val="000000"/>
          <w:sz w:val="22"/>
        </w:rPr>
        <w:t>,</w:t>
      </w:r>
      <w:r w:rsidRPr="004A784D">
        <w:rPr>
          <w:noProof/>
          <w:color w:val="000000"/>
          <w:sz w:val="22"/>
        </w:rPr>
        <w:t xml:space="preserve"> 599-610.</w:t>
      </w:r>
      <w:bookmarkEnd w:id="2269"/>
    </w:p>
    <w:p w:rsidR="004A784D" w:rsidRPr="004A784D" w:rsidRDefault="004A784D" w:rsidP="004A784D">
      <w:pPr>
        <w:spacing w:after="240"/>
        <w:jc w:val="both"/>
        <w:rPr>
          <w:noProof/>
          <w:color w:val="000000"/>
          <w:sz w:val="22"/>
        </w:rPr>
      </w:pPr>
      <w:bookmarkStart w:id="2270" w:name="_ENREF_20"/>
      <w:r w:rsidRPr="004A784D">
        <w:rPr>
          <w:noProof/>
          <w:color w:val="000000"/>
          <w:sz w:val="22"/>
        </w:rPr>
        <w:t xml:space="preserve">ANDERSON, K. C. 2001. Multiple Myeloma. Advances in disease biology: therapeutic implications. </w:t>
      </w:r>
      <w:r w:rsidRPr="004A784D">
        <w:rPr>
          <w:i/>
          <w:noProof/>
          <w:color w:val="000000"/>
          <w:sz w:val="22"/>
        </w:rPr>
        <w:t>Semin Hematol,</w:t>
      </w:r>
      <w:r w:rsidRPr="004A784D">
        <w:rPr>
          <w:noProof/>
          <w:color w:val="000000"/>
          <w:sz w:val="22"/>
        </w:rPr>
        <w:t xml:space="preserve"> 38</w:t>
      </w:r>
      <w:r w:rsidRPr="004A784D">
        <w:rPr>
          <w:b/>
          <w:noProof/>
          <w:color w:val="000000"/>
          <w:sz w:val="22"/>
        </w:rPr>
        <w:t>,</w:t>
      </w:r>
      <w:r w:rsidRPr="004A784D">
        <w:rPr>
          <w:noProof/>
          <w:color w:val="000000"/>
          <w:sz w:val="22"/>
        </w:rPr>
        <w:t xml:space="preserve"> 6-10.</w:t>
      </w:r>
      <w:bookmarkEnd w:id="2270"/>
    </w:p>
    <w:p w:rsidR="004A784D" w:rsidRPr="004A784D" w:rsidRDefault="004A784D" w:rsidP="004A784D">
      <w:pPr>
        <w:spacing w:after="240"/>
        <w:jc w:val="both"/>
        <w:rPr>
          <w:noProof/>
          <w:color w:val="000000"/>
          <w:sz w:val="22"/>
        </w:rPr>
      </w:pPr>
      <w:bookmarkStart w:id="2271" w:name="_ENREF_21"/>
      <w:r w:rsidRPr="004A784D">
        <w:rPr>
          <w:noProof/>
          <w:color w:val="000000"/>
          <w:sz w:val="22"/>
        </w:rPr>
        <w:t xml:space="preserve">ANDERSON, K. C. 2005. Lenalidomide and thalidomide: mechanisms of action--similarities and differences. </w:t>
      </w:r>
      <w:r w:rsidRPr="004A784D">
        <w:rPr>
          <w:i/>
          <w:noProof/>
          <w:color w:val="000000"/>
          <w:sz w:val="22"/>
        </w:rPr>
        <w:t>Semin Hematol,</w:t>
      </w:r>
      <w:r w:rsidRPr="004A784D">
        <w:rPr>
          <w:noProof/>
          <w:color w:val="000000"/>
          <w:sz w:val="22"/>
        </w:rPr>
        <w:t xml:space="preserve"> 42</w:t>
      </w:r>
      <w:r w:rsidRPr="004A784D">
        <w:rPr>
          <w:b/>
          <w:noProof/>
          <w:color w:val="000000"/>
          <w:sz w:val="22"/>
        </w:rPr>
        <w:t>,</w:t>
      </w:r>
      <w:r w:rsidRPr="004A784D">
        <w:rPr>
          <w:noProof/>
          <w:color w:val="000000"/>
          <w:sz w:val="22"/>
        </w:rPr>
        <w:t xml:space="preserve"> S3-8.</w:t>
      </w:r>
      <w:bookmarkEnd w:id="2271"/>
    </w:p>
    <w:p w:rsidR="004A784D" w:rsidRPr="004A784D" w:rsidRDefault="004A784D" w:rsidP="004A784D">
      <w:pPr>
        <w:spacing w:after="240"/>
        <w:jc w:val="both"/>
        <w:rPr>
          <w:noProof/>
          <w:color w:val="000000"/>
          <w:sz w:val="22"/>
        </w:rPr>
      </w:pPr>
      <w:bookmarkStart w:id="2272" w:name="_ENREF_22"/>
      <w:r w:rsidRPr="004A784D">
        <w:rPr>
          <w:noProof/>
          <w:color w:val="000000"/>
          <w:sz w:val="22"/>
        </w:rPr>
        <w:t xml:space="preserve">ANDERSON, N. L., JACKSON, A., SMITH, D., HARDIE, D., BORCHERS, C. &amp; PEARSON, T. W. 2009. SISCAPA peptide enrichment on magnetic beads using an inline beadtrap device. </w:t>
      </w:r>
      <w:r w:rsidRPr="004A784D">
        <w:rPr>
          <w:i/>
          <w:noProof/>
          <w:color w:val="000000"/>
          <w:sz w:val="22"/>
        </w:rPr>
        <w:t>Mol Cell Proteomics</w:t>
      </w:r>
      <w:r w:rsidRPr="004A784D">
        <w:rPr>
          <w:noProof/>
          <w:color w:val="000000"/>
          <w:sz w:val="22"/>
        </w:rPr>
        <w:t>.</w:t>
      </w:r>
      <w:bookmarkEnd w:id="2272"/>
    </w:p>
    <w:p w:rsidR="004A784D" w:rsidRPr="004A784D" w:rsidRDefault="004A784D" w:rsidP="004A784D">
      <w:pPr>
        <w:spacing w:after="240"/>
        <w:jc w:val="both"/>
        <w:rPr>
          <w:noProof/>
          <w:color w:val="000000"/>
          <w:sz w:val="22"/>
        </w:rPr>
      </w:pPr>
      <w:bookmarkStart w:id="2273" w:name="_ENREF_23"/>
      <w:r w:rsidRPr="004A784D">
        <w:rPr>
          <w:noProof/>
          <w:color w:val="000000"/>
          <w:sz w:val="22"/>
        </w:rPr>
        <w:t xml:space="preserve">ANDERSON, T. J., TCHERNYSHYOV, I., DIEZ, R., COLE, R. N., GEMAN, D., DANG, C. V. &amp; WINSLOW, R. L. 2007. Discovering robust protein biomarkers for disease from relative expression reversals in 2-D DIGE data. </w:t>
      </w:r>
      <w:r w:rsidRPr="004A784D">
        <w:rPr>
          <w:i/>
          <w:noProof/>
          <w:color w:val="000000"/>
          <w:sz w:val="22"/>
        </w:rPr>
        <w:t>Proteomics,</w:t>
      </w:r>
      <w:r w:rsidRPr="004A784D">
        <w:rPr>
          <w:noProof/>
          <w:color w:val="000000"/>
          <w:sz w:val="22"/>
        </w:rPr>
        <w:t xml:space="preserve"> 7</w:t>
      </w:r>
      <w:r w:rsidRPr="004A784D">
        <w:rPr>
          <w:b/>
          <w:noProof/>
          <w:color w:val="000000"/>
          <w:sz w:val="22"/>
        </w:rPr>
        <w:t>,</w:t>
      </w:r>
      <w:r w:rsidRPr="004A784D">
        <w:rPr>
          <w:noProof/>
          <w:color w:val="000000"/>
          <w:sz w:val="22"/>
        </w:rPr>
        <w:t xml:space="preserve"> 1197-207.</w:t>
      </w:r>
      <w:bookmarkEnd w:id="2273"/>
    </w:p>
    <w:p w:rsidR="004A784D" w:rsidRPr="004A784D" w:rsidRDefault="004A784D" w:rsidP="004A784D">
      <w:pPr>
        <w:spacing w:after="240"/>
        <w:jc w:val="both"/>
        <w:rPr>
          <w:noProof/>
          <w:color w:val="000000"/>
          <w:sz w:val="22"/>
        </w:rPr>
      </w:pPr>
      <w:bookmarkStart w:id="2274" w:name="_ENREF_24"/>
      <w:r w:rsidRPr="004A784D">
        <w:rPr>
          <w:noProof/>
          <w:color w:val="000000"/>
          <w:sz w:val="22"/>
        </w:rPr>
        <w:t xml:space="preserve">ANDORNO, R. 2006. [Population bio-banks: a juridical analysis based on Icelandic and Estonian experience]. </w:t>
      </w:r>
      <w:r w:rsidRPr="004A784D">
        <w:rPr>
          <w:i/>
          <w:noProof/>
          <w:color w:val="000000"/>
          <w:sz w:val="22"/>
        </w:rPr>
        <w:t>Rev Derecho Genoma Hum</w:t>
      </w:r>
      <w:r w:rsidRPr="004A784D">
        <w:rPr>
          <w:b/>
          <w:noProof/>
          <w:color w:val="000000"/>
          <w:sz w:val="22"/>
        </w:rPr>
        <w:t>,</w:t>
      </w:r>
      <w:r w:rsidRPr="004A784D">
        <w:rPr>
          <w:noProof/>
          <w:color w:val="000000"/>
          <w:sz w:val="22"/>
        </w:rPr>
        <w:t xml:space="preserve"> 55-76.</w:t>
      </w:r>
      <w:bookmarkEnd w:id="2274"/>
    </w:p>
    <w:p w:rsidR="004A784D" w:rsidRPr="004A784D" w:rsidRDefault="004A784D" w:rsidP="004A784D">
      <w:pPr>
        <w:spacing w:after="240"/>
        <w:jc w:val="both"/>
        <w:rPr>
          <w:noProof/>
          <w:color w:val="000000"/>
          <w:sz w:val="22"/>
        </w:rPr>
      </w:pPr>
      <w:bookmarkStart w:id="2275" w:name="_ENREF_25"/>
      <w:r w:rsidRPr="004A784D">
        <w:rPr>
          <w:noProof/>
          <w:color w:val="000000"/>
          <w:sz w:val="22"/>
        </w:rPr>
        <w:t xml:space="preserve">ANGUIANO, A., TUCHMAN, S. A., ACHARYA, C., SALTER, K., GASPARETTO, C., ZHAN, F., DHODAPKAR, M., NEVINS, J., BARLOGIE, B., SHAUGHNESSY, J. D., JR. &amp; POTTI, A. 2009. Gene expression profiles of tumor biology provide a novel approach to </w:t>
      </w:r>
      <w:r w:rsidRPr="004A784D">
        <w:rPr>
          <w:noProof/>
          <w:color w:val="000000"/>
          <w:sz w:val="22"/>
        </w:rPr>
        <w:lastRenderedPageBreak/>
        <w:t xml:space="preserve">prognosis and may guide the selection of therapeutic targets in multiple myeloma. </w:t>
      </w:r>
      <w:r w:rsidRPr="004A784D">
        <w:rPr>
          <w:i/>
          <w:noProof/>
          <w:color w:val="000000"/>
          <w:sz w:val="22"/>
        </w:rPr>
        <w:t>J Clin Oncol,</w:t>
      </w:r>
      <w:r w:rsidRPr="004A784D">
        <w:rPr>
          <w:noProof/>
          <w:color w:val="000000"/>
          <w:sz w:val="22"/>
        </w:rPr>
        <w:t xml:space="preserve"> 27</w:t>
      </w:r>
      <w:r w:rsidRPr="004A784D">
        <w:rPr>
          <w:b/>
          <w:noProof/>
          <w:color w:val="000000"/>
          <w:sz w:val="22"/>
        </w:rPr>
        <w:t>,</w:t>
      </w:r>
      <w:r w:rsidRPr="004A784D">
        <w:rPr>
          <w:noProof/>
          <w:color w:val="000000"/>
          <w:sz w:val="22"/>
        </w:rPr>
        <w:t xml:space="preserve"> 4197-203.</w:t>
      </w:r>
      <w:bookmarkEnd w:id="2275"/>
    </w:p>
    <w:p w:rsidR="004A784D" w:rsidRPr="004A784D" w:rsidRDefault="004A784D" w:rsidP="004A784D">
      <w:pPr>
        <w:spacing w:after="240"/>
        <w:jc w:val="both"/>
        <w:rPr>
          <w:noProof/>
          <w:color w:val="000000"/>
          <w:sz w:val="22"/>
        </w:rPr>
      </w:pPr>
      <w:bookmarkStart w:id="2276" w:name="_ENREF_26"/>
      <w:r w:rsidRPr="004A784D">
        <w:rPr>
          <w:noProof/>
          <w:color w:val="000000"/>
          <w:sz w:val="22"/>
        </w:rPr>
        <w:t xml:space="preserve">ARIMURA, K., HASHIGUCHI, T. &amp; WATANABE, O. 2008. [Crow-Fukase syndrome and VEGF]. </w:t>
      </w:r>
      <w:r w:rsidRPr="004A784D">
        <w:rPr>
          <w:i/>
          <w:noProof/>
          <w:color w:val="000000"/>
          <w:sz w:val="22"/>
        </w:rPr>
        <w:t>Brain Nerve,</w:t>
      </w:r>
      <w:r w:rsidRPr="004A784D">
        <w:rPr>
          <w:noProof/>
          <w:color w:val="000000"/>
          <w:sz w:val="22"/>
        </w:rPr>
        <w:t xml:space="preserve"> 60</w:t>
      </w:r>
      <w:r w:rsidRPr="004A784D">
        <w:rPr>
          <w:b/>
          <w:noProof/>
          <w:color w:val="000000"/>
          <w:sz w:val="22"/>
        </w:rPr>
        <w:t>,</w:t>
      </w:r>
      <w:r w:rsidRPr="004A784D">
        <w:rPr>
          <w:noProof/>
          <w:color w:val="000000"/>
          <w:sz w:val="22"/>
        </w:rPr>
        <w:t xml:space="preserve"> 611-9.</w:t>
      </w:r>
      <w:bookmarkEnd w:id="2276"/>
    </w:p>
    <w:p w:rsidR="004A784D" w:rsidRPr="004A784D" w:rsidRDefault="004A784D" w:rsidP="004A784D">
      <w:pPr>
        <w:spacing w:after="240"/>
        <w:jc w:val="both"/>
        <w:rPr>
          <w:noProof/>
          <w:color w:val="000000"/>
          <w:sz w:val="22"/>
        </w:rPr>
      </w:pPr>
      <w:bookmarkStart w:id="2277" w:name="_ENREF_27"/>
      <w:r w:rsidRPr="004A784D">
        <w:rPr>
          <w:noProof/>
          <w:color w:val="000000"/>
          <w:sz w:val="22"/>
        </w:rPr>
        <w:t xml:space="preserve">ASARA, J. M., ZHANG, X., ZHENG, B., CHRISTOFK, H. H., WU, N. &amp; CANTLEY, L. C. 2006. In-Gel Stable-Isotope Labeling (ISIL): a strategy for mass spectrometry-based relative quantification. </w:t>
      </w:r>
      <w:r w:rsidRPr="004A784D">
        <w:rPr>
          <w:i/>
          <w:noProof/>
          <w:color w:val="000000"/>
          <w:sz w:val="22"/>
        </w:rPr>
        <w:t>J Proteome Res,</w:t>
      </w:r>
      <w:r w:rsidRPr="004A784D">
        <w:rPr>
          <w:noProof/>
          <w:color w:val="000000"/>
          <w:sz w:val="22"/>
        </w:rPr>
        <w:t xml:space="preserve"> 5</w:t>
      </w:r>
      <w:r w:rsidRPr="004A784D">
        <w:rPr>
          <w:b/>
          <w:noProof/>
          <w:color w:val="000000"/>
          <w:sz w:val="22"/>
        </w:rPr>
        <w:t>,</w:t>
      </w:r>
      <w:r w:rsidRPr="004A784D">
        <w:rPr>
          <w:noProof/>
          <w:color w:val="000000"/>
          <w:sz w:val="22"/>
        </w:rPr>
        <w:t xml:space="preserve"> 155-63.</w:t>
      </w:r>
      <w:bookmarkEnd w:id="2277"/>
    </w:p>
    <w:p w:rsidR="004A784D" w:rsidRPr="004A784D" w:rsidRDefault="004A784D" w:rsidP="004A784D">
      <w:pPr>
        <w:spacing w:after="240"/>
        <w:jc w:val="both"/>
        <w:rPr>
          <w:noProof/>
          <w:color w:val="000000"/>
          <w:sz w:val="22"/>
        </w:rPr>
      </w:pPr>
      <w:bookmarkStart w:id="2278" w:name="_ENREF_28"/>
      <w:r w:rsidRPr="004A784D">
        <w:rPr>
          <w:noProof/>
          <w:color w:val="000000"/>
          <w:sz w:val="22"/>
        </w:rPr>
        <w:t xml:space="preserve">ASSLABER, M. &amp; ZATLOUKAL, K. 2007. Biobanks: transnational, European and global networks. </w:t>
      </w:r>
      <w:r w:rsidRPr="004A784D">
        <w:rPr>
          <w:i/>
          <w:noProof/>
          <w:color w:val="000000"/>
          <w:sz w:val="22"/>
        </w:rPr>
        <w:t>Brief Funct Genomic Proteomic,</w:t>
      </w:r>
      <w:r w:rsidRPr="004A784D">
        <w:rPr>
          <w:noProof/>
          <w:color w:val="000000"/>
          <w:sz w:val="22"/>
        </w:rPr>
        <w:t xml:space="preserve"> 6</w:t>
      </w:r>
      <w:r w:rsidRPr="004A784D">
        <w:rPr>
          <w:b/>
          <w:noProof/>
          <w:color w:val="000000"/>
          <w:sz w:val="22"/>
        </w:rPr>
        <w:t>,</w:t>
      </w:r>
      <w:r w:rsidRPr="004A784D">
        <w:rPr>
          <w:noProof/>
          <w:color w:val="000000"/>
          <w:sz w:val="22"/>
        </w:rPr>
        <w:t xml:space="preserve"> 193-201.</w:t>
      </w:r>
      <w:bookmarkEnd w:id="2278"/>
    </w:p>
    <w:p w:rsidR="004A784D" w:rsidRPr="004A784D" w:rsidRDefault="004A784D" w:rsidP="004A784D">
      <w:pPr>
        <w:spacing w:after="240"/>
        <w:jc w:val="both"/>
        <w:rPr>
          <w:noProof/>
          <w:color w:val="000000"/>
          <w:sz w:val="22"/>
        </w:rPr>
      </w:pPr>
      <w:bookmarkStart w:id="2279" w:name="_ENREF_29"/>
      <w:r w:rsidRPr="004A784D">
        <w:rPr>
          <w:noProof/>
          <w:color w:val="000000"/>
          <w:sz w:val="22"/>
        </w:rPr>
        <w:t xml:space="preserve">AVET-LOISEAU, H. 2007. Role of genetics in prognostication in myeloma. </w:t>
      </w:r>
      <w:r w:rsidRPr="004A784D">
        <w:rPr>
          <w:i/>
          <w:noProof/>
          <w:color w:val="000000"/>
          <w:sz w:val="22"/>
        </w:rPr>
        <w:t>Best Pract Res Clin Haematol,</w:t>
      </w:r>
      <w:r w:rsidRPr="004A784D">
        <w:rPr>
          <w:noProof/>
          <w:color w:val="000000"/>
          <w:sz w:val="22"/>
        </w:rPr>
        <w:t xml:space="preserve"> 20</w:t>
      </w:r>
      <w:r w:rsidRPr="004A784D">
        <w:rPr>
          <w:b/>
          <w:noProof/>
          <w:color w:val="000000"/>
          <w:sz w:val="22"/>
        </w:rPr>
        <w:t>,</w:t>
      </w:r>
      <w:r w:rsidRPr="004A784D">
        <w:rPr>
          <w:noProof/>
          <w:color w:val="000000"/>
          <w:sz w:val="22"/>
        </w:rPr>
        <w:t xml:space="preserve"> 625-35.</w:t>
      </w:r>
      <w:bookmarkEnd w:id="2279"/>
    </w:p>
    <w:p w:rsidR="004A784D" w:rsidRPr="004A784D" w:rsidRDefault="004A784D" w:rsidP="004A784D">
      <w:pPr>
        <w:spacing w:after="240"/>
        <w:jc w:val="both"/>
        <w:rPr>
          <w:noProof/>
          <w:color w:val="000000"/>
          <w:sz w:val="22"/>
        </w:rPr>
      </w:pPr>
      <w:bookmarkStart w:id="2280" w:name="_ENREF_30"/>
      <w:r w:rsidRPr="004A784D">
        <w:rPr>
          <w:noProof/>
          <w:color w:val="000000"/>
          <w:sz w:val="22"/>
        </w:rPr>
        <w:t xml:space="preserve">AYDIN, S., DAG, E., OZKAN, Y., ARSLAN, O., KOC, G., BEK, S., KIRBAS, S., KASIKCI, T., ABASLI, D., GOKCIL, Z., ODABASI, Z. &amp; CATAK, Z. 2011. Time-dependent changes in the serum levels of prolactin, nesfatin-1 and ghrelin as a marker of epileptic attacks young male patients. </w:t>
      </w:r>
      <w:r w:rsidRPr="004A784D">
        <w:rPr>
          <w:i/>
          <w:noProof/>
          <w:color w:val="000000"/>
          <w:sz w:val="22"/>
        </w:rPr>
        <w:t>Peptides,</w:t>
      </w:r>
      <w:r w:rsidRPr="004A784D">
        <w:rPr>
          <w:noProof/>
          <w:color w:val="000000"/>
          <w:sz w:val="22"/>
        </w:rPr>
        <w:t xml:space="preserve"> 32</w:t>
      </w:r>
      <w:r w:rsidRPr="004A784D">
        <w:rPr>
          <w:b/>
          <w:noProof/>
          <w:color w:val="000000"/>
          <w:sz w:val="22"/>
        </w:rPr>
        <w:t>,</w:t>
      </w:r>
      <w:r w:rsidRPr="004A784D">
        <w:rPr>
          <w:noProof/>
          <w:color w:val="000000"/>
          <w:sz w:val="22"/>
        </w:rPr>
        <w:t xml:space="preserve"> 1276-80.</w:t>
      </w:r>
      <w:bookmarkEnd w:id="2280"/>
    </w:p>
    <w:p w:rsidR="004A784D" w:rsidRPr="004A784D" w:rsidRDefault="004A784D" w:rsidP="004A784D">
      <w:pPr>
        <w:spacing w:after="240"/>
        <w:jc w:val="both"/>
        <w:rPr>
          <w:noProof/>
          <w:color w:val="000000"/>
          <w:sz w:val="22"/>
        </w:rPr>
      </w:pPr>
      <w:bookmarkStart w:id="2281" w:name="_ENREF_31"/>
      <w:r w:rsidRPr="004A784D">
        <w:rPr>
          <w:noProof/>
          <w:color w:val="000000"/>
          <w:sz w:val="22"/>
        </w:rPr>
        <w:t xml:space="preserve">AYDOGAN, S., CELIKER, U., TURKCUOGLU, P., ILHAN, N. &amp; AKPOLAT, N. 2008. The effect of thalidomide on vascular endothelial growth factor and tumor necrosis factor-alpha levels in retinal ischemia/reperfusion injury. </w:t>
      </w:r>
      <w:r w:rsidRPr="004A784D">
        <w:rPr>
          <w:i/>
          <w:noProof/>
          <w:color w:val="000000"/>
          <w:sz w:val="22"/>
        </w:rPr>
        <w:t>Graefes Arch Clin Exp Ophthalmol,</w:t>
      </w:r>
      <w:r w:rsidRPr="004A784D">
        <w:rPr>
          <w:noProof/>
          <w:color w:val="000000"/>
          <w:sz w:val="22"/>
        </w:rPr>
        <w:t xml:space="preserve"> 246</w:t>
      </w:r>
      <w:r w:rsidRPr="004A784D">
        <w:rPr>
          <w:b/>
          <w:noProof/>
          <w:color w:val="000000"/>
          <w:sz w:val="22"/>
        </w:rPr>
        <w:t>,</w:t>
      </w:r>
      <w:r w:rsidRPr="004A784D">
        <w:rPr>
          <w:noProof/>
          <w:color w:val="000000"/>
          <w:sz w:val="22"/>
        </w:rPr>
        <w:t xml:space="preserve"> 363-8.</w:t>
      </w:r>
      <w:bookmarkEnd w:id="2281"/>
    </w:p>
    <w:p w:rsidR="004A784D" w:rsidRPr="004A784D" w:rsidRDefault="004A784D" w:rsidP="004A784D">
      <w:pPr>
        <w:spacing w:after="240"/>
        <w:jc w:val="both"/>
        <w:rPr>
          <w:noProof/>
          <w:color w:val="000000"/>
          <w:sz w:val="22"/>
        </w:rPr>
      </w:pPr>
      <w:bookmarkStart w:id="2282" w:name="_ENREF_32"/>
      <w:r w:rsidRPr="004A784D">
        <w:rPr>
          <w:noProof/>
          <w:color w:val="000000"/>
          <w:sz w:val="22"/>
        </w:rPr>
        <w:t xml:space="preserve">BAGLEY, S. C., WHITE, H. &amp; GOLOMB, B. A. 2001. Logistic regression in the medical literature: Standards for use and reporting, with particular attention to one medical domain. </w:t>
      </w:r>
      <w:r w:rsidRPr="004A784D">
        <w:rPr>
          <w:i/>
          <w:noProof/>
          <w:color w:val="000000"/>
          <w:sz w:val="22"/>
        </w:rPr>
        <w:t>Journal of Clinical Epidemiology,</w:t>
      </w:r>
      <w:r w:rsidRPr="004A784D">
        <w:rPr>
          <w:noProof/>
          <w:color w:val="000000"/>
          <w:sz w:val="22"/>
        </w:rPr>
        <w:t xml:space="preserve"> 54</w:t>
      </w:r>
      <w:r w:rsidRPr="004A784D">
        <w:rPr>
          <w:b/>
          <w:noProof/>
          <w:color w:val="000000"/>
          <w:sz w:val="22"/>
        </w:rPr>
        <w:t>,</w:t>
      </w:r>
      <w:r w:rsidRPr="004A784D">
        <w:rPr>
          <w:noProof/>
          <w:color w:val="000000"/>
          <w:sz w:val="22"/>
        </w:rPr>
        <w:t xml:space="preserve"> 979-985.</w:t>
      </w:r>
      <w:bookmarkEnd w:id="2282"/>
    </w:p>
    <w:p w:rsidR="004A784D" w:rsidRPr="004A784D" w:rsidRDefault="004A784D" w:rsidP="004A784D">
      <w:pPr>
        <w:spacing w:after="240"/>
        <w:jc w:val="both"/>
        <w:rPr>
          <w:noProof/>
          <w:color w:val="000000"/>
          <w:sz w:val="22"/>
        </w:rPr>
      </w:pPr>
      <w:bookmarkStart w:id="2283" w:name="_ENREF_33"/>
      <w:r w:rsidRPr="004A784D">
        <w:rPr>
          <w:noProof/>
          <w:color w:val="000000"/>
          <w:sz w:val="22"/>
        </w:rPr>
        <w:t xml:space="preserve">BAO, Y., BING, C., HUNTER, L., JENKINS, J. R., WABITSCH, M. &amp; TRAYHURN, P. 2005. Zinc-alpha2-glycoprotein, a lipid mobilizing factor, is expressed and secreted by human (SGBS) adipocytes. </w:t>
      </w:r>
      <w:r w:rsidRPr="004A784D">
        <w:rPr>
          <w:i/>
          <w:noProof/>
          <w:color w:val="000000"/>
          <w:sz w:val="22"/>
        </w:rPr>
        <w:t>FEBS Lett,</w:t>
      </w:r>
      <w:r w:rsidRPr="004A784D">
        <w:rPr>
          <w:noProof/>
          <w:color w:val="000000"/>
          <w:sz w:val="22"/>
        </w:rPr>
        <w:t xml:space="preserve"> 579</w:t>
      </w:r>
      <w:r w:rsidRPr="004A784D">
        <w:rPr>
          <w:b/>
          <w:noProof/>
          <w:color w:val="000000"/>
          <w:sz w:val="22"/>
        </w:rPr>
        <w:t>,</w:t>
      </w:r>
      <w:r w:rsidRPr="004A784D">
        <w:rPr>
          <w:noProof/>
          <w:color w:val="000000"/>
          <w:sz w:val="22"/>
        </w:rPr>
        <w:t xml:space="preserve"> 41-7.</w:t>
      </w:r>
      <w:bookmarkEnd w:id="2283"/>
    </w:p>
    <w:p w:rsidR="004A784D" w:rsidRPr="004A784D" w:rsidRDefault="004A784D" w:rsidP="004A784D">
      <w:pPr>
        <w:spacing w:after="240"/>
        <w:jc w:val="both"/>
        <w:rPr>
          <w:noProof/>
          <w:color w:val="000000"/>
          <w:sz w:val="22"/>
        </w:rPr>
      </w:pPr>
      <w:bookmarkStart w:id="2284" w:name="_ENREF_34"/>
      <w:r w:rsidRPr="004A784D">
        <w:rPr>
          <w:noProof/>
          <w:color w:val="000000"/>
          <w:sz w:val="22"/>
        </w:rPr>
        <w:t xml:space="preserve">BARLOGIE, B., SHAUGHNESSY, J. D., JR. &amp; CROWLEY, J. 2008a. Retraction: Barlogie et al. Duration of survival in patients with myeloma treated with thalidomide. N Engl J Med 2008;359:210-2. </w:t>
      </w:r>
      <w:r w:rsidRPr="004A784D">
        <w:rPr>
          <w:i/>
          <w:noProof/>
          <w:color w:val="000000"/>
          <w:sz w:val="22"/>
        </w:rPr>
        <w:t>N Engl J Med,</w:t>
      </w:r>
      <w:r w:rsidRPr="004A784D">
        <w:rPr>
          <w:noProof/>
          <w:color w:val="000000"/>
          <w:sz w:val="22"/>
        </w:rPr>
        <w:t xml:space="preserve"> 359</w:t>
      </w:r>
      <w:r w:rsidRPr="004A784D">
        <w:rPr>
          <w:b/>
          <w:noProof/>
          <w:color w:val="000000"/>
          <w:sz w:val="22"/>
        </w:rPr>
        <w:t>,</w:t>
      </w:r>
      <w:r w:rsidRPr="004A784D">
        <w:rPr>
          <w:noProof/>
          <w:color w:val="000000"/>
          <w:sz w:val="22"/>
        </w:rPr>
        <w:t xml:space="preserve"> 1410.</w:t>
      </w:r>
      <w:bookmarkEnd w:id="2284"/>
    </w:p>
    <w:p w:rsidR="004A784D" w:rsidRPr="004A784D" w:rsidRDefault="004A784D" w:rsidP="004A784D">
      <w:pPr>
        <w:spacing w:after="240"/>
        <w:jc w:val="both"/>
        <w:rPr>
          <w:noProof/>
          <w:color w:val="000000"/>
          <w:sz w:val="22"/>
        </w:rPr>
      </w:pPr>
      <w:bookmarkStart w:id="2285" w:name="_ENREF_35"/>
      <w:r w:rsidRPr="004A784D">
        <w:rPr>
          <w:noProof/>
          <w:color w:val="000000"/>
          <w:sz w:val="22"/>
        </w:rPr>
        <w:t xml:space="preserve">BARLOGIE, B., SMITH, L. &amp; ALEXANIAN, R. 1984. Effective treatment of advanced multiple myeloma refractory to alkylating agents. </w:t>
      </w:r>
      <w:r w:rsidRPr="004A784D">
        <w:rPr>
          <w:i/>
          <w:noProof/>
          <w:color w:val="000000"/>
          <w:sz w:val="22"/>
        </w:rPr>
        <w:t>N Engl J Med,</w:t>
      </w:r>
      <w:r w:rsidRPr="004A784D">
        <w:rPr>
          <w:noProof/>
          <w:color w:val="000000"/>
          <w:sz w:val="22"/>
        </w:rPr>
        <w:t xml:space="preserve"> 310</w:t>
      </w:r>
      <w:r w:rsidRPr="004A784D">
        <w:rPr>
          <w:b/>
          <w:noProof/>
          <w:color w:val="000000"/>
          <w:sz w:val="22"/>
        </w:rPr>
        <w:t>,</w:t>
      </w:r>
      <w:r w:rsidRPr="004A784D">
        <w:rPr>
          <w:noProof/>
          <w:color w:val="000000"/>
          <w:sz w:val="22"/>
        </w:rPr>
        <w:t xml:space="preserve"> 1353-6.</w:t>
      </w:r>
      <w:bookmarkEnd w:id="2285"/>
    </w:p>
    <w:p w:rsidR="004A784D" w:rsidRPr="004A784D" w:rsidRDefault="004A784D" w:rsidP="004A784D">
      <w:pPr>
        <w:spacing w:after="240"/>
        <w:jc w:val="both"/>
        <w:rPr>
          <w:noProof/>
          <w:color w:val="000000"/>
          <w:sz w:val="22"/>
        </w:rPr>
      </w:pPr>
      <w:bookmarkStart w:id="2286" w:name="_ENREF_36"/>
      <w:r w:rsidRPr="004A784D">
        <w:rPr>
          <w:noProof/>
          <w:color w:val="000000"/>
          <w:sz w:val="22"/>
        </w:rPr>
        <w:t xml:space="preserve">BARLOGIE, B., VAN RHEE, F., SHAUGHNESSY, J. D., JR., EPSTEIN, J., YACCOBY, S., PINEDA-ROMAN, M., HOLLMIG, K., ALSAYED, Y., HOERING, A., SZYMONIFKA, J., ANAISSIE, E., PETTY, N., KUMAR, N. S., SRIVASTAVA, G., JENKINS, B., CROWLEY, J. &amp; ZELDIS, J. B. 2008b. Seven-year median time to progression with thalidomide for smoldering myeloma: partial response identifies subset requiring earlier salvage therapy for symptomatic disease. </w:t>
      </w:r>
      <w:r w:rsidRPr="004A784D">
        <w:rPr>
          <w:i/>
          <w:noProof/>
          <w:color w:val="000000"/>
          <w:sz w:val="22"/>
        </w:rPr>
        <w:t>Blood,</w:t>
      </w:r>
      <w:r w:rsidRPr="004A784D">
        <w:rPr>
          <w:noProof/>
          <w:color w:val="000000"/>
          <w:sz w:val="22"/>
        </w:rPr>
        <w:t xml:space="preserve"> 112</w:t>
      </w:r>
      <w:r w:rsidRPr="004A784D">
        <w:rPr>
          <w:b/>
          <w:noProof/>
          <w:color w:val="000000"/>
          <w:sz w:val="22"/>
        </w:rPr>
        <w:t>,</w:t>
      </w:r>
      <w:r w:rsidRPr="004A784D">
        <w:rPr>
          <w:noProof/>
          <w:color w:val="000000"/>
          <w:sz w:val="22"/>
        </w:rPr>
        <w:t xml:space="preserve"> 3122-5.</w:t>
      </w:r>
      <w:bookmarkEnd w:id="2286"/>
    </w:p>
    <w:p w:rsidR="004A784D" w:rsidRPr="004A784D" w:rsidRDefault="004A784D" w:rsidP="004A784D">
      <w:pPr>
        <w:spacing w:after="240"/>
        <w:jc w:val="both"/>
        <w:rPr>
          <w:noProof/>
          <w:color w:val="000000"/>
          <w:sz w:val="22"/>
        </w:rPr>
      </w:pPr>
      <w:bookmarkStart w:id="2287" w:name="_ENREF_37"/>
      <w:r w:rsidRPr="004A784D">
        <w:rPr>
          <w:noProof/>
          <w:color w:val="000000"/>
          <w:sz w:val="22"/>
        </w:rPr>
        <w:t xml:space="preserve">BARNES, R. O., PARISIEN, M., MURPHY, L. C. &amp; WATSON, P. H. 2008. Influence of evolution in tumor biobanking on the interpretation of translational research. </w:t>
      </w:r>
      <w:r w:rsidRPr="004A784D">
        <w:rPr>
          <w:i/>
          <w:noProof/>
          <w:color w:val="000000"/>
          <w:sz w:val="22"/>
        </w:rPr>
        <w:t>Cancer Epidemiol Biomarkers Prev,</w:t>
      </w:r>
      <w:r w:rsidRPr="004A784D">
        <w:rPr>
          <w:noProof/>
          <w:color w:val="000000"/>
          <w:sz w:val="22"/>
        </w:rPr>
        <w:t xml:space="preserve"> 17</w:t>
      </w:r>
      <w:r w:rsidRPr="004A784D">
        <w:rPr>
          <w:b/>
          <w:noProof/>
          <w:color w:val="000000"/>
          <w:sz w:val="22"/>
        </w:rPr>
        <w:t>,</w:t>
      </w:r>
      <w:r w:rsidRPr="004A784D">
        <w:rPr>
          <w:noProof/>
          <w:color w:val="000000"/>
          <w:sz w:val="22"/>
        </w:rPr>
        <w:t xml:space="preserve"> 3344-50.</w:t>
      </w:r>
      <w:bookmarkEnd w:id="2287"/>
    </w:p>
    <w:p w:rsidR="004A784D" w:rsidRPr="004A784D" w:rsidRDefault="004A784D" w:rsidP="004A784D">
      <w:pPr>
        <w:spacing w:after="240"/>
        <w:jc w:val="both"/>
        <w:rPr>
          <w:noProof/>
          <w:color w:val="000000"/>
          <w:sz w:val="22"/>
        </w:rPr>
      </w:pPr>
      <w:bookmarkStart w:id="2288" w:name="_ENREF_38"/>
      <w:r w:rsidRPr="004A784D">
        <w:rPr>
          <w:noProof/>
          <w:color w:val="000000"/>
          <w:sz w:val="22"/>
        </w:rPr>
        <w:t xml:space="preserve">BARRICK, M. 2006. Advances in the treatment of multiple myeloma: a nursing perspective. </w:t>
      </w:r>
      <w:r w:rsidRPr="004A784D">
        <w:rPr>
          <w:i/>
          <w:noProof/>
          <w:color w:val="000000"/>
          <w:sz w:val="22"/>
        </w:rPr>
        <w:t>ONS News,</w:t>
      </w:r>
      <w:r w:rsidRPr="004A784D">
        <w:rPr>
          <w:noProof/>
          <w:color w:val="000000"/>
          <w:sz w:val="22"/>
        </w:rPr>
        <w:t xml:space="preserve"> 21</w:t>
      </w:r>
      <w:r w:rsidRPr="004A784D">
        <w:rPr>
          <w:b/>
          <w:noProof/>
          <w:color w:val="000000"/>
          <w:sz w:val="22"/>
        </w:rPr>
        <w:t>,</w:t>
      </w:r>
      <w:r w:rsidRPr="004A784D">
        <w:rPr>
          <w:noProof/>
          <w:color w:val="000000"/>
          <w:sz w:val="22"/>
        </w:rPr>
        <w:t xml:space="preserve"> 15-6.</w:t>
      </w:r>
      <w:bookmarkEnd w:id="2288"/>
    </w:p>
    <w:p w:rsidR="004A784D" w:rsidRPr="004A784D" w:rsidRDefault="004A784D" w:rsidP="004A784D">
      <w:pPr>
        <w:spacing w:after="240"/>
        <w:jc w:val="both"/>
        <w:rPr>
          <w:noProof/>
          <w:color w:val="000000"/>
          <w:sz w:val="22"/>
        </w:rPr>
      </w:pPr>
      <w:bookmarkStart w:id="2289" w:name="_ENREF_39"/>
      <w:r w:rsidRPr="004A784D">
        <w:rPr>
          <w:noProof/>
          <w:color w:val="000000"/>
          <w:sz w:val="22"/>
        </w:rPr>
        <w:lastRenderedPageBreak/>
        <w:t xml:space="preserve">BARTLETT, J. B., MICHAEL, A., CLARKE, I. A., DREDGE, K., NICHOLSON, S., KRISTELEIT, H., POLYCHRONIS, A., PANDHA, H., MULLER, G. W., STIRLING, D. I., ZELDIS, J. &amp; DALGLEISH, A. G. 2004. Phase I study to determine the safety, tolerability and immunostimulatory activity of thalidomide analogue CC-5013 in patients with metastatic malignant melanoma and other advanced cancers. </w:t>
      </w:r>
      <w:r w:rsidRPr="004A784D">
        <w:rPr>
          <w:i/>
          <w:noProof/>
          <w:color w:val="000000"/>
          <w:sz w:val="22"/>
        </w:rPr>
        <w:t>Br J Cancer,</w:t>
      </w:r>
      <w:r w:rsidRPr="004A784D">
        <w:rPr>
          <w:noProof/>
          <w:color w:val="000000"/>
          <w:sz w:val="22"/>
        </w:rPr>
        <w:t xml:space="preserve"> 90</w:t>
      </w:r>
      <w:r w:rsidRPr="004A784D">
        <w:rPr>
          <w:b/>
          <w:noProof/>
          <w:color w:val="000000"/>
          <w:sz w:val="22"/>
        </w:rPr>
        <w:t>,</w:t>
      </w:r>
      <w:r w:rsidRPr="004A784D">
        <w:rPr>
          <w:noProof/>
          <w:color w:val="000000"/>
          <w:sz w:val="22"/>
        </w:rPr>
        <w:t xml:space="preserve"> 955-61.</w:t>
      </w:r>
      <w:bookmarkEnd w:id="2289"/>
    </w:p>
    <w:p w:rsidR="004A784D" w:rsidRPr="004A784D" w:rsidRDefault="004A784D" w:rsidP="004A784D">
      <w:pPr>
        <w:spacing w:after="240"/>
        <w:jc w:val="both"/>
        <w:rPr>
          <w:noProof/>
          <w:color w:val="000000"/>
          <w:sz w:val="22"/>
        </w:rPr>
      </w:pPr>
      <w:bookmarkStart w:id="2290" w:name="_ENREF_40"/>
      <w:r w:rsidRPr="004A784D">
        <w:rPr>
          <w:noProof/>
          <w:color w:val="000000"/>
          <w:sz w:val="22"/>
        </w:rPr>
        <w:t xml:space="preserve">BECKMAN, R. A., CLARK, J. &amp; CHEN, C. 2011. Integrating predictive biomarkers and classifiers into oncology clinical development programmes. </w:t>
      </w:r>
      <w:r w:rsidRPr="004A784D">
        <w:rPr>
          <w:i/>
          <w:noProof/>
          <w:color w:val="000000"/>
          <w:sz w:val="22"/>
        </w:rPr>
        <w:t>Nat Rev Drug Discov,</w:t>
      </w:r>
      <w:r w:rsidRPr="004A784D">
        <w:rPr>
          <w:noProof/>
          <w:color w:val="000000"/>
          <w:sz w:val="22"/>
        </w:rPr>
        <w:t xml:space="preserve"> 10</w:t>
      </w:r>
      <w:r w:rsidRPr="004A784D">
        <w:rPr>
          <w:b/>
          <w:noProof/>
          <w:color w:val="000000"/>
          <w:sz w:val="22"/>
        </w:rPr>
        <w:t>,</w:t>
      </w:r>
      <w:r w:rsidRPr="004A784D">
        <w:rPr>
          <w:noProof/>
          <w:color w:val="000000"/>
          <w:sz w:val="22"/>
        </w:rPr>
        <w:t xml:space="preserve"> 735-48.</w:t>
      </w:r>
      <w:bookmarkEnd w:id="2290"/>
    </w:p>
    <w:p w:rsidR="004A784D" w:rsidRPr="004A784D" w:rsidRDefault="004A784D" w:rsidP="004A784D">
      <w:pPr>
        <w:spacing w:after="240"/>
        <w:jc w:val="both"/>
        <w:rPr>
          <w:noProof/>
          <w:color w:val="000000"/>
          <w:sz w:val="22"/>
        </w:rPr>
      </w:pPr>
      <w:bookmarkStart w:id="2291" w:name="_ENREF_41"/>
      <w:r w:rsidRPr="004A784D">
        <w:rPr>
          <w:noProof/>
          <w:color w:val="000000"/>
          <w:sz w:val="22"/>
        </w:rPr>
        <w:t xml:space="preserve">BERGSAGEL, P. L. 2007. Individualizing therapy using molecular markers in multiple myeloma. </w:t>
      </w:r>
      <w:r w:rsidRPr="004A784D">
        <w:rPr>
          <w:i/>
          <w:noProof/>
          <w:color w:val="000000"/>
          <w:sz w:val="22"/>
        </w:rPr>
        <w:t>Clin Lymphoma Myeloma,</w:t>
      </w:r>
      <w:r w:rsidRPr="004A784D">
        <w:rPr>
          <w:noProof/>
          <w:color w:val="000000"/>
          <w:sz w:val="22"/>
        </w:rPr>
        <w:t xml:space="preserve"> 7 Suppl 4</w:t>
      </w:r>
      <w:r w:rsidRPr="004A784D">
        <w:rPr>
          <w:b/>
          <w:noProof/>
          <w:color w:val="000000"/>
          <w:sz w:val="22"/>
        </w:rPr>
        <w:t>,</w:t>
      </w:r>
      <w:r w:rsidRPr="004A784D">
        <w:rPr>
          <w:noProof/>
          <w:color w:val="000000"/>
          <w:sz w:val="22"/>
        </w:rPr>
        <w:t xml:space="preserve"> S170-4.</w:t>
      </w:r>
      <w:bookmarkEnd w:id="2291"/>
    </w:p>
    <w:p w:rsidR="004A784D" w:rsidRPr="004A784D" w:rsidRDefault="004A784D" w:rsidP="004A784D">
      <w:pPr>
        <w:spacing w:after="240"/>
        <w:jc w:val="both"/>
        <w:rPr>
          <w:noProof/>
          <w:color w:val="000000"/>
          <w:sz w:val="22"/>
        </w:rPr>
      </w:pPr>
      <w:bookmarkStart w:id="2292" w:name="_ENREF_42"/>
      <w:r w:rsidRPr="004A784D">
        <w:rPr>
          <w:noProof/>
          <w:color w:val="000000"/>
          <w:sz w:val="22"/>
        </w:rPr>
        <w:t xml:space="preserve">BESTARD MATAMOROS, O., POVEDA MONJE, R., IBERNON VILARO, M., CARRERA PLANS, M. &amp; GRINYO BOIRA, J. M. 2008. [Systemic AA amyloidosis induced by benign neoplasms]. </w:t>
      </w:r>
      <w:r w:rsidRPr="004A784D">
        <w:rPr>
          <w:i/>
          <w:noProof/>
          <w:color w:val="000000"/>
          <w:sz w:val="22"/>
        </w:rPr>
        <w:t>Nefrologia,</w:t>
      </w:r>
      <w:r w:rsidRPr="004A784D">
        <w:rPr>
          <w:noProof/>
          <w:color w:val="000000"/>
          <w:sz w:val="22"/>
        </w:rPr>
        <w:t xml:space="preserve"> 28</w:t>
      </w:r>
      <w:r w:rsidRPr="004A784D">
        <w:rPr>
          <w:b/>
          <w:noProof/>
          <w:color w:val="000000"/>
          <w:sz w:val="22"/>
        </w:rPr>
        <w:t>,</w:t>
      </w:r>
      <w:r w:rsidRPr="004A784D">
        <w:rPr>
          <w:noProof/>
          <w:color w:val="000000"/>
          <w:sz w:val="22"/>
        </w:rPr>
        <w:t xml:space="preserve"> 93-8.</w:t>
      </w:r>
      <w:bookmarkEnd w:id="2292"/>
    </w:p>
    <w:p w:rsidR="004A784D" w:rsidRPr="004A784D" w:rsidRDefault="004A784D" w:rsidP="004A784D">
      <w:pPr>
        <w:spacing w:after="240"/>
        <w:jc w:val="both"/>
        <w:rPr>
          <w:noProof/>
          <w:color w:val="000000"/>
          <w:sz w:val="22"/>
        </w:rPr>
      </w:pPr>
      <w:bookmarkStart w:id="2293" w:name="_ENREF_43"/>
      <w:r w:rsidRPr="004A784D">
        <w:rPr>
          <w:noProof/>
          <w:color w:val="000000"/>
          <w:sz w:val="22"/>
        </w:rPr>
        <w:t xml:space="preserve">BHANOT, G., ALEXE, G., VENKATARAGHAVAN, B. &amp; LEVINE, A. J. 2006. A robust meta-classification strategy for cancer detection from MS data. </w:t>
      </w:r>
      <w:r w:rsidRPr="004A784D">
        <w:rPr>
          <w:i/>
          <w:noProof/>
          <w:color w:val="000000"/>
          <w:sz w:val="22"/>
        </w:rPr>
        <w:t>Proteomics,</w:t>
      </w:r>
      <w:r w:rsidRPr="004A784D">
        <w:rPr>
          <w:noProof/>
          <w:color w:val="000000"/>
          <w:sz w:val="22"/>
        </w:rPr>
        <w:t xml:space="preserve"> 6</w:t>
      </w:r>
      <w:r w:rsidRPr="004A784D">
        <w:rPr>
          <w:b/>
          <w:noProof/>
          <w:color w:val="000000"/>
          <w:sz w:val="22"/>
        </w:rPr>
        <w:t>,</w:t>
      </w:r>
      <w:r w:rsidRPr="004A784D">
        <w:rPr>
          <w:noProof/>
          <w:color w:val="000000"/>
          <w:sz w:val="22"/>
        </w:rPr>
        <w:t xml:space="preserve"> 592-604.</w:t>
      </w:r>
      <w:bookmarkEnd w:id="2293"/>
    </w:p>
    <w:p w:rsidR="004A784D" w:rsidRPr="004A784D" w:rsidRDefault="004A784D" w:rsidP="004A784D">
      <w:pPr>
        <w:spacing w:after="240"/>
        <w:jc w:val="both"/>
        <w:rPr>
          <w:noProof/>
          <w:color w:val="000000"/>
          <w:sz w:val="22"/>
        </w:rPr>
      </w:pPr>
      <w:bookmarkStart w:id="2294" w:name="_ENREF_44"/>
      <w:r w:rsidRPr="004A784D">
        <w:rPr>
          <w:noProof/>
          <w:color w:val="000000"/>
          <w:sz w:val="22"/>
        </w:rPr>
        <w:t xml:space="preserve">BIEN, E. &amp; BALCERSKA, A. 2008. Serum soluble interleukin 2 receptor alpha in human cancer of adults and children: a review. </w:t>
      </w:r>
      <w:r w:rsidRPr="004A784D">
        <w:rPr>
          <w:i/>
          <w:noProof/>
          <w:color w:val="000000"/>
          <w:sz w:val="22"/>
        </w:rPr>
        <w:t>Biomarkers,</w:t>
      </w:r>
      <w:r w:rsidRPr="004A784D">
        <w:rPr>
          <w:noProof/>
          <w:color w:val="000000"/>
          <w:sz w:val="22"/>
        </w:rPr>
        <w:t xml:space="preserve"> 13</w:t>
      </w:r>
      <w:r w:rsidRPr="004A784D">
        <w:rPr>
          <w:b/>
          <w:noProof/>
          <w:color w:val="000000"/>
          <w:sz w:val="22"/>
        </w:rPr>
        <w:t>,</w:t>
      </w:r>
      <w:r w:rsidRPr="004A784D">
        <w:rPr>
          <w:noProof/>
          <w:color w:val="000000"/>
          <w:sz w:val="22"/>
        </w:rPr>
        <w:t xml:space="preserve"> 1-26.</w:t>
      </w:r>
      <w:bookmarkEnd w:id="2294"/>
    </w:p>
    <w:p w:rsidR="004A784D" w:rsidRPr="004A784D" w:rsidRDefault="004A784D" w:rsidP="004A784D">
      <w:pPr>
        <w:spacing w:after="240"/>
        <w:jc w:val="both"/>
        <w:rPr>
          <w:noProof/>
          <w:color w:val="000000"/>
          <w:sz w:val="22"/>
        </w:rPr>
      </w:pPr>
      <w:bookmarkStart w:id="2295" w:name="_ENREF_45"/>
      <w:r w:rsidRPr="004A784D">
        <w:rPr>
          <w:noProof/>
          <w:color w:val="000000"/>
          <w:sz w:val="22"/>
        </w:rPr>
        <w:t xml:space="preserve">BING, C., BAO, Y., JENKINS, J., SANDERS, P., MANIERI, M., CINTI, S., TISDALE, M. J. &amp; TRAYHURN, P. 2004. Zinc-alpha2-glycoprotein, a lipid mobilizing factor, is expressed in adipocytes and is up-regulated in mice with cancer cachexia. </w:t>
      </w:r>
      <w:r w:rsidRPr="004A784D">
        <w:rPr>
          <w:i/>
          <w:noProof/>
          <w:color w:val="000000"/>
          <w:sz w:val="22"/>
        </w:rPr>
        <w:t>Proc Natl Acad Sci U S A,</w:t>
      </w:r>
      <w:r w:rsidRPr="004A784D">
        <w:rPr>
          <w:noProof/>
          <w:color w:val="000000"/>
          <w:sz w:val="22"/>
        </w:rPr>
        <w:t xml:space="preserve"> 101</w:t>
      </w:r>
      <w:r w:rsidRPr="004A784D">
        <w:rPr>
          <w:b/>
          <w:noProof/>
          <w:color w:val="000000"/>
          <w:sz w:val="22"/>
        </w:rPr>
        <w:t>,</w:t>
      </w:r>
      <w:r w:rsidRPr="004A784D">
        <w:rPr>
          <w:noProof/>
          <w:color w:val="000000"/>
          <w:sz w:val="22"/>
        </w:rPr>
        <w:t xml:space="preserve"> 2500-5.</w:t>
      </w:r>
      <w:bookmarkEnd w:id="2295"/>
    </w:p>
    <w:p w:rsidR="004A784D" w:rsidRPr="004A784D" w:rsidRDefault="004A784D" w:rsidP="004A784D">
      <w:pPr>
        <w:spacing w:after="240"/>
        <w:jc w:val="both"/>
        <w:rPr>
          <w:noProof/>
          <w:color w:val="000000"/>
          <w:sz w:val="22"/>
        </w:rPr>
      </w:pPr>
      <w:bookmarkStart w:id="2296" w:name="_ENREF_46"/>
      <w:r w:rsidRPr="004A784D">
        <w:rPr>
          <w:noProof/>
          <w:color w:val="000000"/>
          <w:sz w:val="22"/>
        </w:rPr>
        <w:t xml:space="preserve">BIOULAC-SAGE, P., BALABAUD, C. &amp; ZUCMAN-ROSSI, J. 2010. Subtype classification of hepatocellular adenoma. </w:t>
      </w:r>
      <w:r w:rsidRPr="004A784D">
        <w:rPr>
          <w:i/>
          <w:noProof/>
          <w:color w:val="000000"/>
          <w:sz w:val="22"/>
        </w:rPr>
        <w:t>Dig Surg,</w:t>
      </w:r>
      <w:r w:rsidRPr="004A784D">
        <w:rPr>
          <w:noProof/>
          <w:color w:val="000000"/>
          <w:sz w:val="22"/>
        </w:rPr>
        <w:t xml:space="preserve"> 27</w:t>
      </w:r>
      <w:r w:rsidRPr="004A784D">
        <w:rPr>
          <w:b/>
          <w:noProof/>
          <w:color w:val="000000"/>
          <w:sz w:val="22"/>
        </w:rPr>
        <w:t>,</w:t>
      </w:r>
      <w:r w:rsidRPr="004A784D">
        <w:rPr>
          <w:noProof/>
          <w:color w:val="000000"/>
          <w:sz w:val="22"/>
        </w:rPr>
        <w:t xml:space="preserve"> 39-45.</w:t>
      </w:r>
      <w:bookmarkEnd w:id="2296"/>
    </w:p>
    <w:p w:rsidR="004A784D" w:rsidRPr="004A784D" w:rsidRDefault="004A784D" w:rsidP="004A784D">
      <w:pPr>
        <w:spacing w:after="240"/>
        <w:jc w:val="both"/>
        <w:rPr>
          <w:noProof/>
          <w:color w:val="000000"/>
          <w:sz w:val="22"/>
        </w:rPr>
      </w:pPr>
      <w:bookmarkStart w:id="2297" w:name="_ENREF_47"/>
      <w:r w:rsidRPr="004A784D">
        <w:rPr>
          <w:noProof/>
          <w:color w:val="000000"/>
          <w:sz w:val="22"/>
        </w:rPr>
        <w:t xml:space="preserve">BIRKNER, M. D., HUBBARD, A. E., VAN DER LAAN, M. J., SKIBOLA, C. F., HEGEDUS, C. M. &amp; SMITH, M. T. 2006. Issues of processing and multiple testing of SELDI-TOF MS proteomic data. </w:t>
      </w:r>
      <w:r w:rsidRPr="004A784D">
        <w:rPr>
          <w:i/>
          <w:noProof/>
          <w:color w:val="000000"/>
          <w:sz w:val="22"/>
        </w:rPr>
        <w:t>Stat Appl Genet Mol Biol,</w:t>
      </w:r>
      <w:r w:rsidRPr="004A784D">
        <w:rPr>
          <w:noProof/>
          <w:color w:val="000000"/>
          <w:sz w:val="22"/>
        </w:rPr>
        <w:t xml:space="preserve"> 5</w:t>
      </w:r>
      <w:r w:rsidRPr="004A784D">
        <w:rPr>
          <w:b/>
          <w:noProof/>
          <w:color w:val="000000"/>
          <w:sz w:val="22"/>
        </w:rPr>
        <w:t>,</w:t>
      </w:r>
      <w:r w:rsidRPr="004A784D">
        <w:rPr>
          <w:noProof/>
          <w:color w:val="000000"/>
          <w:sz w:val="22"/>
        </w:rPr>
        <w:t xml:space="preserve"> Article11.</w:t>
      </w:r>
      <w:bookmarkEnd w:id="2297"/>
    </w:p>
    <w:p w:rsidR="004A784D" w:rsidRPr="004A784D" w:rsidRDefault="004A784D" w:rsidP="004A784D">
      <w:pPr>
        <w:spacing w:after="240"/>
        <w:jc w:val="both"/>
        <w:rPr>
          <w:noProof/>
          <w:color w:val="000000"/>
          <w:sz w:val="22"/>
        </w:rPr>
      </w:pPr>
      <w:bookmarkStart w:id="2298" w:name="_ENREF_48"/>
      <w:r w:rsidRPr="004A784D">
        <w:rPr>
          <w:noProof/>
          <w:color w:val="000000"/>
          <w:sz w:val="22"/>
        </w:rPr>
        <w:t xml:space="preserve">BLADE, J. &amp; ROSINOL, L. 2008. Advances in therapy of multiple myeloma. </w:t>
      </w:r>
      <w:r w:rsidRPr="004A784D">
        <w:rPr>
          <w:i/>
          <w:noProof/>
          <w:color w:val="000000"/>
          <w:sz w:val="22"/>
        </w:rPr>
        <w:t>Curr Opin Oncol,</w:t>
      </w:r>
      <w:r w:rsidRPr="004A784D">
        <w:rPr>
          <w:noProof/>
          <w:color w:val="000000"/>
          <w:sz w:val="22"/>
        </w:rPr>
        <w:t xml:space="preserve"> 20</w:t>
      </w:r>
      <w:r w:rsidRPr="004A784D">
        <w:rPr>
          <w:b/>
          <w:noProof/>
          <w:color w:val="000000"/>
          <w:sz w:val="22"/>
        </w:rPr>
        <w:t>,</w:t>
      </w:r>
      <w:r w:rsidRPr="004A784D">
        <w:rPr>
          <w:noProof/>
          <w:color w:val="000000"/>
          <w:sz w:val="22"/>
        </w:rPr>
        <w:t xml:space="preserve"> 697-704.</w:t>
      </w:r>
      <w:bookmarkEnd w:id="2298"/>
    </w:p>
    <w:p w:rsidR="004A784D" w:rsidRPr="004A784D" w:rsidRDefault="004A784D" w:rsidP="004A784D">
      <w:pPr>
        <w:spacing w:after="240"/>
        <w:jc w:val="both"/>
        <w:rPr>
          <w:noProof/>
          <w:color w:val="000000"/>
          <w:sz w:val="22"/>
        </w:rPr>
      </w:pPr>
      <w:bookmarkStart w:id="2299" w:name="_ENREF_49"/>
      <w:r w:rsidRPr="004A784D">
        <w:rPr>
          <w:noProof/>
          <w:color w:val="000000"/>
          <w:sz w:val="22"/>
        </w:rPr>
        <w:t xml:space="preserve">BOUCHAL, P., ROUMELIOTIS, T., HRSTKA, R., NENUTIL, R., VOJTESEK, B. &amp; GARBIS, S. D. 2009. Biomarker discovery in low-grade breast cancer using isobaric stable isotope tags and two-dimensional liquid chromatography-tandem mass spectrometry (iTRAQ-2DLC-MS/MS) based quantitative proteomic analysis. </w:t>
      </w:r>
      <w:r w:rsidRPr="004A784D">
        <w:rPr>
          <w:i/>
          <w:noProof/>
          <w:color w:val="000000"/>
          <w:sz w:val="22"/>
        </w:rPr>
        <w:t>J Proteome Res,</w:t>
      </w:r>
      <w:r w:rsidRPr="004A784D">
        <w:rPr>
          <w:noProof/>
          <w:color w:val="000000"/>
          <w:sz w:val="22"/>
        </w:rPr>
        <w:t xml:space="preserve"> 8</w:t>
      </w:r>
      <w:r w:rsidRPr="004A784D">
        <w:rPr>
          <w:b/>
          <w:noProof/>
          <w:color w:val="000000"/>
          <w:sz w:val="22"/>
        </w:rPr>
        <w:t>,</w:t>
      </w:r>
      <w:r w:rsidRPr="004A784D">
        <w:rPr>
          <w:noProof/>
          <w:color w:val="000000"/>
          <w:sz w:val="22"/>
        </w:rPr>
        <w:t xml:space="preserve"> 362-73.</w:t>
      </w:r>
      <w:bookmarkEnd w:id="2299"/>
    </w:p>
    <w:p w:rsidR="004A784D" w:rsidRPr="004A784D" w:rsidRDefault="004A784D" w:rsidP="004A784D">
      <w:pPr>
        <w:spacing w:after="240"/>
        <w:jc w:val="both"/>
        <w:rPr>
          <w:noProof/>
          <w:color w:val="000000"/>
          <w:sz w:val="22"/>
        </w:rPr>
      </w:pPr>
      <w:bookmarkStart w:id="2300" w:name="_ENREF_50"/>
      <w:r w:rsidRPr="004A784D">
        <w:rPr>
          <w:noProof/>
          <w:color w:val="000000"/>
          <w:sz w:val="22"/>
        </w:rPr>
        <w:t xml:space="preserve">BOULEY, J., DERIANO, L., DELIC, J. &amp; MERLE-BERAL, H. 2006. New molecular markers in resistant B-CLL. </w:t>
      </w:r>
      <w:r w:rsidRPr="004A784D">
        <w:rPr>
          <w:i/>
          <w:noProof/>
          <w:color w:val="000000"/>
          <w:sz w:val="22"/>
        </w:rPr>
        <w:t>Leuk Lymphoma,</w:t>
      </w:r>
      <w:r w:rsidRPr="004A784D">
        <w:rPr>
          <w:noProof/>
          <w:color w:val="000000"/>
          <w:sz w:val="22"/>
        </w:rPr>
        <w:t xml:space="preserve"> 47</w:t>
      </w:r>
      <w:r w:rsidRPr="004A784D">
        <w:rPr>
          <w:b/>
          <w:noProof/>
          <w:color w:val="000000"/>
          <w:sz w:val="22"/>
        </w:rPr>
        <w:t>,</w:t>
      </w:r>
      <w:r w:rsidRPr="004A784D">
        <w:rPr>
          <w:noProof/>
          <w:color w:val="000000"/>
          <w:sz w:val="22"/>
        </w:rPr>
        <w:t xml:space="preserve"> 791-801.</w:t>
      </w:r>
      <w:bookmarkEnd w:id="2300"/>
    </w:p>
    <w:p w:rsidR="004A784D" w:rsidRPr="004A784D" w:rsidRDefault="004A784D" w:rsidP="004A784D">
      <w:pPr>
        <w:spacing w:after="240"/>
        <w:jc w:val="both"/>
        <w:rPr>
          <w:noProof/>
          <w:color w:val="000000"/>
          <w:sz w:val="22"/>
        </w:rPr>
      </w:pPr>
      <w:bookmarkStart w:id="2301" w:name="_ENREF_51"/>
      <w:r w:rsidRPr="004A784D">
        <w:rPr>
          <w:noProof/>
          <w:color w:val="000000"/>
          <w:sz w:val="22"/>
        </w:rPr>
        <w:t xml:space="preserve">BOVENBERG, J., MEULENKAMP, T., SMETS, E. &amp; GEVERS, S. 2009. Biobank research: reporting results to individual participants. </w:t>
      </w:r>
      <w:r w:rsidRPr="004A784D">
        <w:rPr>
          <w:i/>
          <w:noProof/>
          <w:color w:val="000000"/>
          <w:sz w:val="22"/>
        </w:rPr>
        <w:t>Eur J Health Law,</w:t>
      </w:r>
      <w:r w:rsidRPr="004A784D">
        <w:rPr>
          <w:noProof/>
          <w:color w:val="000000"/>
          <w:sz w:val="22"/>
        </w:rPr>
        <w:t xml:space="preserve"> 16</w:t>
      </w:r>
      <w:r w:rsidRPr="004A784D">
        <w:rPr>
          <w:b/>
          <w:noProof/>
          <w:color w:val="000000"/>
          <w:sz w:val="22"/>
        </w:rPr>
        <w:t>,</w:t>
      </w:r>
      <w:r w:rsidRPr="004A784D">
        <w:rPr>
          <w:noProof/>
          <w:color w:val="000000"/>
          <w:sz w:val="22"/>
        </w:rPr>
        <w:t xml:space="preserve"> 229-47.</w:t>
      </w:r>
      <w:bookmarkEnd w:id="2301"/>
    </w:p>
    <w:p w:rsidR="004A784D" w:rsidRPr="004A784D" w:rsidRDefault="004A784D" w:rsidP="004A784D">
      <w:pPr>
        <w:spacing w:after="240"/>
        <w:jc w:val="both"/>
        <w:rPr>
          <w:noProof/>
          <w:color w:val="000000"/>
          <w:sz w:val="22"/>
        </w:rPr>
      </w:pPr>
      <w:bookmarkStart w:id="2302" w:name="_ENREF_52"/>
      <w:r w:rsidRPr="004A784D">
        <w:rPr>
          <w:noProof/>
          <w:color w:val="000000"/>
          <w:sz w:val="22"/>
        </w:rPr>
        <w:t xml:space="preserve">BOYCOTT, H. E., WILKINSON, J. A., BOYLE, J. P., PEARSON, H. A. &amp; PEERS, C. 2008. Differential involvement of TNF alpha in hypoxic suppression of astrocyte glutamate transporters. </w:t>
      </w:r>
      <w:r w:rsidRPr="004A784D">
        <w:rPr>
          <w:i/>
          <w:noProof/>
          <w:color w:val="000000"/>
          <w:sz w:val="22"/>
        </w:rPr>
        <w:t>Glia,</w:t>
      </w:r>
      <w:r w:rsidRPr="004A784D">
        <w:rPr>
          <w:noProof/>
          <w:color w:val="000000"/>
          <w:sz w:val="22"/>
        </w:rPr>
        <w:t xml:space="preserve"> 56</w:t>
      </w:r>
      <w:r w:rsidRPr="004A784D">
        <w:rPr>
          <w:b/>
          <w:noProof/>
          <w:color w:val="000000"/>
          <w:sz w:val="22"/>
        </w:rPr>
        <w:t>,</w:t>
      </w:r>
      <w:r w:rsidRPr="004A784D">
        <w:rPr>
          <w:noProof/>
          <w:color w:val="000000"/>
          <w:sz w:val="22"/>
        </w:rPr>
        <w:t xml:space="preserve"> 998-1004.</w:t>
      </w:r>
      <w:bookmarkEnd w:id="2302"/>
    </w:p>
    <w:p w:rsidR="004A784D" w:rsidRPr="004A784D" w:rsidRDefault="004A784D" w:rsidP="004A784D">
      <w:pPr>
        <w:spacing w:after="240"/>
        <w:jc w:val="both"/>
        <w:rPr>
          <w:noProof/>
          <w:color w:val="000000"/>
          <w:sz w:val="22"/>
        </w:rPr>
      </w:pPr>
      <w:bookmarkStart w:id="2303" w:name="_ENREF_53"/>
      <w:r w:rsidRPr="004A784D">
        <w:rPr>
          <w:noProof/>
          <w:color w:val="000000"/>
          <w:sz w:val="22"/>
        </w:rPr>
        <w:t xml:space="preserve">BOYD, R. S., DYER, M. J. &amp; CAIN, K. 2010. Proteomic analysis of B-cell malignancies. </w:t>
      </w:r>
      <w:r w:rsidRPr="004A784D">
        <w:rPr>
          <w:i/>
          <w:noProof/>
          <w:color w:val="000000"/>
          <w:sz w:val="22"/>
        </w:rPr>
        <w:t>J Proteomics,</w:t>
      </w:r>
      <w:r w:rsidRPr="004A784D">
        <w:rPr>
          <w:noProof/>
          <w:color w:val="000000"/>
          <w:sz w:val="22"/>
        </w:rPr>
        <w:t xml:space="preserve"> 73</w:t>
      </w:r>
      <w:r w:rsidRPr="004A784D">
        <w:rPr>
          <w:b/>
          <w:noProof/>
          <w:color w:val="000000"/>
          <w:sz w:val="22"/>
        </w:rPr>
        <w:t>,</w:t>
      </w:r>
      <w:r w:rsidRPr="004A784D">
        <w:rPr>
          <w:noProof/>
          <w:color w:val="000000"/>
          <w:sz w:val="22"/>
        </w:rPr>
        <w:t xml:space="preserve"> 1804-22.</w:t>
      </w:r>
      <w:bookmarkEnd w:id="2303"/>
    </w:p>
    <w:p w:rsidR="004A784D" w:rsidRPr="004A784D" w:rsidRDefault="004A784D" w:rsidP="004A784D">
      <w:pPr>
        <w:spacing w:after="240"/>
        <w:jc w:val="both"/>
        <w:rPr>
          <w:noProof/>
          <w:color w:val="000000"/>
          <w:sz w:val="22"/>
        </w:rPr>
      </w:pPr>
      <w:bookmarkStart w:id="2304" w:name="_ENREF_54"/>
      <w:r w:rsidRPr="004A784D">
        <w:rPr>
          <w:noProof/>
          <w:color w:val="000000"/>
          <w:sz w:val="22"/>
        </w:rPr>
        <w:lastRenderedPageBreak/>
        <w:t xml:space="preserve">BOYD, Z. S., WU, Q. J., O'BRIEN, C., SPOERKE, J., SAVAGE, H., FIELDER, P. J., AMLER, L., YAN, Y. &amp; LACKNER, M. R. 2008. Proteomic analysis of breast cancer molecular subtypes and biomarkers of response to targeted kinase inhibitors using reverse-phase protein microarrays. </w:t>
      </w:r>
      <w:r w:rsidRPr="004A784D">
        <w:rPr>
          <w:i/>
          <w:noProof/>
          <w:color w:val="000000"/>
          <w:sz w:val="22"/>
        </w:rPr>
        <w:t>Mol Cancer Ther,</w:t>
      </w:r>
      <w:r w:rsidRPr="004A784D">
        <w:rPr>
          <w:noProof/>
          <w:color w:val="000000"/>
          <w:sz w:val="22"/>
        </w:rPr>
        <w:t xml:space="preserve"> 7</w:t>
      </w:r>
      <w:r w:rsidRPr="004A784D">
        <w:rPr>
          <w:b/>
          <w:noProof/>
          <w:color w:val="000000"/>
          <w:sz w:val="22"/>
        </w:rPr>
        <w:t>,</w:t>
      </w:r>
      <w:r w:rsidRPr="004A784D">
        <w:rPr>
          <w:noProof/>
          <w:color w:val="000000"/>
          <w:sz w:val="22"/>
        </w:rPr>
        <w:t xml:space="preserve"> 3695-706.</w:t>
      </w:r>
      <w:bookmarkEnd w:id="2304"/>
    </w:p>
    <w:p w:rsidR="004A784D" w:rsidRPr="004A784D" w:rsidRDefault="004A784D" w:rsidP="004A784D">
      <w:pPr>
        <w:spacing w:after="240"/>
        <w:jc w:val="both"/>
        <w:rPr>
          <w:noProof/>
          <w:color w:val="000000"/>
          <w:sz w:val="22"/>
        </w:rPr>
      </w:pPr>
      <w:bookmarkStart w:id="2305" w:name="_ENREF_55"/>
      <w:r w:rsidRPr="004A784D">
        <w:rPr>
          <w:noProof/>
          <w:color w:val="000000"/>
          <w:sz w:val="22"/>
        </w:rPr>
        <w:t xml:space="preserve">BREEN, E. J., HOPWOOD, F. G., WILLIAMS, K. L. &amp; WILKINS, M. R. 2000. Automatic poisson peak harvesting for high throughput protein identification. </w:t>
      </w:r>
      <w:r w:rsidRPr="004A784D">
        <w:rPr>
          <w:i/>
          <w:noProof/>
          <w:color w:val="000000"/>
          <w:sz w:val="22"/>
        </w:rPr>
        <w:t>Electrophoresis,</w:t>
      </w:r>
      <w:r w:rsidRPr="004A784D">
        <w:rPr>
          <w:noProof/>
          <w:color w:val="000000"/>
          <w:sz w:val="22"/>
        </w:rPr>
        <w:t xml:space="preserve"> 21</w:t>
      </w:r>
      <w:r w:rsidRPr="004A784D">
        <w:rPr>
          <w:b/>
          <w:noProof/>
          <w:color w:val="000000"/>
          <w:sz w:val="22"/>
        </w:rPr>
        <w:t>,</w:t>
      </w:r>
      <w:r w:rsidRPr="004A784D">
        <w:rPr>
          <w:noProof/>
          <w:color w:val="000000"/>
          <w:sz w:val="22"/>
        </w:rPr>
        <w:t xml:space="preserve"> 2243-51.</w:t>
      </w:r>
      <w:bookmarkEnd w:id="2305"/>
    </w:p>
    <w:p w:rsidR="004A784D" w:rsidRPr="004A784D" w:rsidRDefault="004A784D" w:rsidP="004A784D">
      <w:pPr>
        <w:spacing w:after="240"/>
        <w:jc w:val="both"/>
        <w:rPr>
          <w:noProof/>
          <w:color w:val="000000"/>
          <w:sz w:val="22"/>
        </w:rPr>
      </w:pPr>
      <w:bookmarkStart w:id="2306" w:name="_ENREF_56"/>
      <w:r w:rsidRPr="004A784D">
        <w:rPr>
          <w:noProof/>
          <w:color w:val="000000"/>
          <w:sz w:val="22"/>
        </w:rPr>
        <w:t xml:space="preserve">BREITKREUTZ, I. &amp; ANDERSON, K. C. 2008. Thalidomide in multiple myeloma--clinical trials and aspects of drug metabolism and toxicity. </w:t>
      </w:r>
      <w:r w:rsidRPr="004A784D">
        <w:rPr>
          <w:i/>
          <w:noProof/>
          <w:color w:val="000000"/>
          <w:sz w:val="22"/>
        </w:rPr>
        <w:t>Expert Opin Drug Metab Toxicol,</w:t>
      </w:r>
      <w:r w:rsidRPr="004A784D">
        <w:rPr>
          <w:noProof/>
          <w:color w:val="000000"/>
          <w:sz w:val="22"/>
        </w:rPr>
        <w:t xml:space="preserve"> 4</w:t>
      </w:r>
      <w:r w:rsidRPr="004A784D">
        <w:rPr>
          <w:b/>
          <w:noProof/>
          <w:color w:val="000000"/>
          <w:sz w:val="22"/>
        </w:rPr>
        <w:t>,</w:t>
      </w:r>
      <w:r w:rsidRPr="004A784D">
        <w:rPr>
          <w:noProof/>
          <w:color w:val="000000"/>
          <w:sz w:val="22"/>
        </w:rPr>
        <w:t xml:space="preserve"> 973-85.</w:t>
      </w:r>
      <w:bookmarkEnd w:id="2306"/>
    </w:p>
    <w:p w:rsidR="004A784D" w:rsidRPr="004A784D" w:rsidRDefault="004A784D" w:rsidP="004A784D">
      <w:pPr>
        <w:spacing w:after="240"/>
        <w:jc w:val="both"/>
        <w:rPr>
          <w:noProof/>
          <w:color w:val="000000"/>
          <w:sz w:val="22"/>
        </w:rPr>
      </w:pPr>
      <w:bookmarkStart w:id="2307" w:name="_ENREF_57"/>
      <w:r w:rsidRPr="004A784D">
        <w:rPr>
          <w:noProof/>
          <w:color w:val="000000"/>
          <w:sz w:val="22"/>
        </w:rPr>
        <w:t xml:space="preserve">BRIZARD, J. P., RAMOS, J., ROBERT, A., LAFITTE, D., BIGI, N., SARDA, P., LAOUDJ-CHENIVESSE, D., NAVARRO, F., BLANC, P., ASSENAT, E., MAUREL, P., PASCUSSI, J. M. &amp; VILAREM, M. J. 2009. Identification of proteomic changes during human liver development by 2D-DIGE and mass spectrometry. </w:t>
      </w:r>
      <w:r w:rsidRPr="004A784D">
        <w:rPr>
          <w:i/>
          <w:noProof/>
          <w:color w:val="000000"/>
          <w:sz w:val="22"/>
        </w:rPr>
        <w:t>J Hepatol,</w:t>
      </w:r>
      <w:r w:rsidRPr="004A784D">
        <w:rPr>
          <w:noProof/>
          <w:color w:val="000000"/>
          <w:sz w:val="22"/>
        </w:rPr>
        <w:t xml:space="preserve"> 51</w:t>
      </w:r>
      <w:r w:rsidRPr="004A784D">
        <w:rPr>
          <w:b/>
          <w:noProof/>
          <w:color w:val="000000"/>
          <w:sz w:val="22"/>
        </w:rPr>
        <w:t>,</w:t>
      </w:r>
      <w:r w:rsidRPr="004A784D">
        <w:rPr>
          <w:noProof/>
          <w:color w:val="000000"/>
          <w:sz w:val="22"/>
        </w:rPr>
        <w:t xml:space="preserve"> 114-26.</w:t>
      </w:r>
      <w:bookmarkEnd w:id="2307"/>
    </w:p>
    <w:p w:rsidR="004A784D" w:rsidRPr="004A784D" w:rsidRDefault="004A784D" w:rsidP="004A784D">
      <w:pPr>
        <w:spacing w:after="240"/>
        <w:jc w:val="both"/>
        <w:rPr>
          <w:noProof/>
          <w:color w:val="000000"/>
          <w:sz w:val="22"/>
        </w:rPr>
      </w:pPr>
      <w:bookmarkStart w:id="2308" w:name="_ENREF_58"/>
      <w:r w:rsidRPr="004A784D">
        <w:rPr>
          <w:noProof/>
          <w:color w:val="000000"/>
          <w:sz w:val="22"/>
        </w:rPr>
        <w:t xml:space="preserve">BROWN, L. M., HELMKE, S. M., HUNSUCKER, S. W., NETEA-MAIER, R. T., CHIANG, S. A., HEINZ, D. E., SHROYER, K. R., DUNCAN, M. W. &amp; HAUGEN, B. R. 2006. Quantitative and qualitative differences in protein expression between papillary thyroid carcinoma and normal thyroid tissue. </w:t>
      </w:r>
      <w:r w:rsidRPr="004A784D">
        <w:rPr>
          <w:i/>
          <w:noProof/>
          <w:color w:val="000000"/>
          <w:sz w:val="22"/>
        </w:rPr>
        <w:t>Mol Carcinog,</w:t>
      </w:r>
      <w:r w:rsidRPr="004A784D">
        <w:rPr>
          <w:noProof/>
          <w:color w:val="000000"/>
          <w:sz w:val="22"/>
        </w:rPr>
        <w:t xml:space="preserve"> 45</w:t>
      </w:r>
      <w:r w:rsidRPr="004A784D">
        <w:rPr>
          <w:b/>
          <w:noProof/>
          <w:color w:val="000000"/>
          <w:sz w:val="22"/>
        </w:rPr>
        <w:t>,</w:t>
      </w:r>
      <w:r w:rsidRPr="004A784D">
        <w:rPr>
          <w:noProof/>
          <w:color w:val="000000"/>
          <w:sz w:val="22"/>
        </w:rPr>
        <w:t xml:space="preserve"> 613-26.</w:t>
      </w:r>
      <w:bookmarkEnd w:id="2308"/>
    </w:p>
    <w:p w:rsidR="004A784D" w:rsidRPr="004A784D" w:rsidRDefault="004A784D" w:rsidP="004A784D">
      <w:pPr>
        <w:spacing w:after="240"/>
        <w:jc w:val="both"/>
        <w:rPr>
          <w:noProof/>
          <w:color w:val="000000"/>
          <w:sz w:val="22"/>
        </w:rPr>
      </w:pPr>
      <w:bookmarkStart w:id="2309" w:name="_ENREF_59"/>
      <w:r w:rsidRPr="004A784D">
        <w:rPr>
          <w:noProof/>
          <w:color w:val="000000"/>
          <w:sz w:val="22"/>
        </w:rPr>
        <w:t xml:space="preserve">BROWN, R. E. &amp; NAZMI, R. K. 2002. The Reed-Steinberg cell: molecular characterization by proteomic analysis with therapeutic implications. </w:t>
      </w:r>
      <w:r w:rsidRPr="004A784D">
        <w:rPr>
          <w:i/>
          <w:noProof/>
          <w:color w:val="000000"/>
          <w:sz w:val="22"/>
        </w:rPr>
        <w:t>Ann Clin Lab Sci,</w:t>
      </w:r>
      <w:r w:rsidRPr="004A784D">
        <w:rPr>
          <w:noProof/>
          <w:color w:val="000000"/>
          <w:sz w:val="22"/>
        </w:rPr>
        <w:t xml:space="preserve"> 32</w:t>
      </w:r>
      <w:r w:rsidRPr="004A784D">
        <w:rPr>
          <w:b/>
          <w:noProof/>
          <w:color w:val="000000"/>
          <w:sz w:val="22"/>
        </w:rPr>
        <w:t>,</w:t>
      </w:r>
      <w:r w:rsidRPr="004A784D">
        <w:rPr>
          <w:noProof/>
          <w:color w:val="000000"/>
          <w:sz w:val="22"/>
        </w:rPr>
        <w:t xml:space="preserve"> 339-51.</w:t>
      </w:r>
      <w:bookmarkEnd w:id="2309"/>
    </w:p>
    <w:p w:rsidR="004A784D" w:rsidRPr="004A784D" w:rsidRDefault="004A784D" w:rsidP="004A784D">
      <w:pPr>
        <w:spacing w:after="240"/>
        <w:jc w:val="both"/>
        <w:rPr>
          <w:noProof/>
          <w:color w:val="000000"/>
          <w:sz w:val="22"/>
        </w:rPr>
      </w:pPr>
      <w:bookmarkStart w:id="2310" w:name="_ENREF_60"/>
      <w:r w:rsidRPr="004A784D">
        <w:rPr>
          <w:noProof/>
          <w:color w:val="000000"/>
          <w:sz w:val="22"/>
        </w:rPr>
        <w:t xml:space="preserve">BYERLEY, L. O., LEE, S. H., REDMANN, S., CULBERSON, C., CLEMENS, M. &amp; LIVELY, M. O. 2010. Evidence for a novel serum factor distinct from zinc alpha-2 glycoprotein that promotes body fat loss early in the development of cachexia. </w:t>
      </w:r>
      <w:r w:rsidRPr="004A784D">
        <w:rPr>
          <w:i/>
          <w:noProof/>
          <w:color w:val="000000"/>
          <w:sz w:val="22"/>
        </w:rPr>
        <w:t>Nutr Cancer,</w:t>
      </w:r>
      <w:r w:rsidRPr="004A784D">
        <w:rPr>
          <w:noProof/>
          <w:color w:val="000000"/>
          <w:sz w:val="22"/>
        </w:rPr>
        <w:t xml:space="preserve"> 62</w:t>
      </w:r>
      <w:r w:rsidRPr="004A784D">
        <w:rPr>
          <w:b/>
          <w:noProof/>
          <w:color w:val="000000"/>
          <w:sz w:val="22"/>
        </w:rPr>
        <w:t>,</w:t>
      </w:r>
      <w:r w:rsidRPr="004A784D">
        <w:rPr>
          <w:noProof/>
          <w:color w:val="000000"/>
          <w:sz w:val="22"/>
        </w:rPr>
        <w:t xml:space="preserve"> 484-94.</w:t>
      </w:r>
      <w:bookmarkEnd w:id="2310"/>
    </w:p>
    <w:p w:rsidR="004A784D" w:rsidRPr="004A784D" w:rsidRDefault="004A784D" w:rsidP="004A784D">
      <w:pPr>
        <w:spacing w:after="240"/>
        <w:jc w:val="both"/>
        <w:rPr>
          <w:noProof/>
          <w:color w:val="000000"/>
          <w:sz w:val="22"/>
        </w:rPr>
      </w:pPr>
      <w:bookmarkStart w:id="2311" w:name="_ENREF_61"/>
      <w:r w:rsidRPr="004A784D">
        <w:rPr>
          <w:noProof/>
          <w:color w:val="000000"/>
          <w:sz w:val="22"/>
        </w:rPr>
        <w:t xml:space="preserve">BYRNE, J. C., DOWNES, M. R., O'DONOGHUE, N., O'KEANE, C., O'NEILL, A., FAN, Y., FITZPATRICK, J. M., DUNN, M. &amp; WATSON, R. W. 2009. 2D-DIGE as a strategy to identify serum markers for the progression of prostate cancer. </w:t>
      </w:r>
      <w:r w:rsidRPr="004A784D">
        <w:rPr>
          <w:i/>
          <w:noProof/>
          <w:color w:val="000000"/>
          <w:sz w:val="22"/>
        </w:rPr>
        <w:t>J Proteome Res,</w:t>
      </w:r>
      <w:r w:rsidRPr="004A784D">
        <w:rPr>
          <w:noProof/>
          <w:color w:val="000000"/>
          <w:sz w:val="22"/>
        </w:rPr>
        <w:t xml:space="preserve"> 8</w:t>
      </w:r>
      <w:r w:rsidRPr="004A784D">
        <w:rPr>
          <w:b/>
          <w:noProof/>
          <w:color w:val="000000"/>
          <w:sz w:val="22"/>
        </w:rPr>
        <w:t>,</w:t>
      </w:r>
      <w:r w:rsidRPr="004A784D">
        <w:rPr>
          <w:noProof/>
          <w:color w:val="000000"/>
          <w:sz w:val="22"/>
        </w:rPr>
        <w:t xml:space="preserve"> 942-57.</w:t>
      </w:r>
      <w:bookmarkEnd w:id="2311"/>
    </w:p>
    <w:p w:rsidR="004A784D" w:rsidRPr="004A784D" w:rsidRDefault="004A784D" w:rsidP="004A784D">
      <w:pPr>
        <w:spacing w:after="240"/>
        <w:jc w:val="both"/>
        <w:rPr>
          <w:noProof/>
          <w:color w:val="000000"/>
          <w:sz w:val="22"/>
        </w:rPr>
      </w:pPr>
      <w:bookmarkStart w:id="2312" w:name="_ENREF_62"/>
      <w:r w:rsidRPr="004A784D">
        <w:rPr>
          <w:noProof/>
          <w:color w:val="000000"/>
          <w:sz w:val="22"/>
        </w:rPr>
        <w:t xml:space="preserve">CAERS, J., VANDE BROEK, I., DE RAEVE, H., MICHAUX, L., TRULLEMANS, F., SCHOTS, R., VAN CAMP, B. &amp; VANDERKERKEN, K. 2008. Multiple myeloma--an update on diagnosis and treatment. </w:t>
      </w:r>
      <w:r w:rsidRPr="004A784D">
        <w:rPr>
          <w:i/>
          <w:noProof/>
          <w:color w:val="000000"/>
          <w:sz w:val="22"/>
        </w:rPr>
        <w:t>Eur J Haematol,</w:t>
      </w:r>
      <w:r w:rsidRPr="004A784D">
        <w:rPr>
          <w:noProof/>
          <w:color w:val="000000"/>
          <w:sz w:val="22"/>
        </w:rPr>
        <w:t xml:space="preserve"> 81</w:t>
      </w:r>
      <w:r w:rsidRPr="004A784D">
        <w:rPr>
          <w:b/>
          <w:noProof/>
          <w:color w:val="000000"/>
          <w:sz w:val="22"/>
        </w:rPr>
        <w:t>,</w:t>
      </w:r>
      <w:r w:rsidRPr="004A784D">
        <w:rPr>
          <w:noProof/>
          <w:color w:val="000000"/>
          <w:sz w:val="22"/>
        </w:rPr>
        <w:t xml:space="preserve"> 329-43.</w:t>
      </w:r>
      <w:bookmarkEnd w:id="2312"/>
    </w:p>
    <w:p w:rsidR="004A784D" w:rsidRPr="004A784D" w:rsidRDefault="004A784D" w:rsidP="004A784D">
      <w:pPr>
        <w:spacing w:after="240"/>
        <w:jc w:val="both"/>
        <w:rPr>
          <w:noProof/>
          <w:color w:val="000000"/>
          <w:sz w:val="22"/>
        </w:rPr>
      </w:pPr>
      <w:bookmarkStart w:id="2313" w:name="_ENREF_63"/>
      <w:r w:rsidRPr="004A784D">
        <w:rPr>
          <w:noProof/>
          <w:color w:val="000000"/>
          <w:sz w:val="22"/>
        </w:rPr>
        <w:t xml:space="preserve">CAIRNS, D. A. 2011. Statistical issues in quality control of proteomic analyses: good experimental design and planning. </w:t>
      </w:r>
      <w:r w:rsidRPr="004A784D">
        <w:rPr>
          <w:i/>
          <w:noProof/>
          <w:color w:val="000000"/>
          <w:sz w:val="22"/>
        </w:rPr>
        <w:t>Proteomics,</w:t>
      </w:r>
      <w:r w:rsidRPr="004A784D">
        <w:rPr>
          <w:noProof/>
          <w:color w:val="000000"/>
          <w:sz w:val="22"/>
        </w:rPr>
        <w:t xml:space="preserve"> 11</w:t>
      </w:r>
      <w:r w:rsidRPr="004A784D">
        <w:rPr>
          <w:b/>
          <w:noProof/>
          <w:color w:val="000000"/>
          <w:sz w:val="22"/>
        </w:rPr>
        <w:t>,</w:t>
      </w:r>
      <w:r w:rsidRPr="004A784D">
        <w:rPr>
          <w:noProof/>
          <w:color w:val="000000"/>
          <w:sz w:val="22"/>
        </w:rPr>
        <w:t xml:space="preserve"> 1037-48.</w:t>
      </w:r>
      <w:bookmarkEnd w:id="2313"/>
    </w:p>
    <w:p w:rsidR="004A784D" w:rsidRPr="004A784D" w:rsidRDefault="004A784D" w:rsidP="004A784D">
      <w:pPr>
        <w:spacing w:after="240"/>
        <w:jc w:val="both"/>
        <w:rPr>
          <w:noProof/>
          <w:color w:val="000000"/>
          <w:sz w:val="22"/>
        </w:rPr>
      </w:pPr>
      <w:bookmarkStart w:id="2314" w:name="_ENREF_64"/>
      <w:r w:rsidRPr="004A784D">
        <w:rPr>
          <w:noProof/>
          <w:color w:val="000000"/>
          <w:sz w:val="22"/>
        </w:rPr>
        <w:t xml:space="preserve">CARAVITA, T., SINISCALCHI, A., MONTANARO, M., NISCOLA, P., STASI, R., AMADORI, S. &amp; DE FABRITIIS, P. 2009. High-dose epoetin alfa as induction treatment for severe anemia in multiple myeloma patients. </w:t>
      </w:r>
      <w:r w:rsidRPr="004A784D">
        <w:rPr>
          <w:i/>
          <w:noProof/>
          <w:color w:val="000000"/>
          <w:sz w:val="22"/>
        </w:rPr>
        <w:t>Int J Hematol,</w:t>
      </w:r>
      <w:r w:rsidRPr="004A784D">
        <w:rPr>
          <w:noProof/>
          <w:color w:val="000000"/>
          <w:sz w:val="22"/>
        </w:rPr>
        <w:t xml:space="preserve"> 90</w:t>
      </w:r>
      <w:r w:rsidRPr="004A784D">
        <w:rPr>
          <w:b/>
          <w:noProof/>
          <w:color w:val="000000"/>
          <w:sz w:val="22"/>
        </w:rPr>
        <w:t>,</w:t>
      </w:r>
      <w:r w:rsidRPr="004A784D">
        <w:rPr>
          <w:noProof/>
          <w:color w:val="000000"/>
          <w:sz w:val="22"/>
        </w:rPr>
        <w:t xml:space="preserve"> 270-2.</w:t>
      </w:r>
      <w:bookmarkEnd w:id="2314"/>
    </w:p>
    <w:p w:rsidR="004A784D" w:rsidRPr="004A784D" w:rsidRDefault="004A784D" w:rsidP="004A784D">
      <w:pPr>
        <w:spacing w:after="240"/>
        <w:jc w:val="both"/>
        <w:rPr>
          <w:noProof/>
          <w:color w:val="000000"/>
          <w:sz w:val="22"/>
        </w:rPr>
      </w:pPr>
      <w:bookmarkStart w:id="2315" w:name="_ENREF_65"/>
      <w:r w:rsidRPr="004A784D">
        <w:rPr>
          <w:noProof/>
          <w:color w:val="000000"/>
          <w:sz w:val="22"/>
        </w:rPr>
        <w:t xml:space="preserve">CARLSON, S. M., NAJMI, A. &amp; COHEN, H. J. 2007. Biomarker clustering to address correlations in proteomic data. </w:t>
      </w:r>
      <w:r w:rsidRPr="004A784D">
        <w:rPr>
          <w:i/>
          <w:noProof/>
          <w:color w:val="000000"/>
          <w:sz w:val="22"/>
        </w:rPr>
        <w:t>Proteomics,</w:t>
      </w:r>
      <w:r w:rsidRPr="004A784D">
        <w:rPr>
          <w:noProof/>
          <w:color w:val="000000"/>
          <w:sz w:val="22"/>
        </w:rPr>
        <w:t xml:space="preserve"> 7</w:t>
      </w:r>
      <w:r w:rsidRPr="004A784D">
        <w:rPr>
          <w:b/>
          <w:noProof/>
          <w:color w:val="000000"/>
          <w:sz w:val="22"/>
        </w:rPr>
        <w:t>,</w:t>
      </w:r>
      <w:r w:rsidRPr="004A784D">
        <w:rPr>
          <w:noProof/>
          <w:color w:val="000000"/>
          <w:sz w:val="22"/>
        </w:rPr>
        <w:t xml:space="preserve"> 1037-46.</w:t>
      </w:r>
      <w:bookmarkEnd w:id="2315"/>
    </w:p>
    <w:p w:rsidR="004A784D" w:rsidRPr="004A784D" w:rsidRDefault="004A784D" w:rsidP="004A784D">
      <w:pPr>
        <w:spacing w:after="240"/>
        <w:jc w:val="both"/>
        <w:rPr>
          <w:noProof/>
          <w:color w:val="000000"/>
          <w:sz w:val="22"/>
        </w:rPr>
      </w:pPr>
      <w:bookmarkStart w:id="2316" w:name="_ENREF_66"/>
      <w:r w:rsidRPr="004A784D">
        <w:rPr>
          <w:noProof/>
          <w:color w:val="000000"/>
          <w:sz w:val="22"/>
        </w:rPr>
        <w:t xml:space="preserve">CARPENTIER, S. C., PANIS, B., SWENNEN, R. &amp; LAMMERTYN, J. 2008. Finding the significant markers: statistical analysis of proteomic data. </w:t>
      </w:r>
      <w:r w:rsidRPr="004A784D">
        <w:rPr>
          <w:i/>
          <w:noProof/>
          <w:color w:val="000000"/>
          <w:sz w:val="22"/>
        </w:rPr>
        <w:t>Methods Mol Biol,</w:t>
      </w:r>
      <w:r w:rsidRPr="004A784D">
        <w:rPr>
          <w:noProof/>
          <w:color w:val="000000"/>
          <w:sz w:val="22"/>
        </w:rPr>
        <w:t xml:space="preserve"> 428</w:t>
      </w:r>
      <w:r w:rsidRPr="004A784D">
        <w:rPr>
          <w:b/>
          <w:noProof/>
          <w:color w:val="000000"/>
          <w:sz w:val="22"/>
        </w:rPr>
        <w:t>,</w:t>
      </w:r>
      <w:r w:rsidRPr="004A784D">
        <w:rPr>
          <w:noProof/>
          <w:color w:val="000000"/>
          <w:sz w:val="22"/>
        </w:rPr>
        <w:t xml:space="preserve"> 327-47.</w:t>
      </w:r>
      <w:bookmarkEnd w:id="2316"/>
    </w:p>
    <w:p w:rsidR="004A784D" w:rsidRPr="004A784D" w:rsidRDefault="004A784D" w:rsidP="004A784D">
      <w:pPr>
        <w:spacing w:after="240"/>
        <w:jc w:val="both"/>
        <w:rPr>
          <w:noProof/>
          <w:color w:val="000000"/>
          <w:sz w:val="22"/>
        </w:rPr>
      </w:pPr>
      <w:bookmarkStart w:id="2317" w:name="_ENREF_67"/>
      <w:r w:rsidRPr="004A784D">
        <w:rPr>
          <w:noProof/>
          <w:color w:val="000000"/>
          <w:sz w:val="22"/>
        </w:rPr>
        <w:t xml:space="preserve">CAVO, M., DI RAIMONDO, F., ZAMAGNI, E., PATRIARCA, F., TACCHETTI, P., CASULLI, A. F., VOLPE, S., PERRONE, G., LEDDA, A., CECCOLINI, M., CALIFANO, C., BIGAZZI, C., OFFIDANI, M., STEFANI, P., BALLERINI, F., FIACCHINI, M., DE VIVO, A., BRIOLI, A., TOSI, P. &amp; BACCARANI, M. 2009. Short-term thalidomide </w:t>
      </w:r>
      <w:r w:rsidRPr="004A784D">
        <w:rPr>
          <w:noProof/>
          <w:color w:val="000000"/>
          <w:sz w:val="22"/>
        </w:rPr>
        <w:lastRenderedPageBreak/>
        <w:t xml:space="preserve">incorporated into double autologous stem-cell transplantation improves outcomes in comparison with double autotransplantation for multiple myeloma. </w:t>
      </w:r>
      <w:r w:rsidRPr="004A784D">
        <w:rPr>
          <w:i/>
          <w:noProof/>
          <w:color w:val="000000"/>
          <w:sz w:val="22"/>
        </w:rPr>
        <w:t>J Clin Oncol,</w:t>
      </w:r>
      <w:r w:rsidRPr="004A784D">
        <w:rPr>
          <w:noProof/>
          <w:color w:val="000000"/>
          <w:sz w:val="22"/>
        </w:rPr>
        <w:t xml:space="preserve"> 27</w:t>
      </w:r>
      <w:r w:rsidRPr="004A784D">
        <w:rPr>
          <w:b/>
          <w:noProof/>
          <w:color w:val="000000"/>
          <w:sz w:val="22"/>
        </w:rPr>
        <w:t>,</w:t>
      </w:r>
      <w:r w:rsidRPr="004A784D">
        <w:rPr>
          <w:noProof/>
          <w:color w:val="000000"/>
          <w:sz w:val="22"/>
        </w:rPr>
        <w:t xml:space="preserve"> 5001-7.</w:t>
      </w:r>
      <w:bookmarkEnd w:id="2317"/>
    </w:p>
    <w:p w:rsidR="004A784D" w:rsidRPr="004A784D" w:rsidRDefault="004A784D" w:rsidP="004A784D">
      <w:pPr>
        <w:spacing w:after="240"/>
        <w:jc w:val="both"/>
        <w:rPr>
          <w:noProof/>
          <w:color w:val="000000"/>
          <w:sz w:val="22"/>
        </w:rPr>
      </w:pPr>
      <w:bookmarkStart w:id="2318" w:name="_ENREF_68"/>
      <w:r w:rsidRPr="004A784D">
        <w:rPr>
          <w:noProof/>
          <w:color w:val="000000"/>
          <w:sz w:val="22"/>
        </w:rPr>
        <w:t xml:space="preserve">CAVO, M., ZAMAGNI, E., TOSI, P., TACCHETTI, P., CELLINI, C., CANGINI, D., DE VIVO, A., TESTONI, N., NICCI, C., TERRAGNA, C., GRAFONE, T., PERRONE, G., CECCOLINI, M., TURA, S. &amp; BACCARANI, M. 2005. Superiority of thalidomide and dexamethasone over vincristine-doxorubicindexamethasone (VAD) as primary therapy in preparation for autologous transplantation for multiple myeloma. </w:t>
      </w:r>
      <w:r w:rsidRPr="004A784D">
        <w:rPr>
          <w:i/>
          <w:noProof/>
          <w:color w:val="000000"/>
          <w:sz w:val="22"/>
        </w:rPr>
        <w:t>Blood,</w:t>
      </w:r>
      <w:r w:rsidRPr="004A784D">
        <w:rPr>
          <w:noProof/>
          <w:color w:val="000000"/>
          <w:sz w:val="22"/>
        </w:rPr>
        <w:t xml:space="preserve"> 106</w:t>
      </w:r>
      <w:r w:rsidRPr="004A784D">
        <w:rPr>
          <w:b/>
          <w:noProof/>
          <w:color w:val="000000"/>
          <w:sz w:val="22"/>
        </w:rPr>
        <w:t>,</w:t>
      </w:r>
      <w:r w:rsidRPr="004A784D">
        <w:rPr>
          <w:noProof/>
          <w:color w:val="000000"/>
          <w:sz w:val="22"/>
        </w:rPr>
        <w:t xml:space="preserve"> 35-9.</w:t>
      </w:r>
      <w:bookmarkEnd w:id="2318"/>
    </w:p>
    <w:p w:rsidR="004A784D" w:rsidRPr="004A784D" w:rsidRDefault="004A784D" w:rsidP="004A784D">
      <w:pPr>
        <w:spacing w:after="240"/>
        <w:jc w:val="both"/>
        <w:rPr>
          <w:noProof/>
          <w:color w:val="000000"/>
          <w:sz w:val="22"/>
        </w:rPr>
      </w:pPr>
      <w:bookmarkStart w:id="2319" w:name="_ENREF_69"/>
      <w:r w:rsidRPr="004A784D">
        <w:rPr>
          <w:noProof/>
          <w:color w:val="000000"/>
          <w:sz w:val="22"/>
        </w:rPr>
        <w:t xml:space="preserve">CHAAR, B. T., SCHERGEN, A. K. &amp; GROSSO, L. E. 2008. Discordance of ZAP-70 in patients with chronic lymphocytic leukemia. </w:t>
      </w:r>
      <w:r w:rsidRPr="004A784D">
        <w:rPr>
          <w:i/>
          <w:noProof/>
          <w:color w:val="000000"/>
          <w:sz w:val="22"/>
        </w:rPr>
        <w:t>Int J Lab Hematol,</w:t>
      </w:r>
      <w:r w:rsidRPr="004A784D">
        <w:rPr>
          <w:noProof/>
          <w:color w:val="000000"/>
          <w:sz w:val="22"/>
        </w:rPr>
        <w:t xml:space="preserve"> 30</w:t>
      </w:r>
      <w:r w:rsidRPr="004A784D">
        <w:rPr>
          <w:b/>
          <w:noProof/>
          <w:color w:val="000000"/>
          <w:sz w:val="22"/>
        </w:rPr>
        <w:t>,</w:t>
      </w:r>
      <w:r w:rsidRPr="004A784D">
        <w:rPr>
          <w:noProof/>
          <w:color w:val="000000"/>
          <w:sz w:val="22"/>
        </w:rPr>
        <w:t xml:space="preserve"> 36-40.</w:t>
      </w:r>
      <w:bookmarkEnd w:id="2319"/>
    </w:p>
    <w:p w:rsidR="004A784D" w:rsidRPr="004A784D" w:rsidRDefault="004A784D" w:rsidP="004A784D">
      <w:pPr>
        <w:spacing w:after="240"/>
        <w:jc w:val="both"/>
        <w:rPr>
          <w:noProof/>
          <w:color w:val="000000"/>
          <w:sz w:val="22"/>
        </w:rPr>
      </w:pPr>
      <w:bookmarkStart w:id="2320" w:name="_ENREF_70"/>
      <w:r w:rsidRPr="004A784D">
        <w:rPr>
          <w:noProof/>
          <w:color w:val="000000"/>
          <w:sz w:val="22"/>
        </w:rPr>
        <w:t xml:space="preserve">CHAN, T. &amp; GU, F. 2011. Early diagnosis of sepsis using serum biomarkers. </w:t>
      </w:r>
      <w:r w:rsidRPr="004A784D">
        <w:rPr>
          <w:i/>
          <w:noProof/>
          <w:color w:val="000000"/>
          <w:sz w:val="22"/>
        </w:rPr>
        <w:t>Expert Rev Mol Diagn,</w:t>
      </w:r>
      <w:r w:rsidRPr="004A784D">
        <w:rPr>
          <w:noProof/>
          <w:color w:val="000000"/>
          <w:sz w:val="22"/>
        </w:rPr>
        <w:t xml:space="preserve"> 11</w:t>
      </w:r>
      <w:r w:rsidRPr="004A784D">
        <w:rPr>
          <w:b/>
          <w:noProof/>
          <w:color w:val="000000"/>
          <w:sz w:val="22"/>
        </w:rPr>
        <w:t>,</w:t>
      </w:r>
      <w:r w:rsidRPr="004A784D">
        <w:rPr>
          <w:noProof/>
          <w:color w:val="000000"/>
          <w:sz w:val="22"/>
        </w:rPr>
        <w:t xml:space="preserve"> 487-96.</w:t>
      </w:r>
      <w:bookmarkEnd w:id="2320"/>
    </w:p>
    <w:p w:rsidR="004A784D" w:rsidRPr="004A784D" w:rsidRDefault="004A784D" w:rsidP="004A784D">
      <w:pPr>
        <w:spacing w:after="240"/>
        <w:jc w:val="both"/>
        <w:rPr>
          <w:noProof/>
          <w:color w:val="000000"/>
          <w:sz w:val="22"/>
        </w:rPr>
      </w:pPr>
      <w:bookmarkStart w:id="2321" w:name="_ENREF_71"/>
      <w:r w:rsidRPr="004A784D">
        <w:rPr>
          <w:noProof/>
          <w:color w:val="000000"/>
          <w:sz w:val="22"/>
        </w:rPr>
        <w:t xml:space="preserve">CHEN, C. H. 2008. Review of a current role of mass spectrometry for proteome research. </w:t>
      </w:r>
      <w:r w:rsidRPr="004A784D">
        <w:rPr>
          <w:i/>
          <w:noProof/>
          <w:color w:val="000000"/>
          <w:sz w:val="22"/>
        </w:rPr>
        <w:t>Anal Chim Acta,</w:t>
      </w:r>
      <w:r w:rsidRPr="004A784D">
        <w:rPr>
          <w:noProof/>
          <w:color w:val="000000"/>
          <w:sz w:val="22"/>
        </w:rPr>
        <w:t xml:space="preserve"> 624</w:t>
      </w:r>
      <w:r w:rsidRPr="004A784D">
        <w:rPr>
          <w:b/>
          <w:noProof/>
          <w:color w:val="000000"/>
          <w:sz w:val="22"/>
        </w:rPr>
        <w:t>,</w:t>
      </w:r>
      <w:r w:rsidRPr="004A784D">
        <w:rPr>
          <w:noProof/>
          <w:color w:val="000000"/>
          <w:sz w:val="22"/>
        </w:rPr>
        <w:t xml:space="preserve"> 16-36.</w:t>
      </w:r>
      <w:bookmarkEnd w:id="2321"/>
    </w:p>
    <w:p w:rsidR="004A784D" w:rsidRPr="004A784D" w:rsidRDefault="004A784D" w:rsidP="004A784D">
      <w:pPr>
        <w:spacing w:after="240"/>
        <w:jc w:val="both"/>
        <w:rPr>
          <w:noProof/>
          <w:color w:val="000000"/>
          <w:sz w:val="22"/>
        </w:rPr>
      </w:pPr>
      <w:bookmarkStart w:id="2322" w:name="_ENREF_72"/>
      <w:r w:rsidRPr="004A784D">
        <w:rPr>
          <w:noProof/>
          <w:color w:val="000000"/>
          <w:sz w:val="22"/>
        </w:rPr>
        <w:t xml:space="preserve">CHEW, V., TOW, C., TEO, M., WONG, H. L., CHAN, J., GEHRING, A., LOH, M., BOLZE, A., QUEK, R., LEE, V. K., LEE, K. H., ABASTADO, J. P., TOH, H. C. &amp; NARDIN, A. 2010. Inflammatory tumour microenvironment is associated with superior survival in hepatocellular carcinoma patients. </w:t>
      </w:r>
      <w:r w:rsidRPr="004A784D">
        <w:rPr>
          <w:i/>
          <w:noProof/>
          <w:color w:val="000000"/>
          <w:sz w:val="22"/>
        </w:rPr>
        <w:t>J Hepatol,</w:t>
      </w:r>
      <w:r w:rsidRPr="004A784D">
        <w:rPr>
          <w:noProof/>
          <w:color w:val="000000"/>
          <w:sz w:val="22"/>
        </w:rPr>
        <w:t xml:space="preserve"> 52</w:t>
      </w:r>
      <w:r w:rsidRPr="004A784D">
        <w:rPr>
          <w:b/>
          <w:noProof/>
          <w:color w:val="000000"/>
          <w:sz w:val="22"/>
        </w:rPr>
        <w:t>,</w:t>
      </w:r>
      <w:r w:rsidRPr="004A784D">
        <w:rPr>
          <w:noProof/>
          <w:color w:val="000000"/>
          <w:sz w:val="22"/>
        </w:rPr>
        <w:t xml:space="preserve"> 370-9.</w:t>
      </w:r>
      <w:bookmarkEnd w:id="2322"/>
    </w:p>
    <w:p w:rsidR="004A784D" w:rsidRPr="004A784D" w:rsidRDefault="004A784D" w:rsidP="004A784D">
      <w:pPr>
        <w:spacing w:after="240"/>
        <w:jc w:val="both"/>
        <w:rPr>
          <w:noProof/>
          <w:color w:val="000000"/>
          <w:sz w:val="22"/>
        </w:rPr>
      </w:pPr>
      <w:bookmarkStart w:id="2323" w:name="_ENREF_73"/>
      <w:r w:rsidRPr="004A784D">
        <w:rPr>
          <w:noProof/>
          <w:color w:val="000000"/>
          <w:sz w:val="22"/>
        </w:rPr>
        <w:t xml:space="preserve">CHIANESE, R., BRANDO, B. &amp; GRATAMA, J. W. 2002. Diagnostic and prognostic value of flow cytometric immunophenotyping in malignant hematological diseases. </w:t>
      </w:r>
      <w:r w:rsidRPr="004A784D">
        <w:rPr>
          <w:i/>
          <w:noProof/>
          <w:color w:val="000000"/>
          <w:sz w:val="22"/>
        </w:rPr>
        <w:t>J Biol Regul Homeost Agents,</w:t>
      </w:r>
      <w:r w:rsidRPr="004A784D">
        <w:rPr>
          <w:noProof/>
          <w:color w:val="000000"/>
          <w:sz w:val="22"/>
        </w:rPr>
        <w:t xml:space="preserve"> 16</w:t>
      </w:r>
      <w:r w:rsidRPr="004A784D">
        <w:rPr>
          <w:b/>
          <w:noProof/>
          <w:color w:val="000000"/>
          <w:sz w:val="22"/>
        </w:rPr>
        <w:t>,</w:t>
      </w:r>
      <w:r w:rsidRPr="004A784D">
        <w:rPr>
          <w:noProof/>
          <w:color w:val="000000"/>
          <w:sz w:val="22"/>
        </w:rPr>
        <w:t xml:space="preserve"> 259-69.</w:t>
      </w:r>
      <w:bookmarkEnd w:id="2323"/>
    </w:p>
    <w:p w:rsidR="004A784D" w:rsidRPr="004A784D" w:rsidRDefault="004A784D" w:rsidP="004A784D">
      <w:pPr>
        <w:spacing w:after="240"/>
        <w:jc w:val="both"/>
        <w:rPr>
          <w:noProof/>
          <w:color w:val="000000"/>
          <w:sz w:val="22"/>
        </w:rPr>
      </w:pPr>
      <w:bookmarkStart w:id="2324" w:name="_ENREF_74"/>
      <w:r w:rsidRPr="004A784D">
        <w:rPr>
          <w:noProof/>
          <w:color w:val="000000"/>
          <w:sz w:val="22"/>
        </w:rPr>
        <w:t xml:space="preserve">CHOI, J. H., YOON, J. H. &amp; YANG, S. K. 2007. Clinical value of new staging systems for multiple myeloma. </w:t>
      </w:r>
      <w:r w:rsidRPr="004A784D">
        <w:rPr>
          <w:i/>
          <w:noProof/>
          <w:color w:val="000000"/>
          <w:sz w:val="22"/>
        </w:rPr>
        <w:t>Cancer Res Treat,</w:t>
      </w:r>
      <w:r w:rsidRPr="004A784D">
        <w:rPr>
          <w:noProof/>
          <w:color w:val="000000"/>
          <w:sz w:val="22"/>
        </w:rPr>
        <w:t xml:space="preserve"> 39</w:t>
      </w:r>
      <w:r w:rsidRPr="004A784D">
        <w:rPr>
          <w:b/>
          <w:noProof/>
          <w:color w:val="000000"/>
          <w:sz w:val="22"/>
        </w:rPr>
        <w:t>,</w:t>
      </w:r>
      <w:r w:rsidRPr="004A784D">
        <w:rPr>
          <w:noProof/>
          <w:color w:val="000000"/>
          <w:sz w:val="22"/>
        </w:rPr>
        <w:t xml:space="preserve"> 171-4.</w:t>
      </w:r>
      <w:bookmarkEnd w:id="2324"/>
    </w:p>
    <w:p w:rsidR="004A784D" w:rsidRPr="004A784D" w:rsidRDefault="004A784D" w:rsidP="004A784D">
      <w:pPr>
        <w:spacing w:after="240"/>
        <w:jc w:val="both"/>
        <w:rPr>
          <w:noProof/>
          <w:color w:val="000000"/>
          <w:sz w:val="22"/>
        </w:rPr>
      </w:pPr>
      <w:bookmarkStart w:id="2325" w:name="_ENREF_75"/>
      <w:r w:rsidRPr="004A784D">
        <w:rPr>
          <w:noProof/>
          <w:color w:val="000000"/>
          <w:sz w:val="22"/>
        </w:rPr>
        <w:t xml:space="preserve">CID, M. C., GRANT, D. S., HOFFMAN, G. S., AUERBACH, R., FAUCI, A. S. &amp; KLEINMAN, H. K. 1993. Identification of haptoglobin as an angiogenic factor in sera from patients with systemic vasculitis. </w:t>
      </w:r>
      <w:r w:rsidRPr="004A784D">
        <w:rPr>
          <w:i/>
          <w:noProof/>
          <w:color w:val="000000"/>
          <w:sz w:val="22"/>
        </w:rPr>
        <w:t>J Clin Invest,</w:t>
      </w:r>
      <w:r w:rsidRPr="004A784D">
        <w:rPr>
          <w:noProof/>
          <w:color w:val="000000"/>
          <w:sz w:val="22"/>
        </w:rPr>
        <w:t xml:space="preserve"> 91</w:t>
      </w:r>
      <w:r w:rsidRPr="004A784D">
        <w:rPr>
          <w:b/>
          <w:noProof/>
          <w:color w:val="000000"/>
          <w:sz w:val="22"/>
        </w:rPr>
        <w:t>,</w:t>
      </w:r>
      <w:r w:rsidRPr="004A784D">
        <w:rPr>
          <w:noProof/>
          <w:color w:val="000000"/>
          <w:sz w:val="22"/>
        </w:rPr>
        <w:t xml:space="preserve"> 977-85.</w:t>
      </w:r>
      <w:bookmarkEnd w:id="2325"/>
    </w:p>
    <w:p w:rsidR="004A784D" w:rsidRPr="004A784D" w:rsidRDefault="004A784D" w:rsidP="004A784D">
      <w:pPr>
        <w:spacing w:after="240"/>
        <w:jc w:val="both"/>
        <w:rPr>
          <w:noProof/>
          <w:color w:val="000000"/>
          <w:sz w:val="22"/>
        </w:rPr>
      </w:pPr>
      <w:bookmarkStart w:id="2326" w:name="_ENREF_76"/>
      <w:r w:rsidRPr="004A784D">
        <w:rPr>
          <w:noProof/>
          <w:color w:val="000000"/>
          <w:sz w:val="22"/>
        </w:rPr>
        <w:t xml:space="preserve">CIMINERA, J. L., HEYSE, J. F., NGUYEN, H. H. &amp; TUKEY, J. W. 1993. Evaluation of multicentre clinical trial data using adaptations of the Mosteller-Tukey procedure. </w:t>
      </w:r>
      <w:r w:rsidRPr="004A784D">
        <w:rPr>
          <w:i/>
          <w:noProof/>
          <w:color w:val="000000"/>
          <w:sz w:val="22"/>
        </w:rPr>
        <w:t>Stat Med,</w:t>
      </w:r>
      <w:r w:rsidRPr="004A784D">
        <w:rPr>
          <w:noProof/>
          <w:color w:val="000000"/>
          <w:sz w:val="22"/>
        </w:rPr>
        <w:t xml:space="preserve"> 12</w:t>
      </w:r>
      <w:r w:rsidRPr="004A784D">
        <w:rPr>
          <w:b/>
          <w:noProof/>
          <w:color w:val="000000"/>
          <w:sz w:val="22"/>
        </w:rPr>
        <w:t>,</w:t>
      </w:r>
      <w:r w:rsidRPr="004A784D">
        <w:rPr>
          <w:noProof/>
          <w:color w:val="000000"/>
          <w:sz w:val="22"/>
        </w:rPr>
        <w:t xml:space="preserve"> 1047-61.</w:t>
      </w:r>
      <w:bookmarkEnd w:id="2326"/>
    </w:p>
    <w:p w:rsidR="004A784D" w:rsidRPr="004A784D" w:rsidRDefault="004A784D" w:rsidP="004A784D">
      <w:pPr>
        <w:spacing w:after="240"/>
        <w:jc w:val="both"/>
        <w:rPr>
          <w:noProof/>
          <w:color w:val="000000"/>
          <w:sz w:val="22"/>
        </w:rPr>
      </w:pPr>
      <w:bookmarkStart w:id="2327" w:name="_ENREF_77"/>
      <w:r w:rsidRPr="004A784D">
        <w:rPr>
          <w:noProof/>
          <w:color w:val="000000"/>
          <w:sz w:val="22"/>
        </w:rPr>
        <w:t xml:space="preserve">CLARKE, C. H., YIP, C., BADGWELL, D., FUNG, E. T., COOMBES, K. R., ZHANG, Z., LU, K. H. &amp; BAST, R. C., JR. 2011. Proteomic biomarkers apolipoprotein A1, truncated transthyretin and connective tissue activating protein III enhance the sensitivity of CA125 for detecting early stage epithelial ovarian cancer. </w:t>
      </w:r>
      <w:r w:rsidRPr="004A784D">
        <w:rPr>
          <w:i/>
          <w:noProof/>
          <w:color w:val="000000"/>
          <w:sz w:val="22"/>
        </w:rPr>
        <w:t>Gynecol Oncol,</w:t>
      </w:r>
      <w:r w:rsidRPr="004A784D">
        <w:rPr>
          <w:noProof/>
          <w:color w:val="000000"/>
          <w:sz w:val="22"/>
        </w:rPr>
        <w:t xml:space="preserve"> 122</w:t>
      </w:r>
      <w:r w:rsidRPr="004A784D">
        <w:rPr>
          <w:b/>
          <w:noProof/>
          <w:color w:val="000000"/>
          <w:sz w:val="22"/>
        </w:rPr>
        <w:t>,</w:t>
      </w:r>
      <w:r w:rsidRPr="004A784D">
        <w:rPr>
          <w:noProof/>
          <w:color w:val="000000"/>
          <w:sz w:val="22"/>
        </w:rPr>
        <w:t xml:space="preserve"> 548-53.</w:t>
      </w:r>
      <w:bookmarkEnd w:id="2327"/>
    </w:p>
    <w:p w:rsidR="004A784D" w:rsidRPr="004A784D" w:rsidRDefault="004A784D" w:rsidP="004A784D">
      <w:pPr>
        <w:spacing w:after="240"/>
        <w:jc w:val="both"/>
        <w:rPr>
          <w:noProof/>
          <w:color w:val="000000"/>
          <w:sz w:val="22"/>
        </w:rPr>
      </w:pPr>
      <w:bookmarkStart w:id="2328" w:name="_ENREF_78"/>
      <w:r w:rsidRPr="004A784D">
        <w:rPr>
          <w:noProof/>
          <w:color w:val="000000"/>
          <w:sz w:val="22"/>
        </w:rPr>
        <w:t xml:space="preserve">CLENDENEN, T. V., KOENIG, K. L., ARSLAN, A. A., LUKANOVA, A., BERRINO, F., GU, Y., HALLMANS, G., IDAHL, A., KROGH, V., LOKSHIN, A. E., LUNDIN, E., MUTI, P., MARRANGONI, A., NOLEN, B. M., OHLSON, N., SHORE, R. E., SIERI, S. &amp; ZELENIUCH-JACQUOTTE, A. 2011. Factors associated with inflammation markers, a cross-sectional analysis. </w:t>
      </w:r>
      <w:r w:rsidRPr="004A784D">
        <w:rPr>
          <w:i/>
          <w:noProof/>
          <w:color w:val="000000"/>
          <w:sz w:val="22"/>
        </w:rPr>
        <w:t>Cytokine</w:t>
      </w:r>
      <w:r w:rsidRPr="004A784D">
        <w:rPr>
          <w:noProof/>
          <w:color w:val="000000"/>
          <w:sz w:val="22"/>
        </w:rPr>
        <w:t>.</w:t>
      </w:r>
      <w:bookmarkEnd w:id="2328"/>
    </w:p>
    <w:p w:rsidR="004A784D" w:rsidRPr="004A784D" w:rsidRDefault="004A784D" w:rsidP="004A784D">
      <w:pPr>
        <w:spacing w:after="240"/>
        <w:jc w:val="both"/>
        <w:rPr>
          <w:noProof/>
          <w:color w:val="000000"/>
          <w:sz w:val="22"/>
        </w:rPr>
      </w:pPr>
      <w:bookmarkStart w:id="2329" w:name="_ENREF_79"/>
      <w:r w:rsidRPr="004A784D">
        <w:rPr>
          <w:noProof/>
          <w:color w:val="000000"/>
          <w:sz w:val="22"/>
        </w:rPr>
        <w:t xml:space="preserve">COCHRAN, D. A., EVANS, C. A., BLINCO, D., BURTHEM, J., STEVENSON, F. K., GASKELL, S. J. &amp; WHETTON, A. D. 2003. Proteomic analysis of chronic lymphocytic leukemia subtypes with mutated or unmutated Ig V(H) genes. </w:t>
      </w:r>
      <w:r w:rsidRPr="004A784D">
        <w:rPr>
          <w:i/>
          <w:noProof/>
          <w:color w:val="000000"/>
          <w:sz w:val="22"/>
        </w:rPr>
        <w:t>Mol Cell Proteomics,</w:t>
      </w:r>
      <w:r w:rsidRPr="004A784D">
        <w:rPr>
          <w:noProof/>
          <w:color w:val="000000"/>
          <w:sz w:val="22"/>
        </w:rPr>
        <w:t xml:space="preserve"> 2</w:t>
      </w:r>
      <w:r w:rsidRPr="004A784D">
        <w:rPr>
          <w:b/>
          <w:noProof/>
          <w:color w:val="000000"/>
          <w:sz w:val="22"/>
        </w:rPr>
        <w:t>,</w:t>
      </w:r>
      <w:r w:rsidRPr="004A784D">
        <w:rPr>
          <w:noProof/>
          <w:color w:val="000000"/>
          <w:sz w:val="22"/>
        </w:rPr>
        <w:t xml:space="preserve"> 1331-41.</w:t>
      </w:r>
      <w:bookmarkEnd w:id="2329"/>
    </w:p>
    <w:p w:rsidR="004A784D" w:rsidRPr="004A784D" w:rsidRDefault="004A784D" w:rsidP="004A784D">
      <w:pPr>
        <w:spacing w:after="240"/>
        <w:jc w:val="both"/>
        <w:rPr>
          <w:noProof/>
          <w:color w:val="000000"/>
          <w:sz w:val="22"/>
        </w:rPr>
      </w:pPr>
      <w:bookmarkStart w:id="2330" w:name="_ENREF_80"/>
      <w:r w:rsidRPr="004A784D">
        <w:rPr>
          <w:noProof/>
          <w:color w:val="000000"/>
          <w:sz w:val="22"/>
        </w:rPr>
        <w:t xml:space="preserve">COCKWELL, P. &amp; HUTCHISON, C. A. 2010. Management options for cast nephropathy in multiple myeloma. </w:t>
      </w:r>
      <w:r w:rsidRPr="004A784D">
        <w:rPr>
          <w:i/>
          <w:noProof/>
          <w:color w:val="000000"/>
          <w:sz w:val="22"/>
        </w:rPr>
        <w:t>Curr Opin Nephrol Hypertens,</w:t>
      </w:r>
      <w:r w:rsidRPr="004A784D">
        <w:rPr>
          <w:noProof/>
          <w:color w:val="000000"/>
          <w:sz w:val="22"/>
        </w:rPr>
        <w:t xml:space="preserve"> 19</w:t>
      </w:r>
      <w:r w:rsidRPr="004A784D">
        <w:rPr>
          <w:b/>
          <w:noProof/>
          <w:color w:val="000000"/>
          <w:sz w:val="22"/>
        </w:rPr>
        <w:t>,</w:t>
      </w:r>
      <w:r w:rsidRPr="004A784D">
        <w:rPr>
          <w:noProof/>
          <w:color w:val="000000"/>
          <w:sz w:val="22"/>
        </w:rPr>
        <w:t xml:space="preserve"> 550-5.</w:t>
      </w:r>
      <w:bookmarkEnd w:id="2330"/>
    </w:p>
    <w:p w:rsidR="004A784D" w:rsidRPr="004A784D" w:rsidRDefault="004A784D" w:rsidP="004A784D">
      <w:pPr>
        <w:spacing w:after="240"/>
        <w:jc w:val="both"/>
        <w:rPr>
          <w:noProof/>
          <w:color w:val="000000"/>
          <w:sz w:val="22"/>
        </w:rPr>
      </w:pPr>
      <w:bookmarkStart w:id="2331" w:name="_ENREF_81"/>
      <w:r w:rsidRPr="004A784D">
        <w:rPr>
          <w:noProof/>
          <w:color w:val="000000"/>
          <w:sz w:val="22"/>
        </w:rPr>
        <w:lastRenderedPageBreak/>
        <w:t xml:space="preserve">COLANTONIO, D. A., DUNKINSON, C., BOVENKAMP, D. E. &amp; VAN EYK, J. E. 2005. Effective removal of albumin from serum. </w:t>
      </w:r>
      <w:r w:rsidRPr="004A784D">
        <w:rPr>
          <w:i/>
          <w:noProof/>
          <w:color w:val="000000"/>
          <w:sz w:val="22"/>
        </w:rPr>
        <w:t>Proteomics,</w:t>
      </w:r>
      <w:r w:rsidRPr="004A784D">
        <w:rPr>
          <w:noProof/>
          <w:color w:val="000000"/>
          <w:sz w:val="22"/>
        </w:rPr>
        <w:t xml:space="preserve"> 5</w:t>
      </w:r>
      <w:r w:rsidRPr="004A784D">
        <w:rPr>
          <w:b/>
          <w:noProof/>
          <w:color w:val="000000"/>
          <w:sz w:val="22"/>
        </w:rPr>
        <w:t>,</w:t>
      </w:r>
      <w:r w:rsidRPr="004A784D">
        <w:rPr>
          <w:noProof/>
          <w:color w:val="000000"/>
          <w:sz w:val="22"/>
        </w:rPr>
        <w:t xml:space="preserve"> 3831-5.</w:t>
      </w:r>
      <w:bookmarkEnd w:id="2331"/>
    </w:p>
    <w:p w:rsidR="004A784D" w:rsidRPr="004A784D" w:rsidRDefault="004A784D" w:rsidP="004A784D">
      <w:pPr>
        <w:spacing w:after="240"/>
        <w:jc w:val="both"/>
        <w:rPr>
          <w:noProof/>
          <w:color w:val="000000"/>
          <w:sz w:val="22"/>
        </w:rPr>
      </w:pPr>
      <w:bookmarkStart w:id="2332" w:name="_ENREF_82"/>
      <w:r w:rsidRPr="004A784D">
        <w:rPr>
          <w:noProof/>
          <w:color w:val="000000"/>
          <w:sz w:val="22"/>
        </w:rPr>
        <w:t xml:space="preserve">COLUCCIA, A. M., CIRULLI, T., NERI, P., MANGIERI, D., COLANARDI, M. C., GNONI, A., DI RENZO, N., DAMMACCO, F., TASSONE, P., RIBATTI, D., GAMBACORTI-PASSERINI, C. &amp; VACCA, A. 2008. Validation of PDGFRbeta and c-Src tyrosine kinases as tumor/vessel targets in patients with multiple myeloma: preclinical efficacy of the novel, orally available inhibitor dasatinib. </w:t>
      </w:r>
      <w:r w:rsidRPr="004A784D">
        <w:rPr>
          <w:i/>
          <w:noProof/>
          <w:color w:val="000000"/>
          <w:sz w:val="22"/>
        </w:rPr>
        <w:t>Blood,</w:t>
      </w:r>
      <w:r w:rsidRPr="004A784D">
        <w:rPr>
          <w:noProof/>
          <w:color w:val="000000"/>
          <w:sz w:val="22"/>
        </w:rPr>
        <w:t xml:space="preserve"> 112</w:t>
      </w:r>
      <w:r w:rsidRPr="004A784D">
        <w:rPr>
          <w:b/>
          <w:noProof/>
          <w:color w:val="000000"/>
          <w:sz w:val="22"/>
        </w:rPr>
        <w:t>,</w:t>
      </w:r>
      <w:r w:rsidRPr="004A784D">
        <w:rPr>
          <w:noProof/>
          <w:color w:val="000000"/>
          <w:sz w:val="22"/>
        </w:rPr>
        <w:t xml:space="preserve"> 1346-56.</w:t>
      </w:r>
      <w:bookmarkEnd w:id="2332"/>
    </w:p>
    <w:p w:rsidR="004A784D" w:rsidRPr="004A784D" w:rsidRDefault="004A784D" w:rsidP="004A784D">
      <w:pPr>
        <w:spacing w:after="240"/>
        <w:jc w:val="both"/>
        <w:rPr>
          <w:noProof/>
          <w:color w:val="000000"/>
          <w:sz w:val="22"/>
        </w:rPr>
      </w:pPr>
      <w:bookmarkStart w:id="2333" w:name="_ENREF_83"/>
      <w:r w:rsidRPr="004A784D">
        <w:rPr>
          <w:noProof/>
          <w:color w:val="000000"/>
          <w:sz w:val="22"/>
        </w:rPr>
        <w:t xml:space="preserve">CONTE, L. G., FIGUEROA, M. G., LOIS, V. V., CABRERA, C. M., LEON, R. A., GARCIA, L. H. &amp; ROJAS, R. H. 2008. [Prognostic value of the new international staging system in multiple myeloma. Comparison with Durie-Salmon staging system]. </w:t>
      </w:r>
      <w:r w:rsidRPr="004A784D">
        <w:rPr>
          <w:i/>
          <w:noProof/>
          <w:color w:val="000000"/>
          <w:sz w:val="22"/>
        </w:rPr>
        <w:t>Rev Med Chil,</w:t>
      </w:r>
      <w:r w:rsidRPr="004A784D">
        <w:rPr>
          <w:noProof/>
          <w:color w:val="000000"/>
          <w:sz w:val="22"/>
        </w:rPr>
        <w:t xml:space="preserve"> 136</w:t>
      </w:r>
      <w:r w:rsidRPr="004A784D">
        <w:rPr>
          <w:b/>
          <w:noProof/>
          <w:color w:val="000000"/>
          <w:sz w:val="22"/>
        </w:rPr>
        <w:t>,</w:t>
      </w:r>
      <w:r w:rsidRPr="004A784D">
        <w:rPr>
          <w:noProof/>
          <w:color w:val="000000"/>
          <w:sz w:val="22"/>
        </w:rPr>
        <w:t xml:space="preserve"> 7-12.</w:t>
      </w:r>
      <w:bookmarkEnd w:id="2333"/>
    </w:p>
    <w:p w:rsidR="004A784D" w:rsidRPr="004A784D" w:rsidRDefault="004A784D" w:rsidP="004A784D">
      <w:pPr>
        <w:spacing w:after="240"/>
        <w:jc w:val="both"/>
        <w:rPr>
          <w:noProof/>
          <w:color w:val="000000"/>
          <w:sz w:val="22"/>
        </w:rPr>
      </w:pPr>
      <w:bookmarkStart w:id="2334" w:name="_ENREF_84"/>
      <w:r w:rsidRPr="004A784D">
        <w:rPr>
          <w:noProof/>
          <w:color w:val="000000"/>
          <w:sz w:val="22"/>
        </w:rPr>
        <w:t xml:space="preserve">CORSO, A., MANGIACAVALLI, S., BARBARANO, L., MONTALBETTI, L., MAZZONE, A., FAVA, S., VARETTONI, M., ZAPPASODI, P., MORRA, E. &amp; LAZZARINO, M. 2008. Low efficacy of thalidomide in improving response after induction in multiple myeloma patients who are candidates for high-dose therapy. </w:t>
      </w:r>
      <w:r w:rsidRPr="004A784D">
        <w:rPr>
          <w:i/>
          <w:noProof/>
          <w:color w:val="000000"/>
          <w:sz w:val="22"/>
        </w:rPr>
        <w:t>Leuk Res,</w:t>
      </w:r>
      <w:r w:rsidRPr="004A784D">
        <w:rPr>
          <w:noProof/>
          <w:color w:val="000000"/>
          <w:sz w:val="22"/>
        </w:rPr>
        <w:t xml:space="preserve"> 32</w:t>
      </w:r>
      <w:r w:rsidRPr="004A784D">
        <w:rPr>
          <w:b/>
          <w:noProof/>
          <w:color w:val="000000"/>
          <w:sz w:val="22"/>
        </w:rPr>
        <w:t>,</w:t>
      </w:r>
      <w:r w:rsidRPr="004A784D">
        <w:rPr>
          <w:noProof/>
          <w:color w:val="000000"/>
          <w:sz w:val="22"/>
        </w:rPr>
        <w:t xml:space="preserve"> 1085-90.</w:t>
      </w:r>
      <w:bookmarkEnd w:id="2334"/>
    </w:p>
    <w:p w:rsidR="004A784D" w:rsidRPr="004A784D" w:rsidRDefault="004A784D" w:rsidP="004A784D">
      <w:pPr>
        <w:spacing w:after="240"/>
        <w:jc w:val="both"/>
        <w:rPr>
          <w:noProof/>
          <w:color w:val="000000"/>
          <w:sz w:val="22"/>
        </w:rPr>
      </w:pPr>
      <w:bookmarkStart w:id="2335" w:name="_ENREF_85"/>
      <w:r w:rsidRPr="004A784D">
        <w:rPr>
          <w:noProof/>
          <w:color w:val="000000"/>
          <w:sz w:val="22"/>
        </w:rPr>
        <w:t xml:space="preserve">CORZETT, T. H., FODOR, I. K., CHOI, M. W., WALSWORTH, V. L., TURTELTAUB, K. W., MCCUTCHEN-MALONEY, S. L. &amp; CHROMY, B. A. 2010. Statistical analysis of variation in the human plasma proteome. </w:t>
      </w:r>
      <w:r w:rsidRPr="004A784D">
        <w:rPr>
          <w:i/>
          <w:noProof/>
          <w:color w:val="000000"/>
          <w:sz w:val="22"/>
        </w:rPr>
        <w:t>J Biomed Biotechnol,</w:t>
      </w:r>
      <w:r w:rsidRPr="004A784D">
        <w:rPr>
          <w:noProof/>
          <w:color w:val="000000"/>
          <w:sz w:val="22"/>
        </w:rPr>
        <w:t xml:space="preserve"> 2010</w:t>
      </w:r>
      <w:r w:rsidRPr="004A784D">
        <w:rPr>
          <w:b/>
          <w:noProof/>
          <w:color w:val="000000"/>
          <w:sz w:val="22"/>
        </w:rPr>
        <w:t>,</w:t>
      </w:r>
      <w:r w:rsidRPr="004A784D">
        <w:rPr>
          <w:noProof/>
          <w:color w:val="000000"/>
          <w:sz w:val="22"/>
        </w:rPr>
        <w:t xml:space="preserve"> 258494.</w:t>
      </w:r>
      <w:bookmarkEnd w:id="2335"/>
    </w:p>
    <w:p w:rsidR="004A784D" w:rsidRPr="004A784D" w:rsidRDefault="004A784D" w:rsidP="004A784D">
      <w:pPr>
        <w:spacing w:after="240"/>
        <w:jc w:val="both"/>
        <w:rPr>
          <w:noProof/>
          <w:color w:val="000000"/>
          <w:sz w:val="22"/>
        </w:rPr>
      </w:pPr>
      <w:bookmarkStart w:id="2336" w:name="_ENREF_86"/>
      <w:r w:rsidRPr="004A784D">
        <w:rPr>
          <w:noProof/>
          <w:color w:val="000000"/>
          <w:sz w:val="22"/>
        </w:rPr>
        <w:t xml:space="preserve">COSACOV, R. M., DIAZ MOYANO, O. &amp; CASSINA, M. 1999. [POEMS syndrome]. </w:t>
      </w:r>
      <w:r w:rsidRPr="004A784D">
        <w:rPr>
          <w:i/>
          <w:noProof/>
          <w:color w:val="000000"/>
          <w:sz w:val="22"/>
        </w:rPr>
        <w:t>Rev Fac Cien Med Univ Nac Cordoba,</w:t>
      </w:r>
      <w:r w:rsidRPr="004A784D">
        <w:rPr>
          <w:noProof/>
          <w:color w:val="000000"/>
          <w:sz w:val="22"/>
        </w:rPr>
        <w:t xml:space="preserve"> 56</w:t>
      </w:r>
      <w:r w:rsidRPr="004A784D">
        <w:rPr>
          <w:b/>
          <w:noProof/>
          <w:color w:val="000000"/>
          <w:sz w:val="22"/>
        </w:rPr>
        <w:t>,</w:t>
      </w:r>
      <w:r w:rsidRPr="004A784D">
        <w:rPr>
          <w:noProof/>
          <w:color w:val="000000"/>
          <w:sz w:val="22"/>
        </w:rPr>
        <w:t xml:space="preserve"> 113-21.</w:t>
      </w:r>
      <w:bookmarkEnd w:id="2336"/>
    </w:p>
    <w:p w:rsidR="004A784D" w:rsidRPr="004A784D" w:rsidRDefault="004A784D" w:rsidP="004A784D">
      <w:pPr>
        <w:spacing w:after="240"/>
        <w:jc w:val="both"/>
        <w:rPr>
          <w:noProof/>
          <w:color w:val="000000"/>
          <w:sz w:val="22"/>
        </w:rPr>
      </w:pPr>
      <w:bookmarkStart w:id="2337" w:name="_ENREF_87"/>
      <w:r w:rsidRPr="004A784D">
        <w:rPr>
          <w:noProof/>
          <w:color w:val="000000"/>
          <w:sz w:val="22"/>
        </w:rPr>
        <w:t xml:space="preserve">CSANKY, E., OLIVOVA, P., RAJNAVOLGYI, E., HEMPEL, W., TARDIEU, N., KATALIN, E. T., JULLIEN, A., MALDEREZ-BLOES, C., KURAS, M., DUVAL, M. X., NAGY, L., SCHOLTZ, B., HANCOCK, W., KARGER, B., GUTTMAN, A. &amp; TAKACS, L. 2007. Monoclonal antibody proteomics: discovery and prevalidation of chronic obstructive pulmonary disease biomarkers in a single step. </w:t>
      </w:r>
      <w:r w:rsidRPr="004A784D">
        <w:rPr>
          <w:i/>
          <w:noProof/>
          <w:color w:val="000000"/>
          <w:sz w:val="22"/>
        </w:rPr>
        <w:t>Electrophoresis,</w:t>
      </w:r>
      <w:r w:rsidRPr="004A784D">
        <w:rPr>
          <w:noProof/>
          <w:color w:val="000000"/>
          <w:sz w:val="22"/>
        </w:rPr>
        <w:t xml:space="preserve"> 28</w:t>
      </w:r>
      <w:r w:rsidRPr="004A784D">
        <w:rPr>
          <w:b/>
          <w:noProof/>
          <w:color w:val="000000"/>
          <w:sz w:val="22"/>
        </w:rPr>
        <w:t>,</w:t>
      </w:r>
      <w:r w:rsidRPr="004A784D">
        <w:rPr>
          <w:noProof/>
          <w:color w:val="000000"/>
          <w:sz w:val="22"/>
        </w:rPr>
        <w:t xml:space="preserve"> 4401-6.</w:t>
      </w:r>
      <w:bookmarkEnd w:id="2337"/>
    </w:p>
    <w:p w:rsidR="004A784D" w:rsidRPr="004A784D" w:rsidRDefault="004A784D" w:rsidP="004A784D">
      <w:pPr>
        <w:spacing w:after="240"/>
        <w:jc w:val="both"/>
        <w:rPr>
          <w:noProof/>
          <w:color w:val="000000"/>
          <w:sz w:val="22"/>
        </w:rPr>
      </w:pPr>
      <w:bookmarkStart w:id="2338" w:name="_ENREF_88"/>
      <w:r w:rsidRPr="004A784D">
        <w:rPr>
          <w:noProof/>
          <w:color w:val="000000"/>
          <w:sz w:val="22"/>
        </w:rPr>
        <w:t xml:space="preserve">CUI, J. W., WANG, J., HE, K., JIN, B. F., WANG, H. X., LI, W., KANG, L. H., HU, M. R., LI, H. Y., YU, M., SHEN, B. F., WANG, G. J. &amp; ZHANG, X. M. 2004. Proteomic analysis of human acute leukemia cells: insight into their classification. </w:t>
      </w:r>
      <w:r w:rsidRPr="004A784D">
        <w:rPr>
          <w:i/>
          <w:noProof/>
          <w:color w:val="000000"/>
          <w:sz w:val="22"/>
        </w:rPr>
        <w:t>Clin Cancer Res,</w:t>
      </w:r>
      <w:r w:rsidRPr="004A784D">
        <w:rPr>
          <w:noProof/>
          <w:color w:val="000000"/>
          <w:sz w:val="22"/>
        </w:rPr>
        <w:t xml:space="preserve"> 10</w:t>
      </w:r>
      <w:r w:rsidRPr="004A784D">
        <w:rPr>
          <w:b/>
          <w:noProof/>
          <w:color w:val="000000"/>
          <w:sz w:val="22"/>
        </w:rPr>
        <w:t>,</w:t>
      </w:r>
      <w:r w:rsidRPr="004A784D">
        <w:rPr>
          <w:noProof/>
          <w:color w:val="000000"/>
          <w:sz w:val="22"/>
        </w:rPr>
        <w:t xml:space="preserve"> 6887-96.</w:t>
      </w:r>
      <w:bookmarkEnd w:id="2338"/>
    </w:p>
    <w:p w:rsidR="004A784D" w:rsidRPr="004A784D" w:rsidRDefault="004A784D" w:rsidP="004A784D">
      <w:pPr>
        <w:spacing w:after="240"/>
        <w:jc w:val="both"/>
        <w:rPr>
          <w:noProof/>
          <w:color w:val="000000"/>
          <w:sz w:val="22"/>
        </w:rPr>
      </w:pPr>
      <w:bookmarkStart w:id="2339" w:name="_ENREF_89"/>
      <w:r w:rsidRPr="004A784D">
        <w:rPr>
          <w:noProof/>
          <w:color w:val="000000"/>
          <w:sz w:val="22"/>
        </w:rPr>
        <w:t xml:space="preserve">CUMOVA, J., POTACOVA, A., ZDRAHAL, Z. &amp; HAJEK, R. 2011. Proteomic analysis in multiple myeloma research. </w:t>
      </w:r>
      <w:r w:rsidRPr="004A784D">
        <w:rPr>
          <w:i/>
          <w:noProof/>
          <w:color w:val="000000"/>
          <w:sz w:val="22"/>
        </w:rPr>
        <w:t>Mol Biotechnol,</w:t>
      </w:r>
      <w:r w:rsidRPr="004A784D">
        <w:rPr>
          <w:noProof/>
          <w:color w:val="000000"/>
          <w:sz w:val="22"/>
        </w:rPr>
        <w:t xml:space="preserve"> 47</w:t>
      </w:r>
      <w:r w:rsidRPr="004A784D">
        <w:rPr>
          <w:b/>
          <w:noProof/>
          <w:color w:val="000000"/>
          <w:sz w:val="22"/>
        </w:rPr>
        <w:t>,</w:t>
      </w:r>
      <w:r w:rsidRPr="004A784D">
        <w:rPr>
          <w:noProof/>
          <w:color w:val="000000"/>
          <w:sz w:val="22"/>
        </w:rPr>
        <w:t xml:space="preserve"> 83-93.</w:t>
      </w:r>
      <w:bookmarkEnd w:id="2339"/>
    </w:p>
    <w:p w:rsidR="004A784D" w:rsidRPr="004A784D" w:rsidRDefault="004A784D" w:rsidP="004A784D">
      <w:pPr>
        <w:spacing w:after="240"/>
        <w:jc w:val="both"/>
        <w:rPr>
          <w:noProof/>
          <w:color w:val="000000"/>
          <w:sz w:val="22"/>
        </w:rPr>
      </w:pPr>
      <w:bookmarkStart w:id="2340" w:name="_ENREF_90"/>
      <w:r w:rsidRPr="004A784D">
        <w:rPr>
          <w:noProof/>
          <w:color w:val="000000"/>
          <w:sz w:val="22"/>
        </w:rPr>
        <w:t xml:space="preserve">DARDE, V. M., BARDERAS, M. G. &amp; VIVANCO, F. 2007. Depletion of high-abundance proteins in plasma by immunoaffinity subtraction for two-dimensional difference gel electrophoresis analysis. </w:t>
      </w:r>
      <w:r w:rsidRPr="004A784D">
        <w:rPr>
          <w:i/>
          <w:noProof/>
          <w:color w:val="000000"/>
          <w:sz w:val="22"/>
        </w:rPr>
        <w:t>Methods Mol Biol,</w:t>
      </w:r>
      <w:r w:rsidRPr="004A784D">
        <w:rPr>
          <w:noProof/>
          <w:color w:val="000000"/>
          <w:sz w:val="22"/>
        </w:rPr>
        <w:t xml:space="preserve"> 357</w:t>
      </w:r>
      <w:r w:rsidRPr="004A784D">
        <w:rPr>
          <w:b/>
          <w:noProof/>
          <w:color w:val="000000"/>
          <w:sz w:val="22"/>
        </w:rPr>
        <w:t>,</w:t>
      </w:r>
      <w:r w:rsidRPr="004A784D">
        <w:rPr>
          <w:noProof/>
          <w:color w:val="000000"/>
          <w:sz w:val="22"/>
        </w:rPr>
        <w:t xml:space="preserve"> 351-64.</w:t>
      </w:r>
      <w:bookmarkEnd w:id="2340"/>
    </w:p>
    <w:p w:rsidR="004A784D" w:rsidRPr="004A784D" w:rsidRDefault="004A784D" w:rsidP="004A784D">
      <w:pPr>
        <w:spacing w:after="240"/>
        <w:jc w:val="both"/>
        <w:rPr>
          <w:noProof/>
          <w:color w:val="000000"/>
          <w:sz w:val="22"/>
        </w:rPr>
      </w:pPr>
      <w:bookmarkStart w:id="2341" w:name="_ENREF_91"/>
      <w:r w:rsidRPr="004A784D">
        <w:rPr>
          <w:noProof/>
          <w:color w:val="000000"/>
          <w:sz w:val="22"/>
        </w:rPr>
        <w:t xml:space="preserve">DAVOLI, A., HOCEVAR, B. A. &amp; BROWN, T. L. 2010. Progression and treatment of HER2-positive breast cancer. </w:t>
      </w:r>
      <w:r w:rsidRPr="004A784D">
        <w:rPr>
          <w:i/>
          <w:noProof/>
          <w:color w:val="000000"/>
          <w:sz w:val="22"/>
        </w:rPr>
        <w:t>Cancer Chemother Pharmacol,</w:t>
      </w:r>
      <w:r w:rsidRPr="004A784D">
        <w:rPr>
          <w:noProof/>
          <w:color w:val="000000"/>
          <w:sz w:val="22"/>
        </w:rPr>
        <w:t xml:space="preserve"> 65</w:t>
      </w:r>
      <w:r w:rsidRPr="004A784D">
        <w:rPr>
          <w:b/>
          <w:noProof/>
          <w:color w:val="000000"/>
          <w:sz w:val="22"/>
        </w:rPr>
        <w:t>,</w:t>
      </w:r>
      <w:r w:rsidRPr="004A784D">
        <w:rPr>
          <w:noProof/>
          <w:color w:val="000000"/>
          <w:sz w:val="22"/>
        </w:rPr>
        <w:t xml:space="preserve"> 611-23.</w:t>
      </w:r>
      <w:bookmarkEnd w:id="2341"/>
    </w:p>
    <w:p w:rsidR="004A784D" w:rsidRPr="004A784D" w:rsidRDefault="004A784D" w:rsidP="004A784D">
      <w:pPr>
        <w:spacing w:after="240"/>
        <w:jc w:val="both"/>
        <w:rPr>
          <w:noProof/>
          <w:color w:val="000000"/>
          <w:sz w:val="22"/>
        </w:rPr>
      </w:pPr>
      <w:bookmarkStart w:id="2342" w:name="_ENREF_92"/>
      <w:r w:rsidRPr="004A784D">
        <w:rPr>
          <w:noProof/>
          <w:color w:val="000000"/>
          <w:sz w:val="22"/>
        </w:rPr>
        <w:t xml:space="preserve">DE KLEIJN, D. P., SMEETS, M. B., KEMMEREN, P. P., LIM, S. K., VAN MIDDELAAR, B. J., VELEMA, E., SCHONEVELD, A., PASTERKAMP, G. &amp; BORST, C. 2002. Acute-phase protein haptoglobin is a cell migration factor involved in arterial restructuring. </w:t>
      </w:r>
      <w:r w:rsidRPr="004A784D">
        <w:rPr>
          <w:i/>
          <w:noProof/>
          <w:color w:val="000000"/>
          <w:sz w:val="22"/>
        </w:rPr>
        <w:t>Faseb J,</w:t>
      </w:r>
      <w:r w:rsidRPr="004A784D">
        <w:rPr>
          <w:noProof/>
          <w:color w:val="000000"/>
          <w:sz w:val="22"/>
        </w:rPr>
        <w:t xml:space="preserve"> 16</w:t>
      </w:r>
      <w:r w:rsidRPr="004A784D">
        <w:rPr>
          <w:b/>
          <w:noProof/>
          <w:color w:val="000000"/>
          <w:sz w:val="22"/>
        </w:rPr>
        <w:t>,</w:t>
      </w:r>
      <w:r w:rsidRPr="004A784D">
        <w:rPr>
          <w:noProof/>
          <w:color w:val="000000"/>
          <w:sz w:val="22"/>
        </w:rPr>
        <w:t xml:space="preserve"> 1123-5.</w:t>
      </w:r>
      <w:bookmarkEnd w:id="2342"/>
    </w:p>
    <w:p w:rsidR="004A784D" w:rsidRPr="004A784D" w:rsidRDefault="004A784D" w:rsidP="004A784D">
      <w:pPr>
        <w:spacing w:after="240"/>
        <w:jc w:val="both"/>
        <w:rPr>
          <w:noProof/>
          <w:color w:val="000000"/>
          <w:sz w:val="22"/>
        </w:rPr>
      </w:pPr>
      <w:bookmarkStart w:id="2343" w:name="_ENREF_93"/>
      <w:r w:rsidRPr="004A784D">
        <w:rPr>
          <w:noProof/>
          <w:color w:val="000000"/>
          <w:sz w:val="22"/>
        </w:rPr>
        <w:t xml:space="preserve">DE PAOLI, P. 2005. Bio-banking in microbiology: from sample collection to epidemiology, diagnosis and research. </w:t>
      </w:r>
      <w:r w:rsidRPr="004A784D">
        <w:rPr>
          <w:i/>
          <w:noProof/>
          <w:color w:val="000000"/>
          <w:sz w:val="22"/>
        </w:rPr>
        <w:t>FEMS Microbiol Rev,</w:t>
      </w:r>
      <w:r w:rsidRPr="004A784D">
        <w:rPr>
          <w:noProof/>
          <w:color w:val="000000"/>
          <w:sz w:val="22"/>
        </w:rPr>
        <w:t xml:space="preserve"> 29</w:t>
      </w:r>
      <w:r w:rsidRPr="004A784D">
        <w:rPr>
          <w:b/>
          <w:noProof/>
          <w:color w:val="000000"/>
          <w:sz w:val="22"/>
        </w:rPr>
        <w:t>,</w:t>
      </w:r>
      <w:r w:rsidRPr="004A784D">
        <w:rPr>
          <w:noProof/>
          <w:color w:val="000000"/>
          <w:sz w:val="22"/>
        </w:rPr>
        <w:t xml:space="preserve"> 897-910.</w:t>
      </w:r>
      <w:bookmarkEnd w:id="2343"/>
    </w:p>
    <w:p w:rsidR="004A784D" w:rsidRPr="004A784D" w:rsidRDefault="004A784D" w:rsidP="004A784D">
      <w:pPr>
        <w:spacing w:after="240"/>
        <w:jc w:val="both"/>
        <w:rPr>
          <w:noProof/>
          <w:color w:val="000000"/>
          <w:sz w:val="22"/>
        </w:rPr>
      </w:pPr>
      <w:bookmarkStart w:id="2344" w:name="_ENREF_94"/>
      <w:r w:rsidRPr="004A784D">
        <w:rPr>
          <w:noProof/>
          <w:color w:val="000000"/>
          <w:sz w:val="22"/>
        </w:rPr>
        <w:lastRenderedPageBreak/>
        <w:t xml:space="preserve">DECAUX, O., LAURAT, E., PERLAT, A., CAZALETS, C., JEGO, P. &amp; GROSBOIS, B. 2009. Systemic manifestations of monoclonal gammopathy. </w:t>
      </w:r>
      <w:r w:rsidRPr="004A784D">
        <w:rPr>
          <w:i/>
          <w:noProof/>
          <w:color w:val="000000"/>
          <w:sz w:val="22"/>
        </w:rPr>
        <w:t>Eur J Intern Med,</w:t>
      </w:r>
      <w:r w:rsidRPr="004A784D">
        <w:rPr>
          <w:noProof/>
          <w:color w:val="000000"/>
          <w:sz w:val="22"/>
        </w:rPr>
        <w:t xml:space="preserve"> 20</w:t>
      </w:r>
      <w:r w:rsidRPr="004A784D">
        <w:rPr>
          <w:b/>
          <w:noProof/>
          <w:color w:val="000000"/>
          <w:sz w:val="22"/>
        </w:rPr>
        <w:t>,</w:t>
      </w:r>
      <w:r w:rsidRPr="004A784D">
        <w:rPr>
          <w:noProof/>
          <w:color w:val="000000"/>
          <w:sz w:val="22"/>
        </w:rPr>
        <w:t xml:space="preserve"> 457-61.</w:t>
      </w:r>
      <w:bookmarkEnd w:id="2344"/>
    </w:p>
    <w:p w:rsidR="004A784D" w:rsidRPr="004A784D" w:rsidRDefault="004A784D" w:rsidP="004A784D">
      <w:pPr>
        <w:spacing w:after="240"/>
        <w:jc w:val="both"/>
        <w:rPr>
          <w:noProof/>
          <w:color w:val="000000"/>
          <w:sz w:val="22"/>
        </w:rPr>
      </w:pPr>
      <w:bookmarkStart w:id="2345" w:name="_ENREF_95"/>
      <w:r w:rsidRPr="004A784D">
        <w:rPr>
          <w:noProof/>
          <w:color w:val="000000"/>
          <w:sz w:val="22"/>
        </w:rPr>
        <w:t xml:space="preserve">DELACOUR, H., SERVONNET, A., PERROT, A., VIGEZZI, J. F. &amp; RAMIREZ, J. M. 2005. [ROC (receiver operating characteristics) curve: principles and application in biology]. </w:t>
      </w:r>
      <w:r w:rsidRPr="004A784D">
        <w:rPr>
          <w:i/>
          <w:noProof/>
          <w:color w:val="000000"/>
          <w:sz w:val="22"/>
        </w:rPr>
        <w:t>Ann Biol Clin (Paris),</w:t>
      </w:r>
      <w:r w:rsidRPr="004A784D">
        <w:rPr>
          <w:noProof/>
          <w:color w:val="000000"/>
          <w:sz w:val="22"/>
        </w:rPr>
        <w:t xml:space="preserve"> 63</w:t>
      </w:r>
      <w:r w:rsidRPr="004A784D">
        <w:rPr>
          <w:b/>
          <w:noProof/>
          <w:color w:val="000000"/>
          <w:sz w:val="22"/>
        </w:rPr>
        <w:t>,</w:t>
      </w:r>
      <w:r w:rsidRPr="004A784D">
        <w:rPr>
          <w:noProof/>
          <w:color w:val="000000"/>
          <w:sz w:val="22"/>
        </w:rPr>
        <w:t xml:space="preserve"> 145-54.</w:t>
      </w:r>
      <w:bookmarkEnd w:id="2345"/>
    </w:p>
    <w:p w:rsidR="004A784D" w:rsidRPr="004A784D" w:rsidRDefault="004A784D" w:rsidP="004A784D">
      <w:pPr>
        <w:spacing w:after="240"/>
        <w:jc w:val="both"/>
        <w:rPr>
          <w:noProof/>
          <w:color w:val="000000"/>
          <w:sz w:val="22"/>
        </w:rPr>
      </w:pPr>
      <w:bookmarkStart w:id="2346" w:name="_ENREF_96"/>
      <w:r w:rsidRPr="004A784D">
        <w:rPr>
          <w:noProof/>
          <w:color w:val="000000"/>
          <w:sz w:val="22"/>
        </w:rPr>
        <w:t xml:space="preserve">DENG, M., SUN, F. &amp; CHEN, T. 2003a. Assessment of the reliability of protein-protein interactions and protein function prediction. </w:t>
      </w:r>
      <w:r w:rsidRPr="004A784D">
        <w:rPr>
          <w:i/>
          <w:noProof/>
          <w:color w:val="000000"/>
          <w:sz w:val="22"/>
        </w:rPr>
        <w:t>Pac Symp Biocomput</w:t>
      </w:r>
      <w:r w:rsidRPr="004A784D">
        <w:rPr>
          <w:b/>
          <w:noProof/>
          <w:color w:val="000000"/>
          <w:sz w:val="22"/>
        </w:rPr>
        <w:t>,</w:t>
      </w:r>
      <w:r w:rsidRPr="004A784D">
        <w:rPr>
          <w:noProof/>
          <w:color w:val="000000"/>
          <w:sz w:val="22"/>
        </w:rPr>
        <w:t xml:space="preserve"> 140-51.</w:t>
      </w:r>
      <w:bookmarkEnd w:id="2346"/>
    </w:p>
    <w:p w:rsidR="004A784D" w:rsidRPr="004A784D" w:rsidRDefault="004A784D" w:rsidP="004A784D">
      <w:pPr>
        <w:spacing w:after="240"/>
        <w:jc w:val="both"/>
        <w:rPr>
          <w:noProof/>
          <w:color w:val="000000"/>
          <w:sz w:val="22"/>
        </w:rPr>
      </w:pPr>
      <w:bookmarkStart w:id="2347" w:name="_ENREF_97"/>
      <w:r w:rsidRPr="004A784D">
        <w:rPr>
          <w:noProof/>
          <w:color w:val="000000"/>
          <w:sz w:val="22"/>
        </w:rPr>
        <w:t xml:space="preserve">DENG, M., TU, Z., SUN, F. &amp; CHEN, T. 2004a. Mapping Gene Ontology to proteins based on protein-protein interaction data. </w:t>
      </w:r>
      <w:r w:rsidRPr="004A784D">
        <w:rPr>
          <w:i/>
          <w:noProof/>
          <w:color w:val="000000"/>
          <w:sz w:val="22"/>
        </w:rPr>
        <w:t>Bioinformatics,</w:t>
      </w:r>
      <w:r w:rsidRPr="004A784D">
        <w:rPr>
          <w:noProof/>
          <w:color w:val="000000"/>
          <w:sz w:val="22"/>
        </w:rPr>
        <w:t xml:space="preserve"> 20</w:t>
      </w:r>
      <w:r w:rsidRPr="004A784D">
        <w:rPr>
          <w:b/>
          <w:noProof/>
          <w:color w:val="000000"/>
          <w:sz w:val="22"/>
        </w:rPr>
        <w:t>,</w:t>
      </w:r>
      <w:r w:rsidRPr="004A784D">
        <w:rPr>
          <w:noProof/>
          <w:color w:val="000000"/>
          <w:sz w:val="22"/>
        </w:rPr>
        <w:t xml:space="preserve"> 895-902.</w:t>
      </w:r>
      <w:bookmarkEnd w:id="2347"/>
    </w:p>
    <w:p w:rsidR="004A784D" w:rsidRPr="004A784D" w:rsidRDefault="004A784D" w:rsidP="004A784D">
      <w:pPr>
        <w:spacing w:after="240"/>
        <w:jc w:val="both"/>
        <w:rPr>
          <w:noProof/>
          <w:color w:val="000000"/>
          <w:sz w:val="22"/>
        </w:rPr>
      </w:pPr>
      <w:bookmarkStart w:id="2348" w:name="_ENREF_98"/>
      <w:r w:rsidRPr="004A784D">
        <w:rPr>
          <w:noProof/>
          <w:color w:val="000000"/>
          <w:sz w:val="22"/>
        </w:rPr>
        <w:t xml:space="preserve">DENG, M., ZHANG, K., MEHTA, S., CHEN, T. &amp; SUN, F. 2003b. Prediction of protein function using protein-protein interaction data. </w:t>
      </w:r>
      <w:r w:rsidRPr="004A784D">
        <w:rPr>
          <w:i/>
          <w:noProof/>
          <w:color w:val="000000"/>
          <w:sz w:val="22"/>
        </w:rPr>
        <w:t>J Comput Biol,</w:t>
      </w:r>
      <w:r w:rsidRPr="004A784D">
        <w:rPr>
          <w:noProof/>
          <w:color w:val="000000"/>
          <w:sz w:val="22"/>
        </w:rPr>
        <w:t xml:space="preserve"> 10</w:t>
      </w:r>
      <w:r w:rsidRPr="004A784D">
        <w:rPr>
          <w:b/>
          <w:noProof/>
          <w:color w:val="000000"/>
          <w:sz w:val="22"/>
        </w:rPr>
        <w:t>,</w:t>
      </w:r>
      <w:r w:rsidRPr="004A784D">
        <w:rPr>
          <w:noProof/>
          <w:color w:val="000000"/>
          <w:sz w:val="22"/>
        </w:rPr>
        <w:t xml:space="preserve"> 947-60.</w:t>
      </w:r>
      <w:bookmarkEnd w:id="2348"/>
    </w:p>
    <w:p w:rsidR="004A784D" w:rsidRPr="004A784D" w:rsidRDefault="004A784D" w:rsidP="004A784D">
      <w:pPr>
        <w:spacing w:after="240"/>
        <w:jc w:val="both"/>
        <w:rPr>
          <w:noProof/>
          <w:color w:val="000000"/>
          <w:sz w:val="22"/>
        </w:rPr>
      </w:pPr>
      <w:bookmarkStart w:id="2349" w:name="_ENREF_99"/>
      <w:r w:rsidRPr="004A784D">
        <w:rPr>
          <w:noProof/>
          <w:color w:val="000000"/>
          <w:sz w:val="22"/>
        </w:rPr>
        <w:t xml:space="preserve">DENG, Y., LIU, Q. &amp; LI, Y. X. 2004b. Scoring hidden Markov models to discriminate beta-barrel membrane proteins. </w:t>
      </w:r>
      <w:r w:rsidRPr="004A784D">
        <w:rPr>
          <w:i/>
          <w:noProof/>
          <w:color w:val="000000"/>
          <w:sz w:val="22"/>
        </w:rPr>
        <w:t>Comput Biol Chem,</w:t>
      </w:r>
      <w:r w:rsidRPr="004A784D">
        <w:rPr>
          <w:noProof/>
          <w:color w:val="000000"/>
          <w:sz w:val="22"/>
        </w:rPr>
        <w:t xml:space="preserve"> 28</w:t>
      </w:r>
      <w:r w:rsidRPr="004A784D">
        <w:rPr>
          <w:b/>
          <w:noProof/>
          <w:color w:val="000000"/>
          <w:sz w:val="22"/>
        </w:rPr>
        <w:t>,</w:t>
      </w:r>
      <w:r w:rsidRPr="004A784D">
        <w:rPr>
          <w:noProof/>
          <w:color w:val="000000"/>
          <w:sz w:val="22"/>
        </w:rPr>
        <w:t xml:space="preserve"> 189-94.</w:t>
      </w:r>
      <w:bookmarkEnd w:id="2349"/>
    </w:p>
    <w:p w:rsidR="004A784D" w:rsidRPr="004A784D" w:rsidRDefault="004A784D" w:rsidP="004A784D">
      <w:pPr>
        <w:spacing w:after="240"/>
        <w:jc w:val="both"/>
        <w:rPr>
          <w:noProof/>
          <w:color w:val="000000"/>
          <w:sz w:val="22"/>
        </w:rPr>
      </w:pPr>
      <w:bookmarkStart w:id="2350" w:name="_ENREF_100"/>
      <w:r w:rsidRPr="004A784D">
        <w:rPr>
          <w:noProof/>
          <w:color w:val="000000"/>
          <w:sz w:val="22"/>
        </w:rPr>
        <w:t xml:space="preserve">DESCAZEAUD, A., DE LA TAILLE, A., ALLORY, Y., FAUCON, H., SALOMON, L., BISMAR, T., KIM, R., HOFER, M. D., CHOPIN, D., ABBOU, C. C. &amp; RUBIN, M. A. 2006. Characterization of ZAG protein expression in prostate cancer using a semi-automated microscope system. </w:t>
      </w:r>
      <w:r w:rsidRPr="004A784D">
        <w:rPr>
          <w:i/>
          <w:noProof/>
          <w:color w:val="000000"/>
          <w:sz w:val="22"/>
        </w:rPr>
        <w:t>Prostate,</w:t>
      </w:r>
      <w:r w:rsidRPr="004A784D">
        <w:rPr>
          <w:noProof/>
          <w:color w:val="000000"/>
          <w:sz w:val="22"/>
        </w:rPr>
        <w:t xml:space="preserve"> 66</w:t>
      </w:r>
      <w:r w:rsidRPr="004A784D">
        <w:rPr>
          <w:b/>
          <w:noProof/>
          <w:color w:val="000000"/>
          <w:sz w:val="22"/>
        </w:rPr>
        <w:t>,</w:t>
      </w:r>
      <w:r w:rsidRPr="004A784D">
        <w:rPr>
          <w:noProof/>
          <w:color w:val="000000"/>
          <w:sz w:val="22"/>
        </w:rPr>
        <w:t xml:space="preserve"> 1037-43.</w:t>
      </w:r>
      <w:bookmarkEnd w:id="2350"/>
    </w:p>
    <w:p w:rsidR="004A784D" w:rsidRPr="004A784D" w:rsidRDefault="004A784D" w:rsidP="004A784D">
      <w:pPr>
        <w:spacing w:after="240"/>
        <w:jc w:val="both"/>
        <w:rPr>
          <w:noProof/>
          <w:color w:val="000000"/>
          <w:sz w:val="22"/>
        </w:rPr>
      </w:pPr>
      <w:bookmarkStart w:id="2351" w:name="_ENREF_101"/>
      <w:r w:rsidRPr="004A784D">
        <w:rPr>
          <w:noProof/>
          <w:color w:val="000000"/>
          <w:sz w:val="22"/>
        </w:rPr>
        <w:t xml:space="preserve">DIMOPOULOS, M. A. &amp; KASTRITIS, E. 2008. Thalidomide plus dexamethasone as primary therapy for newly diagnosed patients with multiple myeloma. </w:t>
      </w:r>
      <w:r w:rsidRPr="004A784D">
        <w:rPr>
          <w:i/>
          <w:noProof/>
          <w:color w:val="000000"/>
          <w:sz w:val="22"/>
        </w:rPr>
        <w:t>Nat Clin Pract Oncol,</w:t>
      </w:r>
      <w:r w:rsidRPr="004A784D">
        <w:rPr>
          <w:noProof/>
          <w:color w:val="000000"/>
          <w:sz w:val="22"/>
        </w:rPr>
        <w:t xml:space="preserve"> 5</w:t>
      </w:r>
      <w:r w:rsidRPr="004A784D">
        <w:rPr>
          <w:b/>
          <w:noProof/>
          <w:color w:val="000000"/>
          <w:sz w:val="22"/>
        </w:rPr>
        <w:t>,</w:t>
      </w:r>
      <w:r w:rsidRPr="004A784D">
        <w:rPr>
          <w:noProof/>
          <w:color w:val="000000"/>
          <w:sz w:val="22"/>
        </w:rPr>
        <w:t xml:space="preserve"> 690-1.</w:t>
      </w:r>
      <w:bookmarkEnd w:id="2351"/>
    </w:p>
    <w:p w:rsidR="004A784D" w:rsidRPr="004A784D" w:rsidRDefault="004A784D" w:rsidP="004A784D">
      <w:pPr>
        <w:spacing w:after="240"/>
        <w:jc w:val="both"/>
        <w:rPr>
          <w:noProof/>
          <w:color w:val="000000"/>
          <w:sz w:val="22"/>
        </w:rPr>
      </w:pPr>
      <w:bookmarkStart w:id="2352" w:name="_ENREF_102"/>
      <w:r w:rsidRPr="004A784D">
        <w:rPr>
          <w:noProof/>
          <w:color w:val="000000"/>
          <w:sz w:val="22"/>
        </w:rPr>
        <w:t xml:space="preserve">DIMOPOULOS, M. A. &amp; TERPOS, E. 2010. Multiple myeloma. </w:t>
      </w:r>
      <w:r w:rsidRPr="004A784D">
        <w:rPr>
          <w:i/>
          <w:noProof/>
          <w:color w:val="000000"/>
          <w:sz w:val="22"/>
        </w:rPr>
        <w:t>Ann Oncol,</w:t>
      </w:r>
      <w:r w:rsidRPr="004A784D">
        <w:rPr>
          <w:noProof/>
          <w:color w:val="000000"/>
          <w:sz w:val="22"/>
        </w:rPr>
        <w:t xml:space="preserve"> 21 Suppl 7</w:t>
      </w:r>
      <w:r w:rsidRPr="004A784D">
        <w:rPr>
          <w:b/>
          <w:noProof/>
          <w:color w:val="000000"/>
          <w:sz w:val="22"/>
        </w:rPr>
        <w:t>,</w:t>
      </w:r>
      <w:r w:rsidRPr="004A784D">
        <w:rPr>
          <w:noProof/>
          <w:color w:val="000000"/>
          <w:sz w:val="22"/>
        </w:rPr>
        <w:t xml:space="preserve"> vii143-50.</w:t>
      </w:r>
      <w:bookmarkEnd w:id="2352"/>
    </w:p>
    <w:p w:rsidR="004A784D" w:rsidRPr="004A784D" w:rsidRDefault="004A784D" w:rsidP="004A784D">
      <w:pPr>
        <w:spacing w:after="240"/>
        <w:jc w:val="both"/>
        <w:rPr>
          <w:noProof/>
          <w:color w:val="000000"/>
          <w:sz w:val="22"/>
        </w:rPr>
      </w:pPr>
      <w:bookmarkStart w:id="2353" w:name="_ENREF_103"/>
      <w:r w:rsidRPr="004A784D">
        <w:rPr>
          <w:noProof/>
          <w:color w:val="000000"/>
          <w:sz w:val="22"/>
        </w:rPr>
        <w:t xml:space="preserve">DISPENZIERI, A., KYLE, R., MERLINI, G., MIGUEL, J. S., LUDWIG, H., HAJEK, R., PALUMBO, A., JAGANNATH, S., BLADE, J., LONIAL, S., DIMOPOULOS, M., COMENZO, R., EINSELE, H., BARLOGIE, B., ANDERSON, K., GERTZ, M., HAROUSSEAU, J. L., ATTAL, M., TOSI, P., SONNEVELD, P., BOCCADORO, M., MORGAN, G., RICHARDSON, P., SEZER, O., MATEOS, M. V., CAVO, M., JOSHUA, D., TURESSON, I., CHEN, W., SHIMIZU, K., POWLES, R., RAJKUMAR, S. V. &amp; DURIE, B. G. 2009. International Myeloma Working Group guidelines for serum-free light chain analysis in multiple myeloma and related disorders. </w:t>
      </w:r>
      <w:r w:rsidRPr="004A784D">
        <w:rPr>
          <w:i/>
          <w:noProof/>
          <w:color w:val="000000"/>
          <w:sz w:val="22"/>
        </w:rPr>
        <w:t>Leukemia,</w:t>
      </w:r>
      <w:r w:rsidRPr="004A784D">
        <w:rPr>
          <w:noProof/>
          <w:color w:val="000000"/>
          <w:sz w:val="22"/>
        </w:rPr>
        <w:t xml:space="preserve"> 23</w:t>
      </w:r>
      <w:r w:rsidRPr="004A784D">
        <w:rPr>
          <w:b/>
          <w:noProof/>
          <w:color w:val="000000"/>
          <w:sz w:val="22"/>
        </w:rPr>
        <w:t>,</w:t>
      </w:r>
      <w:r w:rsidRPr="004A784D">
        <w:rPr>
          <w:noProof/>
          <w:color w:val="000000"/>
          <w:sz w:val="22"/>
        </w:rPr>
        <w:t xml:space="preserve"> 215-24.</w:t>
      </w:r>
      <w:bookmarkEnd w:id="2353"/>
    </w:p>
    <w:p w:rsidR="004A784D" w:rsidRPr="004A784D" w:rsidRDefault="004A784D" w:rsidP="004A784D">
      <w:pPr>
        <w:spacing w:after="240"/>
        <w:jc w:val="both"/>
        <w:rPr>
          <w:noProof/>
          <w:color w:val="000000"/>
          <w:sz w:val="22"/>
        </w:rPr>
      </w:pPr>
      <w:bookmarkStart w:id="2354" w:name="_ENREF_104"/>
      <w:r w:rsidRPr="004A784D">
        <w:rPr>
          <w:noProof/>
          <w:color w:val="000000"/>
          <w:sz w:val="22"/>
        </w:rPr>
        <w:t xml:space="preserve">DISPENZIERI, A. &amp; KYLE, R. A. 2005. Neurological aspects of multiple myeloma and related disorders. </w:t>
      </w:r>
      <w:r w:rsidRPr="004A784D">
        <w:rPr>
          <w:i/>
          <w:noProof/>
          <w:color w:val="000000"/>
          <w:sz w:val="22"/>
        </w:rPr>
        <w:t>Best Pract Res Clin Haematol,</w:t>
      </w:r>
      <w:r w:rsidRPr="004A784D">
        <w:rPr>
          <w:noProof/>
          <w:color w:val="000000"/>
          <w:sz w:val="22"/>
        </w:rPr>
        <w:t xml:space="preserve"> 18</w:t>
      </w:r>
      <w:r w:rsidRPr="004A784D">
        <w:rPr>
          <w:b/>
          <w:noProof/>
          <w:color w:val="000000"/>
          <w:sz w:val="22"/>
        </w:rPr>
        <w:t>,</w:t>
      </w:r>
      <w:r w:rsidRPr="004A784D">
        <w:rPr>
          <w:noProof/>
          <w:color w:val="000000"/>
          <w:sz w:val="22"/>
        </w:rPr>
        <w:t xml:space="preserve"> 673-88.</w:t>
      </w:r>
      <w:bookmarkEnd w:id="2354"/>
    </w:p>
    <w:p w:rsidR="004A784D" w:rsidRPr="004A784D" w:rsidRDefault="004A784D" w:rsidP="004A784D">
      <w:pPr>
        <w:spacing w:after="240"/>
        <w:jc w:val="both"/>
        <w:rPr>
          <w:noProof/>
          <w:color w:val="000000"/>
          <w:sz w:val="22"/>
        </w:rPr>
      </w:pPr>
      <w:bookmarkStart w:id="2355" w:name="_ENREF_105"/>
      <w:r w:rsidRPr="004A784D">
        <w:rPr>
          <w:noProof/>
          <w:color w:val="000000"/>
          <w:sz w:val="22"/>
        </w:rPr>
        <w:t xml:space="preserve">DITTO, N. T., KLINE, T. R., ALFINITO, P. D. &amp; SLEMMON, J. R. 2009. Enrichment and analysis of Alzheimer's Abeta1-42 peptide in human plasma and whole blood. </w:t>
      </w:r>
      <w:r w:rsidRPr="004A784D">
        <w:rPr>
          <w:i/>
          <w:noProof/>
          <w:color w:val="000000"/>
          <w:sz w:val="22"/>
        </w:rPr>
        <w:t>J Neurosci Methods,</w:t>
      </w:r>
      <w:r w:rsidRPr="004A784D">
        <w:rPr>
          <w:noProof/>
          <w:color w:val="000000"/>
          <w:sz w:val="22"/>
        </w:rPr>
        <w:t xml:space="preserve"> 182</w:t>
      </w:r>
      <w:r w:rsidRPr="004A784D">
        <w:rPr>
          <w:b/>
          <w:noProof/>
          <w:color w:val="000000"/>
          <w:sz w:val="22"/>
        </w:rPr>
        <w:t>,</w:t>
      </w:r>
      <w:r w:rsidRPr="004A784D">
        <w:rPr>
          <w:noProof/>
          <w:color w:val="000000"/>
          <w:sz w:val="22"/>
        </w:rPr>
        <w:t xml:space="preserve"> 260-5.</w:t>
      </w:r>
      <w:bookmarkEnd w:id="2355"/>
    </w:p>
    <w:p w:rsidR="004A784D" w:rsidRPr="004A784D" w:rsidRDefault="004A784D" w:rsidP="004A784D">
      <w:pPr>
        <w:spacing w:after="240"/>
        <w:jc w:val="both"/>
        <w:rPr>
          <w:noProof/>
          <w:color w:val="000000"/>
          <w:sz w:val="22"/>
        </w:rPr>
      </w:pPr>
      <w:bookmarkStart w:id="2356" w:name="_ENREF_106"/>
      <w:r w:rsidRPr="004A784D">
        <w:rPr>
          <w:noProof/>
          <w:color w:val="000000"/>
          <w:sz w:val="22"/>
        </w:rPr>
        <w:t xml:space="preserve">DOWLING, P., MELEADY, P., DOWD, A., HENRY, M., GLYNN, S. &amp; CLYNES, M. 2007a. Proteomic analysis of isolated membrane fractions from superinvasive cancer cells. </w:t>
      </w:r>
      <w:r w:rsidRPr="004A784D">
        <w:rPr>
          <w:i/>
          <w:noProof/>
          <w:color w:val="000000"/>
          <w:sz w:val="22"/>
        </w:rPr>
        <w:t>Biochim Biophys Acta,</w:t>
      </w:r>
      <w:r w:rsidRPr="004A784D">
        <w:rPr>
          <w:noProof/>
          <w:color w:val="000000"/>
          <w:sz w:val="22"/>
        </w:rPr>
        <w:t xml:space="preserve"> 1774</w:t>
      </w:r>
      <w:r w:rsidRPr="004A784D">
        <w:rPr>
          <w:b/>
          <w:noProof/>
          <w:color w:val="000000"/>
          <w:sz w:val="22"/>
        </w:rPr>
        <w:t>,</w:t>
      </w:r>
      <w:r w:rsidRPr="004A784D">
        <w:rPr>
          <w:noProof/>
          <w:color w:val="000000"/>
          <w:sz w:val="22"/>
        </w:rPr>
        <w:t xml:space="preserve"> 93-101.</w:t>
      </w:r>
      <w:bookmarkEnd w:id="2356"/>
    </w:p>
    <w:p w:rsidR="004A784D" w:rsidRPr="004A784D" w:rsidRDefault="004A784D" w:rsidP="004A784D">
      <w:pPr>
        <w:spacing w:after="240"/>
        <w:jc w:val="both"/>
        <w:rPr>
          <w:noProof/>
          <w:color w:val="000000"/>
          <w:sz w:val="22"/>
        </w:rPr>
      </w:pPr>
      <w:bookmarkStart w:id="2357" w:name="_ENREF_107"/>
      <w:r w:rsidRPr="004A784D">
        <w:rPr>
          <w:noProof/>
          <w:color w:val="000000"/>
          <w:sz w:val="22"/>
        </w:rPr>
        <w:t xml:space="preserve">DOWLING, P., O'DRISCOLL, L., MELEADY, P., HENRY, M., ROY, S., BALLOT, J., MORIARTY, M., CROWN, J. &amp; CLYNES, M. 2007b. 2-D difference gel electrophoresis of the lung squamous cell carcinoma versus normal sera demonstrates consistent alterations in the levels of ten specific proteins. </w:t>
      </w:r>
      <w:r w:rsidRPr="004A784D">
        <w:rPr>
          <w:i/>
          <w:noProof/>
          <w:color w:val="000000"/>
          <w:sz w:val="22"/>
        </w:rPr>
        <w:t>Electrophoresis,</w:t>
      </w:r>
      <w:r w:rsidRPr="004A784D">
        <w:rPr>
          <w:noProof/>
          <w:color w:val="000000"/>
          <w:sz w:val="22"/>
        </w:rPr>
        <w:t xml:space="preserve"> 28</w:t>
      </w:r>
      <w:r w:rsidRPr="004A784D">
        <w:rPr>
          <w:b/>
          <w:noProof/>
          <w:color w:val="000000"/>
          <w:sz w:val="22"/>
        </w:rPr>
        <w:t>,</w:t>
      </w:r>
      <w:r w:rsidRPr="004A784D">
        <w:rPr>
          <w:noProof/>
          <w:color w:val="000000"/>
          <w:sz w:val="22"/>
        </w:rPr>
        <w:t xml:space="preserve"> 4302-10.</w:t>
      </w:r>
      <w:bookmarkEnd w:id="2357"/>
    </w:p>
    <w:p w:rsidR="004A784D" w:rsidRPr="004A784D" w:rsidRDefault="004A784D" w:rsidP="004A784D">
      <w:pPr>
        <w:spacing w:after="240"/>
        <w:jc w:val="both"/>
        <w:rPr>
          <w:noProof/>
          <w:color w:val="000000"/>
          <w:sz w:val="22"/>
        </w:rPr>
      </w:pPr>
      <w:bookmarkStart w:id="2358" w:name="_ENREF_108"/>
      <w:r w:rsidRPr="004A784D">
        <w:rPr>
          <w:noProof/>
          <w:color w:val="000000"/>
          <w:sz w:val="22"/>
        </w:rPr>
        <w:lastRenderedPageBreak/>
        <w:t xml:space="preserve">DUAN, X., YARMUSH, D., BERTHIAUME, F., JAYARAMAN, A. &amp; YARMUSH, M. L. 2005. Immunodepletion of albumin for two-dimensional gel detection of new mouse acute-phase protein and other plasma proteins. </w:t>
      </w:r>
      <w:r w:rsidRPr="004A784D">
        <w:rPr>
          <w:i/>
          <w:noProof/>
          <w:color w:val="000000"/>
          <w:sz w:val="22"/>
        </w:rPr>
        <w:t>Proteomics,</w:t>
      </w:r>
      <w:r w:rsidRPr="004A784D">
        <w:rPr>
          <w:noProof/>
          <w:color w:val="000000"/>
          <w:sz w:val="22"/>
        </w:rPr>
        <w:t xml:space="preserve"> 5</w:t>
      </w:r>
      <w:r w:rsidRPr="004A784D">
        <w:rPr>
          <w:b/>
          <w:noProof/>
          <w:color w:val="000000"/>
          <w:sz w:val="22"/>
        </w:rPr>
        <w:t>,</w:t>
      </w:r>
      <w:r w:rsidRPr="004A784D">
        <w:rPr>
          <w:noProof/>
          <w:color w:val="000000"/>
          <w:sz w:val="22"/>
        </w:rPr>
        <w:t xml:space="preserve"> 3991-4000.</w:t>
      </w:r>
      <w:bookmarkEnd w:id="2358"/>
    </w:p>
    <w:p w:rsidR="004A784D" w:rsidRPr="004A784D" w:rsidRDefault="004A784D" w:rsidP="004A784D">
      <w:pPr>
        <w:spacing w:after="240"/>
        <w:jc w:val="both"/>
        <w:rPr>
          <w:noProof/>
          <w:color w:val="000000"/>
          <w:sz w:val="22"/>
        </w:rPr>
      </w:pPr>
      <w:bookmarkStart w:id="2359" w:name="_ENREF_109"/>
      <w:r w:rsidRPr="004A784D">
        <w:rPr>
          <w:noProof/>
          <w:color w:val="000000"/>
          <w:sz w:val="22"/>
        </w:rPr>
        <w:t xml:space="preserve">DUBOST, J. J., RISTORI, J. M., SOUBRIER, M., RUIVARD, M. &amp; SAUVEZIE, B. 1991. [Acute phase proteins in monoclonal gammapathies]. </w:t>
      </w:r>
      <w:r w:rsidRPr="004A784D">
        <w:rPr>
          <w:i/>
          <w:noProof/>
          <w:color w:val="000000"/>
          <w:sz w:val="22"/>
        </w:rPr>
        <w:t>Pathol Biol (Paris),</w:t>
      </w:r>
      <w:r w:rsidRPr="004A784D">
        <w:rPr>
          <w:noProof/>
          <w:color w:val="000000"/>
          <w:sz w:val="22"/>
        </w:rPr>
        <w:t xml:space="preserve"> 39</w:t>
      </w:r>
      <w:r w:rsidRPr="004A784D">
        <w:rPr>
          <w:b/>
          <w:noProof/>
          <w:color w:val="000000"/>
          <w:sz w:val="22"/>
        </w:rPr>
        <w:t>,</w:t>
      </w:r>
      <w:r w:rsidRPr="004A784D">
        <w:rPr>
          <w:noProof/>
          <w:color w:val="000000"/>
          <w:sz w:val="22"/>
        </w:rPr>
        <w:t xml:space="preserve"> 769-73.</w:t>
      </w:r>
      <w:bookmarkEnd w:id="2359"/>
    </w:p>
    <w:p w:rsidR="004A784D" w:rsidRPr="004A784D" w:rsidRDefault="004A784D" w:rsidP="004A784D">
      <w:pPr>
        <w:spacing w:after="240"/>
        <w:jc w:val="both"/>
        <w:rPr>
          <w:noProof/>
          <w:color w:val="000000"/>
          <w:sz w:val="22"/>
        </w:rPr>
      </w:pPr>
      <w:bookmarkStart w:id="2360" w:name="_ENREF_110"/>
      <w:r w:rsidRPr="004A784D">
        <w:rPr>
          <w:noProof/>
          <w:color w:val="000000"/>
          <w:sz w:val="22"/>
        </w:rPr>
        <w:t xml:space="preserve">DUNN, L. &amp; DEMICHELE, A. 2009. Genomic predictors of outcome and treatment response in breast cancer. </w:t>
      </w:r>
      <w:r w:rsidRPr="004A784D">
        <w:rPr>
          <w:i/>
          <w:noProof/>
          <w:color w:val="000000"/>
          <w:sz w:val="22"/>
        </w:rPr>
        <w:t>Mol Diagn Ther,</w:t>
      </w:r>
      <w:r w:rsidRPr="004A784D">
        <w:rPr>
          <w:noProof/>
          <w:color w:val="000000"/>
          <w:sz w:val="22"/>
        </w:rPr>
        <w:t xml:space="preserve"> 13</w:t>
      </w:r>
      <w:r w:rsidRPr="004A784D">
        <w:rPr>
          <w:b/>
          <w:noProof/>
          <w:color w:val="000000"/>
          <w:sz w:val="22"/>
        </w:rPr>
        <w:t>,</w:t>
      </w:r>
      <w:r w:rsidRPr="004A784D">
        <w:rPr>
          <w:noProof/>
          <w:color w:val="000000"/>
          <w:sz w:val="22"/>
        </w:rPr>
        <w:t xml:space="preserve"> 73-90.</w:t>
      </w:r>
      <w:bookmarkEnd w:id="2360"/>
    </w:p>
    <w:p w:rsidR="004A784D" w:rsidRPr="004A784D" w:rsidRDefault="004A784D" w:rsidP="004A784D">
      <w:pPr>
        <w:spacing w:after="240"/>
        <w:jc w:val="both"/>
        <w:rPr>
          <w:noProof/>
          <w:color w:val="000000"/>
          <w:sz w:val="22"/>
        </w:rPr>
      </w:pPr>
      <w:bookmarkStart w:id="2361" w:name="_ENREF_111"/>
      <w:r w:rsidRPr="004A784D">
        <w:rPr>
          <w:noProof/>
          <w:color w:val="000000"/>
          <w:sz w:val="22"/>
        </w:rPr>
        <w:t xml:space="preserve">DURIE, B. G., HAROUSSEAU, J. L., MIGUEL, J. S., BLADE, J., BARLOGIE, B., ANDERSON, K., GERTZ, M., DIMOPOULOS, M., WESTIN, J., SONNEVELD, P., LUDWIG, H., GAHRTON, G., BEKSAC, M., CROWLEY, J., BELCH, A., BOCCADARO, M., CAVO, M., TURESSON, I., JOSHUA, D., VESOLE, D., KYLE, R., ALEXANIAN, R., TRICOT, G., ATTAL, M., MERLINI, G., POWLES, R., RICHARDSON, P., SHIMIZU, K., TOSI, P., MORGAN, G. &amp; RAJKUMAR, S. V. 2006. International uniform response criteria for multiple myeloma. </w:t>
      </w:r>
      <w:r w:rsidRPr="004A784D">
        <w:rPr>
          <w:i/>
          <w:noProof/>
          <w:color w:val="000000"/>
          <w:sz w:val="22"/>
        </w:rPr>
        <w:t>Leukemia,</w:t>
      </w:r>
      <w:r w:rsidRPr="004A784D">
        <w:rPr>
          <w:noProof/>
          <w:color w:val="000000"/>
          <w:sz w:val="22"/>
        </w:rPr>
        <w:t xml:space="preserve"> 20</w:t>
      </w:r>
      <w:r w:rsidRPr="004A784D">
        <w:rPr>
          <w:b/>
          <w:noProof/>
          <w:color w:val="000000"/>
          <w:sz w:val="22"/>
        </w:rPr>
        <w:t>,</w:t>
      </w:r>
      <w:r w:rsidRPr="004A784D">
        <w:rPr>
          <w:noProof/>
          <w:color w:val="000000"/>
          <w:sz w:val="22"/>
        </w:rPr>
        <w:t xml:space="preserve"> 1467-73.</w:t>
      </w:r>
      <w:bookmarkEnd w:id="2361"/>
    </w:p>
    <w:p w:rsidR="004A784D" w:rsidRPr="004A784D" w:rsidRDefault="004A784D" w:rsidP="004A784D">
      <w:pPr>
        <w:spacing w:after="240"/>
        <w:jc w:val="both"/>
        <w:rPr>
          <w:noProof/>
          <w:color w:val="000000"/>
          <w:sz w:val="22"/>
        </w:rPr>
      </w:pPr>
      <w:bookmarkStart w:id="2362" w:name="_ENREF_112"/>
      <w:r w:rsidRPr="004A784D">
        <w:rPr>
          <w:noProof/>
          <w:color w:val="000000"/>
          <w:sz w:val="22"/>
        </w:rPr>
        <w:t xml:space="preserve">DURIE, B. G., KYLE, R. A., BELCH, A., BENSINGER, W., BLADE, J., BOCCADORO, M., CHILD, J. A., COMENZO, R., DJULBEGOVIC, B., FANTL, D., GAHRTON, G., HAROUSSEAU, J. L., HUNGRIA, V., JOSHUA, D., LUDWIG, H., MEHTA, J., MORALES, A. R., MORGAN, G., NOUEL, A., OKEN, M., POWLES, R., ROODMAN, D., SAN MIGUEL, J., SHIMIZU, K., SINGHAL, S., SIROHI, B., SONNEVELD, P., TRICOT, G. &amp; VAN NESS, B. 2003. Myeloma management guidelines: a consensus report from the Scientific Advisors of the International Myeloma Foundation. </w:t>
      </w:r>
      <w:r w:rsidRPr="004A784D">
        <w:rPr>
          <w:i/>
          <w:noProof/>
          <w:color w:val="000000"/>
          <w:sz w:val="22"/>
        </w:rPr>
        <w:t>Hematol J,</w:t>
      </w:r>
      <w:r w:rsidRPr="004A784D">
        <w:rPr>
          <w:noProof/>
          <w:color w:val="000000"/>
          <w:sz w:val="22"/>
        </w:rPr>
        <w:t xml:space="preserve"> 4</w:t>
      </w:r>
      <w:r w:rsidRPr="004A784D">
        <w:rPr>
          <w:b/>
          <w:noProof/>
          <w:color w:val="000000"/>
          <w:sz w:val="22"/>
        </w:rPr>
        <w:t>,</w:t>
      </w:r>
      <w:r w:rsidRPr="004A784D">
        <w:rPr>
          <w:noProof/>
          <w:color w:val="000000"/>
          <w:sz w:val="22"/>
        </w:rPr>
        <w:t xml:space="preserve"> 379-98.</w:t>
      </w:r>
      <w:bookmarkEnd w:id="2362"/>
    </w:p>
    <w:p w:rsidR="004A784D" w:rsidRPr="004A784D" w:rsidRDefault="004A784D" w:rsidP="004A784D">
      <w:pPr>
        <w:spacing w:after="240"/>
        <w:jc w:val="both"/>
        <w:rPr>
          <w:noProof/>
          <w:color w:val="000000"/>
          <w:sz w:val="22"/>
        </w:rPr>
      </w:pPr>
      <w:bookmarkStart w:id="2363" w:name="_ENREF_113"/>
      <w:r w:rsidRPr="004A784D">
        <w:rPr>
          <w:noProof/>
          <w:color w:val="000000"/>
          <w:sz w:val="22"/>
        </w:rPr>
        <w:t xml:space="preserve">DURIE, B. G. &amp; SALMON, S. E. 1975. A clinical staging system for multiple myeloma. Correlation of measured myeloma cell mass with presenting clinical features, response to treatment, and survival. </w:t>
      </w:r>
      <w:r w:rsidRPr="004A784D">
        <w:rPr>
          <w:i/>
          <w:noProof/>
          <w:color w:val="000000"/>
          <w:sz w:val="22"/>
        </w:rPr>
        <w:t>Cancer,</w:t>
      </w:r>
      <w:r w:rsidRPr="004A784D">
        <w:rPr>
          <w:noProof/>
          <w:color w:val="000000"/>
          <w:sz w:val="22"/>
        </w:rPr>
        <w:t xml:space="preserve"> 36</w:t>
      </w:r>
      <w:r w:rsidRPr="004A784D">
        <w:rPr>
          <w:b/>
          <w:noProof/>
          <w:color w:val="000000"/>
          <w:sz w:val="22"/>
        </w:rPr>
        <w:t>,</w:t>
      </w:r>
      <w:r w:rsidRPr="004A784D">
        <w:rPr>
          <w:noProof/>
          <w:color w:val="000000"/>
          <w:sz w:val="22"/>
        </w:rPr>
        <w:t xml:space="preserve"> 842-54.</w:t>
      </w:r>
      <w:bookmarkEnd w:id="2363"/>
    </w:p>
    <w:p w:rsidR="004A784D" w:rsidRPr="004A784D" w:rsidRDefault="004A784D" w:rsidP="004A784D">
      <w:pPr>
        <w:spacing w:after="240"/>
        <w:jc w:val="both"/>
        <w:rPr>
          <w:noProof/>
          <w:color w:val="000000"/>
          <w:sz w:val="22"/>
        </w:rPr>
      </w:pPr>
      <w:bookmarkStart w:id="2364" w:name="_ENREF_114"/>
      <w:r w:rsidRPr="004A784D">
        <w:rPr>
          <w:noProof/>
          <w:color w:val="000000"/>
          <w:sz w:val="22"/>
        </w:rPr>
        <w:t xml:space="preserve">EBY, C. 2009. Pathogenesis and management of bleeding and thrombosis in plasma cell dyscrasias. </w:t>
      </w:r>
      <w:r w:rsidRPr="004A784D">
        <w:rPr>
          <w:i/>
          <w:noProof/>
          <w:color w:val="000000"/>
          <w:sz w:val="22"/>
        </w:rPr>
        <w:t>Br J Haematol,</w:t>
      </w:r>
      <w:r w:rsidRPr="004A784D">
        <w:rPr>
          <w:noProof/>
          <w:color w:val="000000"/>
          <w:sz w:val="22"/>
        </w:rPr>
        <w:t xml:space="preserve"> 145</w:t>
      </w:r>
      <w:r w:rsidRPr="004A784D">
        <w:rPr>
          <w:b/>
          <w:noProof/>
          <w:color w:val="000000"/>
          <w:sz w:val="22"/>
        </w:rPr>
        <w:t>,</w:t>
      </w:r>
      <w:r w:rsidRPr="004A784D">
        <w:rPr>
          <w:noProof/>
          <w:color w:val="000000"/>
          <w:sz w:val="22"/>
        </w:rPr>
        <w:t xml:space="preserve"> 151-63.</w:t>
      </w:r>
      <w:bookmarkEnd w:id="2364"/>
    </w:p>
    <w:p w:rsidR="004A784D" w:rsidRPr="004A784D" w:rsidRDefault="004A784D" w:rsidP="004A784D">
      <w:pPr>
        <w:spacing w:after="240"/>
        <w:jc w:val="both"/>
        <w:rPr>
          <w:noProof/>
          <w:color w:val="000000"/>
          <w:sz w:val="22"/>
        </w:rPr>
      </w:pPr>
      <w:bookmarkStart w:id="2365" w:name="_ENREF_115"/>
      <w:r w:rsidRPr="004A784D">
        <w:rPr>
          <w:noProof/>
          <w:color w:val="000000"/>
          <w:sz w:val="22"/>
        </w:rPr>
        <w:t xml:space="preserve">EDELMAN, G. M. &amp; GALLY, J. A. 1962. The nature of Bence-Jones proteins. Chemical similarities to polypetide chains of myeloma globulins and normal gamma-globulins. </w:t>
      </w:r>
      <w:r w:rsidRPr="004A784D">
        <w:rPr>
          <w:i/>
          <w:noProof/>
          <w:color w:val="000000"/>
          <w:sz w:val="22"/>
        </w:rPr>
        <w:t>J Exp Med,</w:t>
      </w:r>
      <w:r w:rsidRPr="004A784D">
        <w:rPr>
          <w:noProof/>
          <w:color w:val="000000"/>
          <w:sz w:val="22"/>
        </w:rPr>
        <w:t xml:space="preserve"> 116</w:t>
      </w:r>
      <w:r w:rsidRPr="004A784D">
        <w:rPr>
          <w:b/>
          <w:noProof/>
          <w:color w:val="000000"/>
          <w:sz w:val="22"/>
        </w:rPr>
        <w:t>,</w:t>
      </w:r>
      <w:r w:rsidRPr="004A784D">
        <w:rPr>
          <w:noProof/>
          <w:color w:val="000000"/>
          <w:sz w:val="22"/>
        </w:rPr>
        <w:t xml:space="preserve"> 207-27.</w:t>
      </w:r>
      <w:bookmarkEnd w:id="2365"/>
    </w:p>
    <w:p w:rsidR="004A784D" w:rsidRPr="004A784D" w:rsidRDefault="004A784D" w:rsidP="004A784D">
      <w:pPr>
        <w:spacing w:after="240"/>
        <w:jc w:val="both"/>
        <w:rPr>
          <w:noProof/>
          <w:color w:val="000000"/>
          <w:sz w:val="22"/>
        </w:rPr>
      </w:pPr>
      <w:bookmarkStart w:id="2366" w:name="_ENREF_116"/>
      <w:r w:rsidRPr="004A784D">
        <w:rPr>
          <w:noProof/>
          <w:color w:val="000000"/>
          <w:sz w:val="22"/>
        </w:rPr>
        <w:t xml:space="preserve">ELLIOTT, P. &amp; PEAKMAN, T. C. 2008. The UK Biobank sample handling and storage protocol for the collection, processing and archiving of human blood and urine. </w:t>
      </w:r>
      <w:r w:rsidRPr="004A784D">
        <w:rPr>
          <w:i/>
          <w:noProof/>
          <w:color w:val="000000"/>
          <w:sz w:val="22"/>
        </w:rPr>
        <w:t>Int J Epidemiol,</w:t>
      </w:r>
      <w:r w:rsidRPr="004A784D">
        <w:rPr>
          <w:noProof/>
          <w:color w:val="000000"/>
          <w:sz w:val="22"/>
        </w:rPr>
        <w:t xml:space="preserve"> 37</w:t>
      </w:r>
      <w:r w:rsidRPr="004A784D">
        <w:rPr>
          <w:b/>
          <w:noProof/>
          <w:color w:val="000000"/>
          <w:sz w:val="22"/>
        </w:rPr>
        <w:t>,</w:t>
      </w:r>
      <w:r w:rsidRPr="004A784D">
        <w:rPr>
          <w:noProof/>
          <w:color w:val="000000"/>
          <w:sz w:val="22"/>
        </w:rPr>
        <w:t xml:space="preserve"> 234-44.</w:t>
      </w:r>
      <w:bookmarkEnd w:id="2366"/>
    </w:p>
    <w:p w:rsidR="004A784D" w:rsidRPr="004A784D" w:rsidRDefault="004A784D" w:rsidP="004A784D">
      <w:pPr>
        <w:spacing w:after="240"/>
        <w:jc w:val="both"/>
        <w:rPr>
          <w:noProof/>
          <w:color w:val="000000"/>
          <w:sz w:val="22"/>
        </w:rPr>
      </w:pPr>
      <w:bookmarkStart w:id="2367" w:name="_ENREF_117"/>
      <w:r w:rsidRPr="004A784D">
        <w:rPr>
          <w:noProof/>
          <w:color w:val="000000"/>
          <w:sz w:val="22"/>
        </w:rPr>
        <w:t xml:space="preserve">EO, W. K., KIM, S. H., CHEON, S. H., LEE, S. H., JEONG, J. S., KIM, Y. S., CHANG, H. K., SUH, K. S. &amp; KIM, H. Y. Toxic epidermal necrolysis following thalidomide and dexamethasone treatment for multiple myeloma: a case report. </w:t>
      </w:r>
      <w:r w:rsidRPr="004A784D">
        <w:rPr>
          <w:i/>
          <w:noProof/>
          <w:color w:val="000000"/>
          <w:sz w:val="22"/>
        </w:rPr>
        <w:t>Ann Hematol,</w:t>
      </w:r>
      <w:r w:rsidRPr="004A784D">
        <w:rPr>
          <w:noProof/>
          <w:color w:val="000000"/>
          <w:sz w:val="22"/>
        </w:rPr>
        <w:t xml:space="preserve"> 89</w:t>
      </w:r>
      <w:r w:rsidRPr="004A784D">
        <w:rPr>
          <w:b/>
          <w:noProof/>
          <w:color w:val="000000"/>
          <w:sz w:val="22"/>
        </w:rPr>
        <w:t>,</w:t>
      </w:r>
      <w:r w:rsidRPr="004A784D">
        <w:rPr>
          <w:noProof/>
          <w:color w:val="000000"/>
          <w:sz w:val="22"/>
        </w:rPr>
        <w:t xml:space="preserve"> 421-2.</w:t>
      </w:r>
      <w:bookmarkEnd w:id="2367"/>
    </w:p>
    <w:p w:rsidR="004A784D" w:rsidRPr="004A784D" w:rsidRDefault="004A784D" w:rsidP="004A784D">
      <w:pPr>
        <w:spacing w:after="240"/>
        <w:jc w:val="both"/>
        <w:rPr>
          <w:noProof/>
          <w:color w:val="000000"/>
          <w:sz w:val="22"/>
        </w:rPr>
      </w:pPr>
      <w:bookmarkStart w:id="2368" w:name="_ENREF_118"/>
      <w:r w:rsidRPr="004A784D">
        <w:rPr>
          <w:noProof/>
          <w:color w:val="000000"/>
          <w:sz w:val="22"/>
        </w:rPr>
        <w:t xml:space="preserve">ERTAULT-DANESHPOUY, M., NOGUERA, M. E., GISSELBRECHT, C., HADDAD, A., BRICE, P., MAROLLEAU, J. P., SOULIER, J. &amp; MOUNIER, N. 2008. ZAP-70 protein expression and CD38 positivity in B-cell chronic lymphocytic leukemia. </w:t>
      </w:r>
      <w:r w:rsidRPr="004A784D">
        <w:rPr>
          <w:i/>
          <w:noProof/>
          <w:color w:val="000000"/>
          <w:sz w:val="22"/>
        </w:rPr>
        <w:t>Clin Adv Hematol Oncol,</w:t>
      </w:r>
      <w:r w:rsidRPr="004A784D">
        <w:rPr>
          <w:noProof/>
          <w:color w:val="000000"/>
          <w:sz w:val="22"/>
        </w:rPr>
        <w:t xml:space="preserve"> 6</w:t>
      </w:r>
      <w:r w:rsidRPr="004A784D">
        <w:rPr>
          <w:b/>
          <w:noProof/>
          <w:color w:val="000000"/>
          <w:sz w:val="22"/>
        </w:rPr>
        <w:t>,</w:t>
      </w:r>
      <w:r w:rsidRPr="004A784D">
        <w:rPr>
          <w:noProof/>
          <w:color w:val="000000"/>
          <w:sz w:val="22"/>
        </w:rPr>
        <w:t xml:space="preserve"> 55-63.</w:t>
      </w:r>
      <w:bookmarkEnd w:id="2368"/>
    </w:p>
    <w:p w:rsidR="004A784D" w:rsidRPr="004A784D" w:rsidRDefault="004A784D" w:rsidP="004A784D">
      <w:pPr>
        <w:spacing w:after="240"/>
        <w:jc w:val="both"/>
        <w:rPr>
          <w:noProof/>
          <w:color w:val="000000"/>
          <w:sz w:val="22"/>
        </w:rPr>
      </w:pPr>
      <w:bookmarkStart w:id="2369" w:name="_ENREF_119"/>
      <w:r w:rsidRPr="004A784D">
        <w:rPr>
          <w:noProof/>
          <w:color w:val="000000"/>
          <w:sz w:val="22"/>
        </w:rPr>
        <w:t xml:space="preserve">FACON, T., MARY, J. Y., HULIN, C., BENBOUBKER, L., ATTAL, M., PEGOURIE, B., RENAUD, M., HAROUSSEAU, J. L., GUILLERM, G., CHALETEIX, C., DIB, M., VOILLAT, L., MAISONNEUVE, H., TRONCY, J., DORVAUX, V., MONCONDUIT, M., MARTIN, C., CASASSUS, P., JAUBERT, J., JARDEL, H., DOYEN, C., KOLB, B., </w:t>
      </w:r>
      <w:r w:rsidRPr="004A784D">
        <w:rPr>
          <w:noProof/>
          <w:color w:val="000000"/>
          <w:sz w:val="22"/>
        </w:rPr>
        <w:lastRenderedPageBreak/>
        <w:t xml:space="preserve">ANGLARET, B., GROSBOIS, B., YAKOUB-AGHA, I., MATHIOT, C. &amp; AVET-LOISEAU, H. 2007. Melphalan and prednisone plus thalidomide versus melphalan and prednisone alone or reduced-intensity autologous stem cell transplantation in elderly patients with multiple myeloma (IFM 99-06): a randomised trial. </w:t>
      </w:r>
      <w:r w:rsidRPr="004A784D">
        <w:rPr>
          <w:i/>
          <w:noProof/>
          <w:color w:val="000000"/>
          <w:sz w:val="22"/>
        </w:rPr>
        <w:t>Lancet,</w:t>
      </w:r>
      <w:r w:rsidRPr="004A784D">
        <w:rPr>
          <w:noProof/>
          <w:color w:val="000000"/>
          <w:sz w:val="22"/>
        </w:rPr>
        <w:t xml:space="preserve"> 370</w:t>
      </w:r>
      <w:r w:rsidRPr="004A784D">
        <w:rPr>
          <w:b/>
          <w:noProof/>
          <w:color w:val="000000"/>
          <w:sz w:val="22"/>
        </w:rPr>
        <w:t>,</w:t>
      </w:r>
      <w:r w:rsidRPr="004A784D">
        <w:rPr>
          <w:noProof/>
          <w:color w:val="000000"/>
          <w:sz w:val="22"/>
        </w:rPr>
        <w:t xml:space="preserve"> 1209-18.</w:t>
      </w:r>
      <w:bookmarkEnd w:id="2369"/>
    </w:p>
    <w:p w:rsidR="004A784D" w:rsidRPr="004A784D" w:rsidRDefault="004A784D" w:rsidP="004A784D">
      <w:pPr>
        <w:spacing w:after="240"/>
        <w:jc w:val="both"/>
        <w:rPr>
          <w:noProof/>
          <w:color w:val="000000"/>
          <w:sz w:val="22"/>
        </w:rPr>
      </w:pPr>
      <w:bookmarkStart w:id="2370" w:name="_ENREF_120"/>
      <w:r w:rsidRPr="004A784D">
        <w:rPr>
          <w:noProof/>
          <w:color w:val="000000"/>
          <w:sz w:val="22"/>
        </w:rPr>
        <w:t xml:space="preserve">FELDING, P., RUSTAD, P., MARTENSSON, A., KAIRISTO, V., FRANZSON, L., HYLTOFT PETERSEN, P. &amp; ULDALL, A. 2004. Reference individuals, blood collection, treatment of samples and descriptive data from the questionnaire in the Nordic Reference Interval Project 2000. </w:t>
      </w:r>
      <w:r w:rsidRPr="004A784D">
        <w:rPr>
          <w:i/>
          <w:noProof/>
          <w:color w:val="000000"/>
          <w:sz w:val="22"/>
        </w:rPr>
        <w:t>Scand J Clin Lab Invest,</w:t>
      </w:r>
      <w:r w:rsidRPr="004A784D">
        <w:rPr>
          <w:noProof/>
          <w:color w:val="000000"/>
          <w:sz w:val="22"/>
        </w:rPr>
        <w:t xml:space="preserve"> 64</w:t>
      </w:r>
      <w:r w:rsidRPr="004A784D">
        <w:rPr>
          <w:b/>
          <w:noProof/>
          <w:color w:val="000000"/>
          <w:sz w:val="22"/>
        </w:rPr>
        <w:t>,</w:t>
      </w:r>
      <w:r w:rsidRPr="004A784D">
        <w:rPr>
          <w:noProof/>
          <w:color w:val="000000"/>
          <w:sz w:val="22"/>
        </w:rPr>
        <w:t xml:space="preserve"> 327-42.</w:t>
      </w:r>
      <w:bookmarkEnd w:id="2370"/>
    </w:p>
    <w:p w:rsidR="004A784D" w:rsidRPr="004A784D" w:rsidRDefault="004A784D" w:rsidP="004A784D">
      <w:pPr>
        <w:spacing w:after="240"/>
        <w:jc w:val="both"/>
        <w:rPr>
          <w:noProof/>
          <w:color w:val="000000"/>
          <w:sz w:val="22"/>
        </w:rPr>
      </w:pPr>
      <w:bookmarkStart w:id="2371" w:name="_ENREF_121"/>
      <w:r w:rsidRPr="004A784D">
        <w:rPr>
          <w:noProof/>
          <w:color w:val="000000"/>
          <w:sz w:val="22"/>
        </w:rPr>
        <w:t xml:space="preserve">FELIX, K., FAKELMAN, F., HARTMANN, D., GIESE, N. A., GAIDA, M. M., SCHNOLZER, M., FLAD, T., BUCHLER, M. W. &amp; WERNER, J. 2011. Identification of serum proteins involved in pancreatic cancer cachexia. </w:t>
      </w:r>
      <w:r w:rsidRPr="004A784D">
        <w:rPr>
          <w:i/>
          <w:noProof/>
          <w:color w:val="000000"/>
          <w:sz w:val="22"/>
        </w:rPr>
        <w:t>Life Sci,</w:t>
      </w:r>
      <w:r w:rsidRPr="004A784D">
        <w:rPr>
          <w:noProof/>
          <w:color w:val="000000"/>
          <w:sz w:val="22"/>
        </w:rPr>
        <w:t xml:space="preserve"> 88</w:t>
      </w:r>
      <w:r w:rsidRPr="004A784D">
        <w:rPr>
          <w:b/>
          <w:noProof/>
          <w:color w:val="000000"/>
          <w:sz w:val="22"/>
        </w:rPr>
        <w:t>,</w:t>
      </w:r>
      <w:r w:rsidRPr="004A784D">
        <w:rPr>
          <w:noProof/>
          <w:color w:val="000000"/>
          <w:sz w:val="22"/>
        </w:rPr>
        <w:t xml:space="preserve"> 218-25.</w:t>
      </w:r>
      <w:bookmarkEnd w:id="2371"/>
    </w:p>
    <w:p w:rsidR="004A784D" w:rsidRPr="004A784D" w:rsidRDefault="004A784D" w:rsidP="004A784D">
      <w:pPr>
        <w:spacing w:after="240"/>
        <w:jc w:val="both"/>
        <w:rPr>
          <w:noProof/>
          <w:color w:val="000000"/>
          <w:sz w:val="22"/>
        </w:rPr>
      </w:pPr>
      <w:bookmarkStart w:id="2372" w:name="_ENREF_122"/>
      <w:r w:rsidRPr="004A784D">
        <w:rPr>
          <w:noProof/>
          <w:color w:val="000000"/>
          <w:sz w:val="22"/>
        </w:rPr>
        <w:t xml:space="preserve">FERRERI, A. J. 2006. Hematologic malignancies: from clinical science to clinical practice - 2nd European Congress. </w:t>
      </w:r>
      <w:r w:rsidRPr="004A784D">
        <w:rPr>
          <w:i/>
          <w:noProof/>
          <w:color w:val="000000"/>
          <w:sz w:val="22"/>
        </w:rPr>
        <w:t>IDrugs,</w:t>
      </w:r>
      <w:r w:rsidRPr="004A784D">
        <w:rPr>
          <w:noProof/>
          <w:color w:val="000000"/>
          <w:sz w:val="22"/>
        </w:rPr>
        <w:t xml:space="preserve"> 9</w:t>
      </w:r>
      <w:r w:rsidRPr="004A784D">
        <w:rPr>
          <w:b/>
          <w:noProof/>
          <w:color w:val="000000"/>
          <w:sz w:val="22"/>
        </w:rPr>
        <w:t>,</w:t>
      </w:r>
      <w:r w:rsidRPr="004A784D">
        <w:rPr>
          <w:noProof/>
          <w:color w:val="000000"/>
          <w:sz w:val="22"/>
        </w:rPr>
        <w:t xml:space="preserve"> 242-6.</w:t>
      </w:r>
      <w:bookmarkEnd w:id="2372"/>
    </w:p>
    <w:p w:rsidR="004A784D" w:rsidRPr="004A784D" w:rsidRDefault="004A784D" w:rsidP="004A784D">
      <w:pPr>
        <w:spacing w:after="240"/>
        <w:jc w:val="both"/>
        <w:rPr>
          <w:noProof/>
          <w:color w:val="000000"/>
          <w:sz w:val="22"/>
        </w:rPr>
      </w:pPr>
      <w:bookmarkStart w:id="2373" w:name="_ENREF_123"/>
      <w:r w:rsidRPr="004A784D">
        <w:rPr>
          <w:noProof/>
          <w:color w:val="000000"/>
          <w:sz w:val="22"/>
        </w:rPr>
        <w:t xml:space="preserve">FONSECA, R., BERGSAGEL, P. L., DRACH, J., SHAUGHNESSY, J., GUTIERREZ, N., STEWART, A. K., MORGAN, G., VAN NESS, B., CHESI, M., MINVIELLE, S., NERI, A., BARLOGIE, B., KUEHL, W. M., LIEBISCH, P., DAVIES, F., CHEN-KIANG, S., DURIE, B. G., CARRASCO, R., SEZER, O., REIMAN, T., PILARSKI, L. &amp; AVET-LOISEAU, H. 2009. International Myeloma Working Group molecular classification of multiple myeloma: spotlight review. </w:t>
      </w:r>
      <w:r w:rsidRPr="004A784D">
        <w:rPr>
          <w:i/>
          <w:noProof/>
          <w:color w:val="000000"/>
          <w:sz w:val="22"/>
        </w:rPr>
        <w:t>Leukemia,</w:t>
      </w:r>
      <w:r w:rsidRPr="004A784D">
        <w:rPr>
          <w:noProof/>
          <w:color w:val="000000"/>
          <w:sz w:val="22"/>
        </w:rPr>
        <w:t xml:space="preserve"> 23</w:t>
      </w:r>
      <w:r w:rsidRPr="004A784D">
        <w:rPr>
          <w:b/>
          <w:noProof/>
          <w:color w:val="000000"/>
          <w:sz w:val="22"/>
        </w:rPr>
        <w:t>,</w:t>
      </w:r>
      <w:r w:rsidRPr="004A784D">
        <w:rPr>
          <w:noProof/>
          <w:color w:val="000000"/>
          <w:sz w:val="22"/>
        </w:rPr>
        <w:t xml:space="preserve"> 2210-21.</w:t>
      </w:r>
      <w:bookmarkEnd w:id="2373"/>
    </w:p>
    <w:p w:rsidR="004A784D" w:rsidRPr="004A784D" w:rsidRDefault="004A784D" w:rsidP="004A784D">
      <w:pPr>
        <w:spacing w:after="240"/>
        <w:jc w:val="both"/>
        <w:rPr>
          <w:noProof/>
          <w:color w:val="000000"/>
          <w:sz w:val="22"/>
        </w:rPr>
      </w:pPr>
      <w:bookmarkStart w:id="2374" w:name="_ENREF_124"/>
      <w:r w:rsidRPr="004A784D">
        <w:rPr>
          <w:noProof/>
          <w:color w:val="000000"/>
          <w:sz w:val="22"/>
        </w:rPr>
        <w:t xml:space="preserve">FONSECA, R., TRENDLE, M. C., LEONG, T., KYLE, R. A., OKEN, M. M., KAY, N. E., VAN NESS, B. &amp; GREIPP, P. R. 2000. Prognostic value of serum markers of bone metabolism in untreated multiple myeloma patients. </w:t>
      </w:r>
      <w:r w:rsidRPr="004A784D">
        <w:rPr>
          <w:i/>
          <w:noProof/>
          <w:color w:val="000000"/>
          <w:sz w:val="22"/>
        </w:rPr>
        <w:t>Br J Haematol,</w:t>
      </w:r>
      <w:r w:rsidRPr="004A784D">
        <w:rPr>
          <w:noProof/>
          <w:color w:val="000000"/>
          <w:sz w:val="22"/>
        </w:rPr>
        <w:t xml:space="preserve"> 109</w:t>
      </w:r>
      <w:r w:rsidRPr="004A784D">
        <w:rPr>
          <w:b/>
          <w:noProof/>
          <w:color w:val="000000"/>
          <w:sz w:val="22"/>
        </w:rPr>
        <w:t>,</w:t>
      </w:r>
      <w:r w:rsidRPr="004A784D">
        <w:rPr>
          <w:noProof/>
          <w:color w:val="000000"/>
          <w:sz w:val="22"/>
        </w:rPr>
        <w:t xml:space="preserve"> 24-9.</w:t>
      </w:r>
      <w:bookmarkEnd w:id="2374"/>
    </w:p>
    <w:p w:rsidR="004A784D" w:rsidRPr="004A784D" w:rsidRDefault="004A784D" w:rsidP="004A784D">
      <w:pPr>
        <w:spacing w:after="240"/>
        <w:jc w:val="both"/>
        <w:rPr>
          <w:noProof/>
          <w:color w:val="000000"/>
          <w:sz w:val="22"/>
        </w:rPr>
      </w:pPr>
      <w:bookmarkStart w:id="2375" w:name="_ENREF_125"/>
      <w:r w:rsidRPr="004A784D">
        <w:rPr>
          <w:noProof/>
          <w:color w:val="000000"/>
          <w:sz w:val="22"/>
        </w:rPr>
        <w:t xml:space="preserve">FORSBERG, J. S., HANSSON, M. G. &amp; ERIKSSON, S. 2009. Changing perspectives in biobank research: from individual rights to concerns about public health regarding the return of results. </w:t>
      </w:r>
      <w:r w:rsidRPr="004A784D">
        <w:rPr>
          <w:i/>
          <w:noProof/>
          <w:color w:val="000000"/>
          <w:sz w:val="22"/>
        </w:rPr>
        <w:t>Eur J Hum Genet,</w:t>
      </w:r>
      <w:r w:rsidRPr="004A784D">
        <w:rPr>
          <w:noProof/>
          <w:color w:val="000000"/>
          <w:sz w:val="22"/>
        </w:rPr>
        <w:t xml:space="preserve"> 17</w:t>
      </w:r>
      <w:r w:rsidRPr="004A784D">
        <w:rPr>
          <w:b/>
          <w:noProof/>
          <w:color w:val="000000"/>
          <w:sz w:val="22"/>
        </w:rPr>
        <w:t>,</w:t>
      </w:r>
      <w:r w:rsidRPr="004A784D">
        <w:rPr>
          <w:noProof/>
          <w:color w:val="000000"/>
          <w:sz w:val="22"/>
        </w:rPr>
        <w:t xml:space="preserve"> 1544-9.</w:t>
      </w:r>
      <w:bookmarkEnd w:id="2375"/>
    </w:p>
    <w:p w:rsidR="004A784D" w:rsidRPr="004A784D" w:rsidRDefault="004A784D" w:rsidP="004A784D">
      <w:pPr>
        <w:spacing w:after="240"/>
        <w:jc w:val="both"/>
        <w:rPr>
          <w:noProof/>
          <w:color w:val="000000"/>
          <w:sz w:val="22"/>
        </w:rPr>
      </w:pPr>
      <w:bookmarkStart w:id="2376" w:name="_ENREF_126"/>
      <w:r w:rsidRPr="004A784D">
        <w:rPr>
          <w:noProof/>
          <w:color w:val="000000"/>
          <w:sz w:val="22"/>
        </w:rPr>
        <w:t xml:space="preserve">FORSHED, J., PERNEMALM, M., TAN, C. S., LINDBERG, M., KANTER, L., PAWITAN, Y., LEWENSOHN, R., STENKE, L. &amp; LEHTIO, J. 2008. Proteomic data analysis workflow for discovery of candidate biomarker peaks predictive of clinical outcome for patients with acute myeloid leukemia. </w:t>
      </w:r>
      <w:r w:rsidRPr="004A784D">
        <w:rPr>
          <w:i/>
          <w:noProof/>
          <w:color w:val="000000"/>
          <w:sz w:val="22"/>
        </w:rPr>
        <w:t>J Proteome Res,</w:t>
      </w:r>
      <w:r w:rsidRPr="004A784D">
        <w:rPr>
          <w:noProof/>
          <w:color w:val="000000"/>
          <w:sz w:val="22"/>
        </w:rPr>
        <w:t xml:space="preserve"> 7</w:t>
      </w:r>
      <w:r w:rsidRPr="004A784D">
        <w:rPr>
          <w:b/>
          <w:noProof/>
          <w:color w:val="000000"/>
          <w:sz w:val="22"/>
        </w:rPr>
        <w:t>,</w:t>
      </w:r>
      <w:r w:rsidRPr="004A784D">
        <w:rPr>
          <w:noProof/>
          <w:color w:val="000000"/>
          <w:sz w:val="22"/>
        </w:rPr>
        <w:t xml:space="preserve"> 2332-41.</w:t>
      </w:r>
      <w:bookmarkEnd w:id="2376"/>
    </w:p>
    <w:p w:rsidR="004A784D" w:rsidRPr="004A784D" w:rsidRDefault="004A784D" w:rsidP="004A784D">
      <w:pPr>
        <w:spacing w:after="240"/>
        <w:jc w:val="both"/>
        <w:rPr>
          <w:noProof/>
          <w:color w:val="000000"/>
          <w:sz w:val="22"/>
        </w:rPr>
      </w:pPr>
      <w:bookmarkStart w:id="2377" w:name="_ENREF_127"/>
      <w:r w:rsidRPr="004A784D">
        <w:rPr>
          <w:noProof/>
          <w:color w:val="000000"/>
          <w:sz w:val="22"/>
        </w:rPr>
        <w:t xml:space="preserve">FRATANTONI, S. A., PIERSMA, S. R. &amp; JIMENEZ, C. R. Comparison of the performance of two affinity depletion spin filters for quantitative proteomics of CSF: Evaluation of sensitivity and reproducibility of CSF analysis using GeLC-MS/MS and spectral counting. </w:t>
      </w:r>
      <w:r w:rsidRPr="004A784D">
        <w:rPr>
          <w:i/>
          <w:noProof/>
          <w:color w:val="000000"/>
          <w:sz w:val="22"/>
        </w:rPr>
        <w:t>Proteomics Clin Appl,</w:t>
      </w:r>
      <w:r w:rsidRPr="004A784D">
        <w:rPr>
          <w:noProof/>
          <w:color w:val="000000"/>
          <w:sz w:val="22"/>
        </w:rPr>
        <w:t xml:space="preserve"> 4</w:t>
      </w:r>
      <w:r w:rsidRPr="004A784D">
        <w:rPr>
          <w:b/>
          <w:noProof/>
          <w:color w:val="000000"/>
          <w:sz w:val="22"/>
        </w:rPr>
        <w:t>,</w:t>
      </w:r>
      <w:r w:rsidRPr="004A784D">
        <w:rPr>
          <w:noProof/>
          <w:color w:val="000000"/>
          <w:sz w:val="22"/>
        </w:rPr>
        <w:t xml:space="preserve"> 613-7.</w:t>
      </w:r>
      <w:bookmarkEnd w:id="2377"/>
    </w:p>
    <w:p w:rsidR="004A784D" w:rsidRPr="004A784D" w:rsidRDefault="004A784D" w:rsidP="004A784D">
      <w:pPr>
        <w:spacing w:after="240"/>
        <w:jc w:val="both"/>
        <w:rPr>
          <w:noProof/>
          <w:color w:val="000000"/>
          <w:sz w:val="22"/>
        </w:rPr>
      </w:pPr>
      <w:bookmarkStart w:id="2378" w:name="_ENREF_128"/>
      <w:r w:rsidRPr="004A784D">
        <w:rPr>
          <w:noProof/>
          <w:color w:val="000000"/>
          <w:sz w:val="22"/>
        </w:rPr>
        <w:t xml:space="preserve">FRIEDENREICH, C., NEILSON, H. K., WOOLCOTT, C. G., WANG, Q., STANCZYK, F. Z., MCTIERNAN, A., JONES, C. A., IRWIN, M. L., YASUI, Y. &amp; COURNEYA, K. S. 2011. Alberta Physical Activity and Breast Cancer Prevention Trial: Inflammatory Marker Changes in a Year-long Exercise Intervention among Postmenopausal Women. </w:t>
      </w:r>
      <w:r w:rsidRPr="004A784D">
        <w:rPr>
          <w:i/>
          <w:noProof/>
          <w:color w:val="000000"/>
          <w:sz w:val="22"/>
        </w:rPr>
        <w:t>Cancer Prev Res (Phila)</w:t>
      </w:r>
      <w:r w:rsidRPr="004A784D">
        <w:rPr>
          <w:noProof/>
          <w:color w:val="000000"/>
          <w:sz w:val="22"/>
        </w:rPr>
        <w:t>.</w:t>
      </w:r>
      <w:bookmarkEnd w:id="2378"/>
    </w:p>
    <w:p w:rsidR="004A784D" w:rsidRPr="004A784D" w:rsidRDefault="004A784D" w:rsidP="004A784D">
      <w:pPr>
        <w:spacing w:after="240"/>
        <w:jc w:val="both"/>
        <w:rPr>
          <w:noProof/>
          <w:color w:val="000000"/>
          <w:sz w:val="22"/>
        </w:rPr>
      </w:pPr>
      <w:bookmarkStart w:id="2379" w:name="_ENREF_129"/>
      <w:r w:rsidRPr="004A784D">
        <w:rPr>
          <w:noProof/>
          <w:color w:val="000000"/>
          <w:sz w:val="22"/>
        </w:rPr>
        <w:t xml:space="preserve">FUJII, K., KONDO, T., YAMADA, M., IWATSUKI, K. &amp; HIROHASHI, S. 2006. Toward a comprehensive quantitative proteome database: protein expression map of lymphoid neoplasms by 2-D DIGE and MS. </w:t>
      </w:r>
      <w:r w:rsidRPr="004A784D">
        <w:rPr>
          <w:i/>
          <w:noProof/>
          <w:color w:val="000000"/>
          <w:sz w:val="22"/>
        </w:rPr>
        <w:t>Proteomics,</w:t>
      </w:r>
      <w:r w:rsidRPr="004A784D">
        <w:rPr>
          <w:noProof/>
          <w:color w:val="000000"/>
          <w:sz w:val="22"/>
        </w:rPr>
        <w:t xml:space="preserve"> 6</w:t>
      </w:r>
      <w:r w:rsidRPr="004A784D">
        <w:rPr>
          <w:b/>
          <w:noProof/>
          <w:color w:val="000000"/>
          <w:sz w:val="22"/>
        </w:rPr>
        <w:t>,</w:t>
      </w:r>
      <w:r w:rsidRPr="004A784D">
        <w:rPr>
          <w:noProof/>
          <w:color w:val="000000"/>
          <w:sz w:val="22"/>
        </w:rPr>
        <w:t xml:space="preserve"> 4856-76.</w:t>
      </w:r>
      <w:bookmarkEnd w:id="2379"/>
    </w:p>
    <w:p w:rsidR="004A784D" w:rsidRPr="004A784D" w:rsidRDefault="004A784D" w:rsidP="004A784D">
      <w:pPr>
        <w:spacing w:after="240"/>
        <w:jc w:val="both"/>
        <w:rPr>
          <w:noProof/>
          <w:color w:val="000000"/>
          <w:sz w:val="22"/>
        </w:rPr>
      </w:pPr>
      <w:bookmarkStart w:id="2380" w:name="_ENREF_130"/>
      <w:r w:rsidRPr="004A784D">
        <w:rPr>
          <w:noProof/>
          <w:color w:val="000000"/>
          <w:sz w:val="22"/>
        </w:rPr>
        <w:t xml:space="preserve">FUJII, K., KONDO, T., YOKOO, H., YAMADA, T., MATSUNO, Y., IWATSUKI, K. &amp; HIROHASHI, S. 2005. Protein expression pattern distinguishes different lymphoid neoplasms. </w:t>
      </w:r>
      <w:r w:rsidRPr="004A784D">
        <w:rPr>
          <w:i/>
          <w:noProof/>
          <w:color w:val="000000"/>
          <w:sz w:val="22"/>
        </w:rPr>
        <w:t>Proteomics,</w:t>
      </w:r>
      <w:r w:rsidRPr="004A784D">
        <w:rPr>
          <w:noProof/>
          <w:color w:val="000000"/>
          <w:sz w:val="22"/>
        </w:rPr>
        <w:t xml:space="preserve"> 5</w:t>
      </w:r>
      <w:r w:rsidRPr="004A784D">
        <w:rPr>
          <w:b/>
          <w:noProof/>
          <w:color w:val="000000"/>
          <w:sz w:val="22"/>
        </w:rPr>
        <w:t>,</w:t>
      </w:r>
      <w:r w:rsidRPr="004A784D">
        <w:rPr>
          <w:noProof/>
          <w:color w:val="000000"/>
          <w:sz w:val="22"/>
        </w:rPr>
        <w:t xml:space="preserve"> 4274-86.</w:t>
      </w:r>
      <w:bookmarkEnd w:id="2380"/>
    </w:p>
    <w:p w:rsidR="004A784D" w:rsidRPr="004A784D" w:rsidRDefault="004A784D" w:rsidP="004A784D">
      <w:pPr>
        <w:spacing w:after="240"/>
        <w:jc w:val="both"/>
        <w:rPr>
          <w:noProof/>
          <w:color w:val="000000"/>
          <w:sz w:val="22"/>
        </w:rPr>
      </w:pPr>
      <w:bookmarkStart w:id="2381" w:name="_ENREF_131"/>
      <w:r w:rsidRPr="004A784D">
        <w:rPr>
          <w:noProof/>
          <w:color w:val="000000"/>
          <w:sz w:val="22"/>
        </w:rPr>
        <w:lastRenderedPageBreak/>
        <w:t xml:space="preserve">GADE, D., THIERMANN, J., MARKOWSKY, D. &amp; RABUS, R. 2003. Evaluation of two-dimensional difference gel electrophoresis for protein profiling. Soluble proteins of the marine bacterium Pirellula sp. strain 1. </w:t>
      </w:r>
      <w:r w:rsidRPr="004A784D">
        <w:rPr>
          <w:i/>
          <w:noProof/>
          <w:color w:val="000000"/>
          <w:sz w:val="22"/>
        </w:rPr>
        <w:t>J Mol Microbiol Biotechnol,</w:t>
      </w:r>
      <w:r w:rsidRPr="004A784D">
        <w:rPr>
          <w:noProof/>
          <w:color w:val="000000"/>
          <w:sz w:val="22"/>
        </w:rPr>
        <w:t xml:space="preserve"> 5</w:t>
      </w:r>
      <w:r w:rsidRPr="004A784D">
        <w:rPr>
          <w:b/>
          <w:noProof/>
          <w:color w:val="000000"/>
          <w:sz w:val="22"/>
        </w:rPr>
        <w:t>,</w:t>
      </w:r>
      <w:r w:rsidRPr="004A784D">
        <w:rPr>
          <w:noProof/>
          <w:color w:val="000000"/>
          <w:sz w:val="22"/>
        </w:rPr>
        <w:t xml:space="preserve"> 240-51.</w:t>
      </w:r>
      <w:bookmarkEnd w:id="2381"/>
    </w:p>
    <w:p w:rsidR="004A784D" w:rsidRPr="004A784D" w:rsidRDefault="004A784D" w:rsidP="004A784D">
      <w:pPr>
        <w:spacing w:after="240"/>
        <w:jc w:val="both"/>
        <w:rPr>
          <w:noProof/>
          <w:color w:val="000000"/>
          <w:sz w:val="22"/>
        </w:rPr>
      </w:pPr>
      <w:bookmarkStart w:id="2382" w:name="_ENREF_132"/>
      <w:r w:rsidRPr="004A784D">
        <w:rPr>
          <w:noProof/>
          <w:color w:val="000000"/>
          <w:sz w:val="22"/>
        </w:rPr>
        <w:t xml:space="preserve">GALLO, V., KHAN, A., GONZALES, C., PHILLIPS, D. H., SCHOKET, B., GYORFFY, E., ANNA, L., KOVACS, K., MOLLER, P., LOFT, S., KYRTOPOULOS, S., MATULLO, G. &amp; VINEIS, P. 2008. Validation of biomarkers for the study of environmental carcinogens: a review. </w:t>
      </w:r>
      <w:r w:rsidRPr="004A784D">
        <w:rPr>
          <w:i/>
          <w:noProof/>
          <w:color w:val="000000"/>
          <w:sz w:val="22"/>
        </w:rPr>
        <w:t>Biomarkers,</w:t>
      </w:r>
      <w:r w:rsidRPr="004A784D">
        <w:rPr>
          <w:noProof/>
          <w:color w:val="000000"/>
          <w:sz w:val="22"/>
        </w:rPr>
        <w:t xml:space="preserve"> 13</w:t>
      </w:r>
      <w:r w:rsidRPr="004A784D">
        <w:rPr>
          <w:b/>
          <w:noProof/>
          <w:color w:val="000000"/>
          <w:sz w:val="22"/>
        </w:rPr>
        <w:t>,</w:t>
      </w:r>
      <w:r w:rsidRPr="004A784D">
        <w:rPr>
          <w:noProof/>
          <w:color w:val="000000"/>
          <w:sz w:val="22"/>
        </w:rPr>
        <w:t xml:space="preserve"> 505-34.</w:t>
      </w:r>
      <w:bookmarkEnd w:id="2382"/>
    </w:p>
    <w:p w:rsidR="004A784D" w:rsidRPr="004A784D" w:rsidRDefault="004A784D" w:rsidP="004A784D">
      <w:pPr>
        <w:spacing w:after="240"/>
        <w:jc w:val="both"/>
        <w:rPr>
          <w:noProof/>
          <w:color w:val="000000"/>
          <w:sz w:val="22"/>
        </w:rPr>
      </w:pPr>
      <w:bookmarkStart w:id="2383" w:name="_ENREF_133"/>
      <w:r w:rsidRPr="004A784D">
        <w:rPr>
          <w:noProof/>
          <w:color w:val="000000"/>
          <w:sz w:val="22"/>
        </w:rPr>
        <w:t xml:space="preserve">GAO, Y., ISHIYAMA, H., SUN, M., BRINKMAN, K. L., WANG, X., ZHU, J., MAI, W., HUANG, Y., FLORYK, D., ITTMANN, M., THOMPSON, T. C., BUTLER, E. B., XU, B. &amp; TEH, B. S. 2011. The alkylphospholipid, perifosine, radiosensitizes prostate cancer cells both in vitro and in vivo. </w:t>
      </w:r>
      <w:r w:rsidRPr="004A784D">
        <w:rPr>
          <w:i/>
          <w:noProof/>
          <w:color w:val="000000"/>
          <w:sz w:val="22"/>
        </w:rPr>
        <w:t>Radiat Oncol,</w:t>
      </w:r>
      <w:r w:rsidRPr="004A784D">
        <w:rPr>
          <w:noProof/>
          <w:color w:val="000000"/>
          <w:sz w:val="22"/>
        </w:rPr>
        <w:t xml:space="preserve"> 6</w:t>
      </w:r>
      <w:r w:rsidRPr="004A784D">
        <w:rPr>
          <w:b/>
          <w:noProof/>
          <w:color w:val="000000"/>
          <w:sz w:val="22"/>
        </w:rPr>
        <w:t>,</w:t>
      </w:r>
      <w:r w:rsidRPr="004A784D">
        <w:rPr>
          <w:noProof/>
          <w:color w:val="000000"/>
          <w:sz w:val="22"/>
        </w:rPr>
        <w:t xml:space="preserve"> 39.</w:t>
      </w:r>
      <w:bookmarkEnd w:id="2383"/>
    </w:p>
    <w:p w:rsidR="004A784D" w:rsidRPr="004A784D" w:rsidRDefault="004A784D" w:rsidP="004A784D">
      <w:pPr>
        <w:spacing w:after="240"/>
        <w:jc w:val="both"/>
        <w:rPr>
          <w:noProof/>
          <w:color w:val="000000"/>
          <w:sz w:val="22"/>
        </w:rPr>
      </w:pPr>
      <w:bookmarkStart w:id="2384" w:name="_ENREF_134"/>
      <w:r w:rsidRPr="004A784D">
        <w:rPr>
          <w:noProof/>
          <w:color w:val="000000"/>
          <w:sz w:val="22"/>
        </w:rPr>
        <w:t xml:space="preserve">GAO, Y. C., YUAN, Z. B., YANG, Y. D. &amp; LU, H. K. 2007. Effect of freeze-thaw cycles on serum measurements of AFP, CEA, CA125 and CA19-9. </w:t>
      </w:r>
      <w:r w:rsidRPr="004A784D">
        <w:rPr>
          <w:i/>
          <w:noProof/>
          <w:color w:val="000000"/>
          <w:sz w:val="22"/>
        </w:rPr>
        <w:t>Scand J Clin Lab Invest,</w:t>
      </w:r>
      <w:r w:rsidRPr="004A784D">
        <w:rPr>
          <w:noProof/>
          <w:color w:val="000000"/>
          <w:sz w:val="22"/>
        </w:rPr>
        <w:t xml:space="preserve"> 67</w:t>
      </w:r>
      <w:r w:rsidRPr="004A784D">
        <w:rPr>
          <w:b/>
          <w:noProof/>
          <w:color w:val="000000"/>
          <w:sz w:val="22"/>
        </w:rPr>
        <w:t>,</w:t>
      </w:r>
      <w:r w:rsidRPr="004A784D">
        <w:rPr>
          <w:noProof/>
          <w:color w:val="000000"/>
          <w:sz w:val="22"/>
        </w:rPr>
        <w:t xml:space="preserve"> 741-7.</w:t>
      </w:r>
      <w:bookmarkEnd w:id="2384"/>
    </w:p>
    <w:p w:rsidR="004A784D" w:rsidRPr="004A784D" w:rsidRDefault="004A784D" w:rsidP="004A784D">
      <w:pPr>
        <w:spacing w:after="240"/>
        <w:jc w:val="both"/>
        <w:rPr>
          <w:noProof/>
          <w:color w:val="000000"/>
          <w:sz w:val="22"/>
        </w:rPr>
      </w:pPr>
      <w:bookmarkStart w:id="2385" w:name="_ENREF_135"/>
      <w:r w:rsidRPr="004A784D">
        <w:rPr>
          <w:noProof/>
          <w:color w:val="000000"/>
          <w:sz w:val="22"/>
        </w:rPr>
        <w:t xml:space="preserve">GARCIA-SANZ, R., GONZALEZ-FRAILE, M. I., MATEO, G., HERNANDEZ, J. M., LOPEZ-BERGES, M. C., DE LAS HERAS, N., FERNANDEZ-CALVO, J., ORTEGA, F., PORTERO, J. A., BAREZ, A., GALENDE, J., ORFAO, A. &amp; SAN MIGUEL, J. F. 2004. Proliferative activity of plasma cells is the most relevant prognostic factor in elderly multiple myeloma patients. </w:t>
      </w:r>
      <w:r w:rsidRPr="004A784D">
        <w:rPr>
          <w:i/>
          <w:noProof/>
          <w:color w:val="000000"/>
          <w:sz w:val="22"/>
        </w:rPr>
        <w:t>Int J Cancer,</w:t>
      </w:r>
      <w:r w:rsidRPr="004A784D">
        <w:rPr>
          <w:noProof/>
          <w:color w:val="000000"/>
          <w:sz w:val="22"/>
        </w:rPr>
        <w:t xml:space="preserve"> 112</w:t>
      </w:r>
      <w:r w:rsidRPr="004A784D">
        <w:rPr>
          <w:b/>
          <w:noProof/>
          <w:color w:val="000000"/>
          <w:sz w:val="22"/>
        </w:rPr>
        <w:t>,</w:t>
      </w:r>
      <w:r w:rsidRPr="004A784D">
        <w:rPr>
          <w:noProof/>
          <w:color w:val="000000"/>
          <w:sz w:val="22"/>
        </w:rPr>
        <w:t xml:space="preserve"> 884-9.</w:t>
      </w:r>
      <w:bookmarkEnd w:id="2385"/>
    </w:p>
    <w:p w:rsidR="004A784D" w:rsidRPr="004A784D" w:rsidRDefault="004A784D" w:rsidP="004A784D">
      <w:pPr>
        <w:spacing w:after="240"/>
        <w:jc w:val="both"/>
        <w:rPr>
          <w:noProof/>
          <w:color w:val="000000"/>
          <w:sz w:val="22"/>
        </w:rPr>
      </w:pPr>
      <w:bookmarkStart w:id="2386" w:name="_ENREF_136"/>
      <w:r w:rsidRPr="004A784D">
        <w:rPr>
          <w:noProof/>
          <w:color w:val="000000"/>
          <w:sz w:val="22"/>
        </w:rPr>
        <w:t xml:space="preserve">GARCIA-SANZ, R., MATEOS, M. V. &amp; SAN MIGUEL, J. F. 2007. [Multiple myeloma]. </w:t>
      </w:r>
      <w:r w:rsidRPr="004A784D">
        <w:rPr>
          <w:i/>
          <w:noProof/>
          <w:color w:val="000000"/>
          <w:sz w:val="22"/>
        </w:rPr>
        <w:t>Med Clin (Barc),</w:t>
      </w:r>
      <w:r w:rsidRPr="004A784D">
        <w:rPr>
          <w:noProof/>
          <w:color w:val="000000"/>
          <w:sz w:val="22"/>
        </w:rPr>
        <w:t xml:space="preserve"> 129</w:t>
      </w:r>
      <w:r w:rsidRPr="004A784D">
        <w:rPr>
          <w:b/>
          <w:noProof/>
          <w:color w:val="000000"/>
          <w:sz w:val="22"/>
        </w:rPr>
        <w:t>,</w:t>
      </w:r>
      <w:r w:rsidRPr="004A784D">
        <w:rPr>
          <w:noProof/>
          <w:color w:val="000000"/>
          <w:sz w:val="22"/>
        </w:rPr>
        <w:t xml:space="preserve"> 104-15.</w:t>
      </w:r>
      <w:bookmarkEnd w:id="2386"/>
    </w:p>
    <w:p w:rsidR="004A784D" w:rsidRPr="004A784D" w:rsidRDefault="004A784D" w:rsidP="004A784D">
      <w:pPr>
        <w:spacing w:after="240"/>
        <w:jc w:val="both"/>
        <w:rPr>
          <w:noProof/>
          <w:color w:val="000000"/>
          <w:sz w:val="22"/>
        </w:rPr>
      </w:pPr>
      <w:bookmarkStart w:id="2387" w:name="_ENREF_137"/>
      <w:r w:rsidRPr="004A784D">
        <w:rPr>
          <w:noProof/>
          <w:color w:val="000000"/>
          <w:sz w:val="22"/>
        </w:rPr>
        <w:t xml:space="preserve">GARDERET, L., ISNARD, F. &amp; GORIN, N. C. 2008. [Treatment of myeloma in the elderly]. </w:t>
      </w:r>
      <w:r w:rsidRPr="004A784D">
        <w:rPr>
          <w:i/>
          <w:noProof/>
          <w:color w:val="000000"/>
          <w:sz w:val="22"/>
        </w:rPr>
        <w:t>Bull Cancer,</w:t>
      </w:r>
      <w:r w:rsidRPr="004A784D">
        <w:rPr>
          <w:noProof/>
          <w:color w:val="000000"/>
          <w:sz w:val="22"/>
        </w:rPr>
        <w:t xml:space="preserve"> 95 FMC Onco</w:t>
      </w:r>
      <w:r w:rsidRPr="004A784D">
        <w:rPr>
          <w:b/>
          <w:noProof/>
          <w:color w:val="000000"/>
          <w:sz w:val="22"/>
        </w:rPr>
        <w:t>,</w:t>
      </w:r>
      <w:r w:rsidRPr="004A784D">
        <w:rPr>
          <w:noProof/>
          <w:color w:val="000000"/>
          <w:sz w:val="22"/>
        </w:rPr>
        <w:t xml:space="preserve"> F84-8.</w:t>
      </w:r>
      <w:bookmarkEnd w:id="2387"/>
    </w:p>
    <w:p w:rsidR="004A784D" w:rsidRPr="004A784D" w:rsidRDefault="004A784D" w:rsidP="004A784D">
      <w:pPr>
        <w:spacing w:after="240"/>
        <w:jc w:val="both"/>
        <w:rPr>
          <w:noProof/>
          <w:color w:val="000000"/>
          <w:sz w:val="22"/>
        </w:rPr>
      </w:pPr>
      <w:bookmarkStart w:id="2388" w:name="_ENREF_138"/>
      <w:r w:rsidRPr="004A784D">
        <w:rPr>
          <w:noProof/>
          <w:color w:val="000000"/>
          <w:sz w:val="22"/>
        </w:rPr>
        <w:t xml:space="preserve">GAY, F. &amp; PALUMBO, A. 2009. Multiple myeloma: management of adverse events. </w:t>
      </w:r>
      <w:r w:rsidRPr="004A784D">
        <w:rPr>
          <w:i/>
          <w:noProof/>
          <w:color w:val="000000"/>
          <w:sz w:val="22"/>
        </w:rPr>
        <w:t>Med Oncol</w:t>
      </w:r>
      <w:r w:rsidRPr="004A784D">
        <w:rPr>
          <w:noProof/>
          <w:color w:val="000000"/>
          <w:sz w:val="22"/>
        </w:rPr>
        <w:t>.</w:t>
      </w:r>
      <w:bookmarkEnd w:id="2388"/>
    </w:p>
    <w:p w:rsidR="004A784D" w:rsidRPr="004A784D" w:rsidRDefault="004A784D" w:rsidP="004A784D">
      <w:pPr>
        <w:spacing w:after="240"/>
        <w:jc w:val="both"/>
        <w:rPr>
          <w:noProof/>
          <w:color w:val="000000"/>
          <w:sz w:val="22"/>
        </w:rPr>
      </w:pPr>
      <w:bookmarkStart w:id="2389" w:name="_ENREF_139"/>
      <w:r w:rsidRPr="004A784D">
        <w:rPr>
          <w:noProof/>
          <w:color w:val="000000"/>
          <w:sz w:val="22"/>
        </w:rPr>
        <w:t xml:space="preserve">GAY, S., BINZ, P. A., HOCHSTRASSER, D. F. &amp; APPEL, R. D. 2002. Peptide mass fingerprinting peak intensity prediction: extracting knowledge from spectra. </w:t>
      </w:r>
      <w:r w:rsidRPr="004A784D">
        <w:rPr>
          <w:i/>
          <w:noProof/>
          <w:color w:val="000000"/>
          <w:sz w:val="22"/>
        </w:rPr>
        <w:t>Proteomics,</w:t>
      </w:r>
      <w:r w:rsidRPr="004A784D">
        <w:rPr>
          <w:noProof/>
          <w:color w:val="000000"/>
          <w:sz w:val="22"/>
        </w:rPr>
        <w:t xml:space="preserve"> 2</w:t>
      </w:r>
      <w:r w:rsidRPr="004A784D">
        <w:rPr>
          <w:b/>
          <w:noProof/>
          <w:color w:val="000000"/>
          <w:sz w:val="22"/>
        </w:rPr>
        <w:t>,</w:t>
      </w:r>
      <w:r w:rsidRPr="004A784D">
        <w:rPr>
          <w:noProof/>
          <w:color w:val="000000"/>
          <w:sz w:val="22"/>
        </w:rPr>
        <w:t xml:space="preserve"> 1374-91.</w:t>
      </w:r>
      <w:bookmarkEnd w:id="2389"/>
    </w:p>
    <w:p w:rsidR="004A784D" w:rsidRPr="004A784D" w:rsidRDefault="004A784D" w:rsidP="004A784D">
      <w:pPr>
        <w:spacing w:after="240"/>
        <w:jc w:val="both"/>
        <w:rPr>
          <w:noProof/>
          <w:color w:val="000000"/>
          <w:sz w:val="22"/>
        </w:rPr>
      </w:pPr>
      <w:bookmarkStart w:id="2390" w:name="_ENREF_140"/>
      <w:r w:rsidRPr="004A784D">
        <w:rPr>
          <w:noProof/>
          <w:color w:val="000000"/>
          <w:sz w:val="22"/>
        </w:rPr>
        <w:t xml:space="preserve">GE, F., BI, L. J., TAO, S. C., XU, X. D., ZHANG, Z. P., KITAZATO, K. &amp; ZHANG, X. E. 2011. Proteomic analysis of multiple myeloma: current status and future perspectives. </w:t>
      </w:r>
      <w:r w:rsidRPr="004A784D">
        <w:rPr>
          <w:i/>
          <w:noProof/>
          <w:color w:val="000000"/>
          <w:sz w:val="22"/>
        </w:rPr>
        <w:t>Proteomics Clin Appl,</w:t>
      </w:r>
      <w:r w:rsidRPr="004A784D">
        <w:rPr>
          <w:noProof/>
          <w:color w:val="000000"/>
          <w:sz w:val="22"/>
        </w:rPr>
        <w:t xml:space="preserve"> 5</w:t>
      </w:r>
      <w:r w:rsidRPr="004A784D">
        <w:rPr>
          <w:b/>
          <w:noProof/>
          <w:color w:val="000000"/>
          <w:sz w:val="22"/>
        </w:rPr>
        <w:t>,</w:t>
      </w:r>
      <w:r w:rsidRPr="004A784D">
        <w:rPr>
          <w:noProof/>
          <w:color w:val="000000"/>
          <w:sz w:val="22"/>
        </w:rPr>
        <w:t xml:space="preserve"> 30-7.</w:t>
      </w:r>
      <w:bookmarkEnd w:id="2390"/>
    </w:p>
    <w:p w:rsidR="004A784D" w:rsidRPr="004A784D" w:rsidRDefault="004A784D" w:rsidP="004A784D">
      <w:pPr>
        <w:spacing w:after="240"/>
        <w:jc w:val="both"/>
        <w:rPr>
          <w:noProof/>
          <w:color w:val="000000"/>
          <w:sz w:val="22"/>
        </w:rPr>
      </w:pPr>
      <w:bookmarkStart w:id="2391" w:name="_ENREF_141"/>
      <w:r w:rsidRPr="004A784D">
        <w:rPr>
          <w:noProof/>
          <w:color w:val="000000"/>
          <w:sz w:val="22"/>
        </w:rPr>
        <w:t xml:space="preserve">GERSZTEN, R. E., ACCURSO, F., BERNARD, G. R., CAPRIOLI, R. M., KLEE, E. W., KLEE, G. G., KULLO, I., LAGUNA, T. A., ROTH, F. P., SABATINE, M., SRINIVAS, P., WANG, T. J. &amp; WARE, L. B. 2008. Challenges in translating plasma proteomics from bench to bedside: update from the NHLBI Clinical Proteomics Programs. </w:t>
      </w:r>
      <w:r w:rsidRPr="004A784D">
        <w:rPr>
          <w:i/>
          <w:noProof/>
          <w:color w:val="000000"/>
          <w:sz w:val="22"/>
        </w:rPr>
        <w:t>Am J Physiol Lung Cell Mol Physiol,</w:t>
      </w:r>
      <w:r w:rsidRPr="004A784D">
        <w:rPr>
          <w:noProof/>
          <w:color w:val="000000"/>
          <w:sz w:val="22"/>
        </w:rPr>
        <w:t xml:space="preserve"> 295</w:t>
      </w:r>
      <w:r w:rsidRPr="004A784D">
        <w:rPr>
          <w:b/>
          <w:noProof/>
          <w:color w:val="000000"/>
          <w:sz w:val="22"/>
        </w:rPr>
        <w:t>,</w:t>
      </w:r>
      <w:r w:rsidRPr="004A784D">
        <w:rPr>
          <w:noProof/>
          <w:color w:val="000000"/>
          <w:sz w:val="22"/>
        </w:rPr>
        <w:t xml:space="preserve"> L16-22.</w:t>
      </w:r>
      <w:bookmarkEnd w:id="2391"/>
    </w:p>
    <w:p w:rsidR="004A784D" w:rsidRPr="004A784D" w:rsidRDefault="004A784D" w:rsidP="004A784D">
      <w:pPr>
        <w:spacing w:after="240"/>
        <w:jc w:val="both"/>
        <w:rPr>
          <w:noProof/>
          <w:color w:val="000000"/>
          <w:sz w:val="22"/>
        </w:rPr>
      </w:pPr>
      <w:bookmarkStart w:id="2392" w:name="_ENREF_142"/>
      <w:r w:rsidRPr="004A784D">
        <w:rPr>
          <w:noProof/>
          <w:color w:val="000000"/>
          <w:sz w:val="22"/>
        </w:rPr>
        <w:t xml:space="preserve">GERTZ, R. 2008. Withdrawing from participating in a biobank--a comparative study. </w:t>
      </w:r>
      <w:r w:rsidRPr="004A784D">
        <w:rPr>
          <w:i/>
          <w:noProof/>
          <w:color w:val="000000"/>
          <w:sz w:val="22"/>
        </w:rPr>
        <w:t>Eur J Health Law,</w:t>
      </w:r>
      <w:r w:rsidRPr="004A784D">
        <w:rPr>
          <w:noProof/>
          <w:color w:val="000000"/>
          <w:sz w:val="22"/>
        </w:rPr>
        <w:t xml:space="preserve"> 15</w:t>
      </w:r>
      <w:r w:rsidRPr="004A784D">
        <w:rPr>
          <w:b/>
          <w:noProof/>
          <w:color w:val="000000"/>
          <w:sz w:val="22"/>
        </w:rPr>
        <w:t>,</w:t>
      </w:r>
      <w:r w:rsidRPr="004A784D">
        <w:rPr>
          <w:noProof/>
          <w:color w:val="000000"/>
          <w:sz w:val="22"/>
        </w:rPr>
        <w:t xml:space="preserve"> 381-9.</w:t>
      </w:r>
      <w:bookmarkEnd w:id="2392"/>
    </w:p>
    <w:p w:rsidR="004A784D" w:rsidRPr="004A784D" w:rsidRDefault="004A784D" w:rsidP="004A784D">
      <w:pPr>
        <w:spacing w:after="240"/>
        <w:jc w:val="both"/>
        <w:rPr>
          <w:noProof/>
          <w:color w:val="000000"/>
          <w:sz w:val="22"/>
        </w:rPr>
      </w:pPr>
      <w:bookmarkStart w:id="2393" w:name="_ENREF_143"/>
      <w:r w:rsidRPr="004A784D">
        <w:rPr>
          <w:noProof/>
          <w:color w:val="000000"/>
          <w:sz w:val="22"/>
        </w:rPr>
        <w:t xml:space="preserve">GHOSH, P. M., MALIK, S., BEDOLLA, R. &amp; KREISBERG, J. I. 2003. Akt in prostate cancer: possible role in androgen-independence. </w:t>
      </w:r>
      <w:r w:rsidRPr="004A784D">
        <w:rPr>
          <w:i/>
          <w:noProof/>
          <w:color w:val="000000"/>
          <w:sz w:val="22"/>
        </w:rPr>
        <w:t>Curr Drug Metab,</w:t>
      </w:r>
      <w:r w:rsidRPr="004A784D">
        <w:rPr>
          <w:noProof/>
          <w:color w:val="000000"/>
          <w:sz w:val="22"/>
        </w:rPr>
        <w:t xml:space="preserve"> 4</w:t>
      </w:r>
      <w:r w:rsidRPr="004A784D">
        <w:rPr>
          <w:b/>
          <w:noProof/>
          <w:color w:val="000000"/>
          <w:sz w:val="22"/>
        </w:rPr>
        <w:t>,</w:t>
      </w:r>
      <w:r w:rsidRPr="004A784D">
        <w:rPr>
          <w:noProof/>
          <w:color w:val="000000"/>
          <w:sz w:val="22"/>
        </w:rPr>
        <w:t xml:space="preserve"> 487-96.</w:t>
      </w:r>
      <w:bookmarkEnd w:id="2393"/>
    </w:p>
    <w:p w:rsidR="004A784D" w:rsidRPr="004A784D" w:rsidRDefault="004A784D" w:rsidP="004A784D">
      <w:pPr>
        <w:spacing w:after="240"/>
        <w:jc w:val="both"/>
        <w:rPr>
          <w:noProof/>
          <w:color w:val="000000"/>
          <w:sz w:val="22"/>
        </w:rPr>
      </w:pPr>
      <w:bookmarkStart w:id="2394" w:name="_ENREF_144"/>
      <w:r w:rsidRPr="004A784D">
        <w:rPr>
          <w:noProof/>
          <w:color w:val="000000"/>
          <w:sz w:val="22"/>
        </w:rPr>
        <w:t xml:space="preserve">GILBERTSON, J. R., GUPTA, R., NIE, Y., PATEL, A. A. &amp; BECICH, M. J. 2004. Automated clinical annotation of tissue bank specimens. </w:t>
      </w:r>
      <w:r w:rsidRPr="004A784D">
        <w:rPr>
          <w:i/>
          <w:noProof/>
          <w:color w:val="000000"/>
          <w:sz w:val="22"/>
        </w:rPr>
        <w:t>Stud Health Technol Inform,</w:t>
      </w:r>
      <w:r w:rsidRPr="004A784D">
        <w:rPr>
          <w:noProof/>
          <w:color w:val="000000"/>
          <w:sz w:val="22"/>
        </w:rPr>
        <w:t xml:space="preserve"> 107</w:t>
      </w:r>
      <w:r w:rsidRPr="004A784D">
        <w:rPr>
          <w:b/>
          <w:noProof/>
          <w:color w:val="000000"/>
          <w:sz w:val="22"/>
        </w:rPr>
        <w:t>,</w:t>
      </w:r>
      <w:r w:rsidRPr="004A784D">
        <w:rPr>
          <w:noProof/>
          <w:color w:val="000000"/>
          <w:sz w:val="22"/>
        </w:rPr>
        <w:t xml:space="preserve"> 607-10.</w:t>
      </w:r>
      <w:bookmarkEnd w:id="2394"/>
    </w:p>
    <w:p w:rsidR="004A784D" w:rsidRPr="004A784D" w:rsidRDefault="004A784D" w:rsidP="004A784D">
      <w:pPr>
        <w:spacing w:after="240"/>
        <w:jc w:val="both"/>
        <w:rPr>
          <w:noProof/>
          <w:color w:val="000000"/>
          <w:sz w:val="22"/>
        </w:rPr>
      </w:pPr>
      <w:bookmarkStart w:id="2395" w:name="_ENREF_145"/>
      <w:r w:rsidRPr="004A784D">
        <w:rPr>
          <w:noProof/>
          <w:color w:val="000000"/>
          <w:sz w:val="22"/>
        </w:rPr>
        <w:lastRenderedPageBreak/>
        <w:t xml:space="preserve">GILES, J. 2006. Huge Biobank project launches despite critics. </w:t>
      </w:r>
      <w:r w:rsidRPr="004A784D">
        <w:rPr>
          <w:i/>
          <w:noProof/>
          <w:color w:val="000000"/>
          <w:sz w:val="22"/>
        </w:rPr>
        <w:t>Nature,</w:t>
      </w:r>
      <w:r w:rsidRPr="004A784D">
        <w:rPr>
          <w:noProof/>
          <w:color w:val="000000"/>
          <w:sz w:val="22"/>
        </w:rPr>
        <w:t xml:space="preserve"> 440</w:t>
      </w:r>
      <w:r w:rsidRPr="004A784D">
        <w:rPr>
          <w:b/>
          <w:noProof/>
          <w:color w:val="000000"/>
          <w:sz w:val="22"/>
        </w:rPr>
        <w:t>,</w:t>
      </w:r>
      <w:r w:rsidRPr="004A784D">
        <w:rPr>
          <w:noProof/>
          <w:color w:val="000000"/>
          <w:sz w:val="22"/>
        </w:rPr>
        <w:t xml:space="preserve"> 263.</w:t>
      </w:r>
      <w:bookmarkEnd w:id="2395"/>
    </w:p>
    <w:p w:rsidR="004A784D" w:rsidRPr="004A784D" w:rsidRDefault="004A784D" w:rsidP="004A784D">
      <w:pPr>
        <w:spacing w:after="240"/>
        <w:jc w:val="both"/>
        <w:rPr>
          <w:noProof/>
          <w:color w:val="000000"/>
          <w:sz w:val="22"/>
        </w:rPr>
      </w:pPr>
      <w:bookmarkStart w:id="2396" w:name="_ENREF_146"/>
      <w:r w:rsidRPr="004A784D">
        <w:rPr>
          <w:noProof/>
          <w:color w:val="000000"/>
          <w:sz w:val="22"/>
        </w:rPr>
        <w:t xml:space="preserve">GLEESON, T. G., MORIARTY, J., SHORTT, C. P., GLEESON, J. P., FITZPATRICK, P., BYRNE, B., MCHUGH, J., O'CONNELL, M., O'GORMAN, P. &amp; EUSTACE, S. J. 2009. Accuracy of whole-body low-dose multidetector CT (WBLDCT) versus skeletal survey in the detection of myelomatous lesions, and correlation of disease distribution with whole-body MRI (WBMRI). </w:t>
      </w:r>
      <w:r w:rsidRPr="004A784D">
        <w:rPr>
          <w:i/>
          <w:noProof/>
          <w:color w:val="000000"/>
          <w:sz w:val="22"/>
        </w:rPr>
        <w:t>Skeletal Radiol,</w:t>
      </w:r>
      <w:r w:rsidRPr="004A784D">
        <w:rPr>
          <w:noProof/>
          <w:color w:val="000000"/>
          <w:sz w:val="22"/>
        </w:rPr>
        <w:t xml:space="preserve"> 38</w:t>
      </w:r>
      <w:r w:rsidRPr="004A784D">
        <w:rPr>
          <w:b/>
          <w:noProof/>
          <w:color w:val="000000"/>
          <w:sz w:val="22"/>
        </w:rPr>
        <w:t>,</w:t>
      </w:r>
      <w:r w:rsidRPr="004A784D">
        <w:rPr>
          <w:noProof/>
          <w:color w:val="000000"/>
          <w:sz w:val="22"/>
        </w:rPr>
        <w:t xml:space="preserve"> 225-36.</w:t>
      </w:r>
      <w:bookmarkEnd w:id="2396"/>
    </w:p>
    <w:p w:rsidR="004A784D" w:rsidRPr="004A784D" w:rsidRDefault="004A784D" w:rsidP="004A784D">
      <w:pPr>
        <w:spacing w:after="240"/>
        <w:jc w:val="both"/>
        <w:rPr>
          <w:noProof/>
          <w:color w:val="000000"/>
          <w:sz w:val="22"/>
        </w:rPr>
      </w:pPr>
      <w:bookmarkStart w:id="2397" w:name="_ENREF_147"/>
      <w:r w:rsidRPr="004A784D">
        <w:rPr>
          <w:noProof/>
          <w:color w:val="000000"/>
          <w:sz w:val="22"/>
        </w:rPr>
        <w:t xml:space="preserve">GOCKEL, H. R., LUGERING, A., HEIDEMANN, J., SCHMIDT, M., DOMSCHKE, W., KUCHARZIK, T. &amp; LUGERING, N. 2004. Thalidomide induces apoptosis in human monocytes by using a cytochrome c-dependent pathway. </w:t>
      </w:r>
      <w:r w:rsidRPr="004A784D">
        <w:rPr>
          <w:i/>
          <w:noProof/>
          <w:color w:val="000000"/>
          <w:sz w:val="22"/>
        </w:rPr>
        <w:t>J Immunol,</w:t>
      </w:r>
      <w:r w:rsidRPr="004A784D">
        <w:rPr>
          <w:noProof/>
          <w:color w:val="000000"/>
          <w:sz w:val="22"/>
        </w:rPr>
        <w:t xml:space="preserve"> 172</w:t>
      </w:r>
      <w:r w:rsidRPr="004A784D">
        <w:rPr>
          <w:b/>
          <w:noProof/>
          <w:color w:val="000000"/>
          <w:sz w:val="22"/>
        </w:rPr>
        <w:t>,</w:t>
      </w:r>
      <w:r w:rsidRPr="004A784D">
        <w:rPr>
          <w:noProof/>
          <w:color w:val="000000"/>
          <w:sz w:val="22"/>
        </w:rPr>
        <w:t xml:space="preserve"> 5103-9.</w:t>
      </w:r>
      <w:bookmarkEnd w:id="2397"/>
    </w:p>
    <w:p w:rsidR="004A784D" w:rsidRPr="004A784D" w:rsidRDefault="004A784D" w:rsidP="004A784D">
      <w:pPr>
        <w:spacing w:after="240"/>
        <w:jc w:val="both"/>
        <w:rPr>
          <w:noProof/>
          <w:color w:val="000000"/>
          <w:sz w:val="22"/>
        </w:rPr>
      </w:pPr>
      <w:bookmarkStart w:id="2398" w:name="_ENREF_148"/>
      <w:r w:rsidRPr="004A784D">
        <w:rPr>
          <w:noProof/>
          <w:color w:val="000000"/>
          <w:sz w:val="22"/>
        </w:rPr>
        <w:t xml:space="preserve">GOFFIN, Y. A., VAN HOECK, B., JASHARI, R., SOOTS, G. &amp; KALMAR, P. 2000. Banking of cryopreserved heart valves in Europe: assessment of a 10-year operation in the European Homograft Bank (EHB). </w:t>
      </w:r>
      <w:r w:rsidRPr="004A784D">
        <w:rPr>
          <w:i/>
          <w:noProof/>
          <w:color w:val="000000"/>
          <w:sz w:val="22"/>
        </w:rPr>
        <w:t>J Heart Valve Dis,</w:t>
      </w:r>
      <w:r w:rsidRPr="004A784D">
        <w:rPr>
          <w:noProof/>
          <w:color w:val="000000"/>
          <w:sz w:val="22"/>
        </w:rPr>
        <w:t xml:space="preserve"> 9</w:t>
      </w:r>
      <w:r w:rsidRPr="004A784D">
        <w:rPr>
          <w:b/>
          <w:noProof/>
          <w:color w:val="000000"/>
          <w:sz w:val="22"/>
        </w:rPr>
        <w:t>,</w:t>
      </w:r>
      <w:r w:rsidRPr="004A784D">
        <w:rPr>
          <w:noProof/>
          <w:color w:val="000000"/>
          <w:sz w:val="22"/>
        </w:rPr>
        <w:t xml:space="preserve"> 207-14.</w:t>
      </w:r>
      <w:bookmarkEnd w:id="2398"/>
    </w:p>
    <w:p w:rsidR="004A784D" w:rsidRPr="004A784D" w:rsidRDefault="004A784D" w:rsidP="004A784D">
      <w:pPr>
        <w:spacing w:after="240"/>
        <w:jc w:val="both"/>
        <w:rPr>
          <w:noProof/>
          <w:color w:val="000000"/>
          <w:sz w:val="22"/>
        </w:rPr>
      </w:pPr>
      <w:bookmarkStart w:id="2399" w:name="_ENREF_149"/>
      <w:r w:rsidRPr="004A784D">
        <w:rPr>
          <w:noProof/>
          <w:color w:val="000000"/>
          <w:sz w:val="22"/>
        </w:rPr>
        <w:t xml:space="preserve">GOLDSCHMIDT, H., CREMER, F. W., MOHLER, T. M. &amp; HO, A. D. 2003. [Multiple myeloma. Diagnosis and therapy]. </w:t>
      </w:r>
      <w:r w:rsidRPr="004A784D">
        <w:rPr>
          <w:i/>
          <w:noProof/>
          <w:color w:val="000000"/>
          <w:sz w:val="22"/>
        </w:rPr>
        <w:t>Internist (Berl),</w:t>
      </w:r>
      <w:r w:rsidRPr="004A784D">
        <w:rPr>
          <w:noProof/>
          <w:color w:val="000000"/>
          <w:sz w:val="22"/>
        </w:rPr>
        <w:t xml:space="preserve"> 44</w:t>
      </w:r>
      <w:r w:rsidRPr="004A784D">
        <w:rPr>
          <w:b/>
          <w:noProof/>
          <w:color w:val="000000"/>
          <w:sz w:val="22"/>
        </w:rPr>
        <w:t>,</w:t>
      </w:r>
      <w:r w:rsidRPr="004A784D">
        <w:rPr>
          <w:noProof/>
          <w:color w:val="000000"/>
          <w:sz w:val="22"/>
        </w:rPr>
        <w:t xml:space="preserve"> 599-600, 603-16; quiz 617-8.</w:t>
      </w:r>
      <w:bookmarkEnd w:id="2399"/>
    </w:p>
    <w:p w:rsidR="004A784D" w:rsidRPr="004A784D" w:rsidRDefault="004A784D" w:rsidP="004A784D">
      <w:pPr>
        <w:spacing w:after="240"/>
        <w:jc w:val="both"/>
        <w:rPr>
          <w:noProof/>
          <w:color w:val="000000"/>
          <w:sz w:val="22"/>
        </w:rPr>
      </w:pPr>
      <w:bookmarkStart w:id="2400" w:name="_ENREF_150"/>
      <w:r w:rsidRPr="004A784D">
        <w:rPr>
          <w:noProof/>
          <w:color w:val="000000"/>
          <w:sz w:val="22"/>
        </w:rPr>
        <w:t xml:space="preserve">GOMOLIN, I. H. &amp; CHAPRON, D. J. 1992. Elucidating the relationship between acetazolamide plasma protein binding and renal clearance using an albumin infusion. </w:t>
      </w:r>
      <w:r w:rsidRPr="004A784D">
        <w:rPr>
          <w:i/>
          <w:noProof/>
          <w:color w:val="000000"/>
          <w:sz w:val="22"/>
        </w:rPr>
        <w:t>J Clin Pharmacol,</w:t>
      </w:r>
      <w:r w:rsidRPr="004A784D">
        <w:rPr>
          <w:noProof/>
          <w:color w:val="000000"/>
          <w:sz w:val="22"/>
        </w:rPr>
        <w:t xml:space="preserve"> 32</w:t>
      </w:r>
      <w:r w:rsidRPr="004A784D">
        <w:rPr>
          <w:b/>
          <w:noProof/>
          <w:color w:val="000000"/>
          <w:sz w:val="22"/>
        </w:rPr>
        <w:t>,</w:t>
      </w:r>
      <w:r w:rsidRPr="004A784D">
        <w:rPr>
          <w:noProof/>
          <w:color w:val="000000"/>
          <w:sz w:val="22"/>
        </w:rPr>
        <w:t xml:space="preserve"> 1028-32.</w:t>
      </w:r>
      <w:bookmarkEnd w:id="2400"/>
    </w:p>
    <w:p w:rsidR="004A784D" w:rsidRPr="004A784D" w:rsidRDefault="004A784D" w:rsidP="004A784D">
      <w:pPr>
        <w:spacing w:after="240"/>
        <w:jc w:val="both"/>
        <w:rPr>
          <w:noProof/>
          <w:color w:val="000000"/>
          <w:sz w:val="22"/>
        </w:rPr>
      </w:pPr>
      <w:bookmarkStart w:id="2401" w:name="_ENREF_151"/>
      <w:r w:rsidRPr="004A784D">
        <w:rPr>
          <w:noProof/>
          <w:color w:val="000000"/>
          <w:sz w:val="22"/>
        </w:rPr>
        <w:t xml:space="preserve">GREIPP, P. R., SAN MIGUEL, J., DURIE, B. G., CROWLEY, J. J., BARLOGIE, B., BLADE, J., BOCCADORO, M., CHILD, J. A., AVET-LOISEAU, H., KYLE, R. A., LAHUERTA, J. J., LUDWIG, H., MORGAN, G., POWLES, R., SHIMIZU, K., SHUSTIK, C., SONNEVELD, P., TOSI, P., TURESSON, I. &amp; WESTIN, J. 2005. International staging system for multiple myeloma. </w:t>
      </w:r>
      <w:r w:rsidRPr="004A784D">
        <w:rPr>
          <w:i/>
          <w:noProof/>
          <w:color w:val="000000"/>
          <w:sz w:val="22"/>
        </w:rPr>
        <w:t>J Clin Oncol,</w:t>
      </w:r>
      <w:r w:rsidRPr="004A784D">
        <w:rPr>
          <w:noProof/>
          <w:color w:val="000000"/>
          <w:sz w:val="22"/>
        </w:rPr>
        <w:t xml:space="preserve"> 23</w:t>
      </w:r>
      <w:r w:rsidRPr="004A784D">
        <w:rPr>
          <w:b/>
          <w:noProof/>
          <w:color w:val="000000"/>
          <w:sz w:val="22"/>
        </w:rPr>
        <w:t>,</w:t>
      </w:r>
      <w:r w:rsidRPr="004A784D">
        <w:rPr>
          <w:noProof/>
          <w:color w:val="000000"/>
          <w:sz w:val="22"/>
        </w:rPr>
        <w:t xml:space="preserve"> 3412-20.</w:t>
      </w:r>
      <w:bookmarkEnd w:id="2401"/>
    </w:p>
    <w:p w:rsidR="004A784D" w:rsidRPr="004A784D" w:rsidRDefault="004A784D" w:rsidP="004A784D">
      <w:pPr>
        <w:spacing w:after="240"/>
        <w:jc w:val="both"/>
        <w:rPr>
          <w:noProof/>
          <w:color w:val="000000"/>
          <w:sz w:val="22"/>
        </w:rPr>
      </w:pPr>
      <w:bookmarkStart w:id="2402" w:name="_ENREF_152"/>
      <w:r w:rsidRPr="004A784D">
        <w:rPr>
          <w:noProof/>
          <w:color w:val="000000"/>
          <w:sz w:val="22"/>
        </w:rPr>
        <w:t xml:space="preserve">GRIBBEN, J. G. 2008. Molecular profiling in CLL.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444-9.</w:t>
      </w:r>
      <w:bookmarkEnd w:id="2402"/>
    </w:p>
    <w:p w:rsidR="004A784D" w:rsidRPr="004A784D" w:rsidRDefault="004A784D" w:rsidP="004A784D">
      <w:pPr>
        <w:spacing w:after="240"/>
        <w:jc w:val="both"/>
        <w:rPr>
          <w:noProof/>
          <w:color w:val="000000"/>
          <w:sz w:val="22"/>
        </w:rPr>
      </w:pPr>
      <w:bookmarkStart w:id="2403" w:name="_ENREF_153"/>
      <w:r w:rsidRPr="004A784D">
        <w:rPr>
          <w:noProof/>
          <w:color w:val="000000"/>
          <w:sz w:val="22"/>
        </w:rPr>
        <w:t xml:space="preserve">GUARNERI, V., FRASSOLDATI, A., BRUZZI, P., D'AMICO, R., BELFIGLIO, M., MOLINO, A., BERTETTO, O., CASCINU, S., COGNETTI, F., DI LEO, A., PRONZATO, P., CRINO, L., AGOSTARA, B. &amp; CONTE, P. 2008. Multicentric, randomized phase III trial of two different adjuvant chemotherapy regimens plus three versus twelve months of trastuzumab in patients with HER2- positive breast cancer (Short-HER Trial; NCT00629278). </w:t>
      </w:r>
      <w:r w:rsidRPr="004A784D">
        <w:rPr>
          <w:i/>
          <w:noProof/>
          <w:color w:val="000000"/>
          <w:sz w:val="22"/>
        </w:rPr>
        <w:t>Clin Breast Cancer,</w:t>
      </w:r>
      <w:r w:rsidRPr="004A784D">
        <w:rPr>
          <w:noProof/>
          <w:color w:val="000000"/>
          <w:sz w:val="22"/>
        </w:rPr>
        <w:t xml:space="preserve"> 8</w:t>
      </w:r>
      <w:r w:rsidRPr="004A784D">
        <w:rPr>
          <w:b/>
          <w:noProof/>
          <w:color w:val="000000"/>
          <w:sz w:val="22"/>
        </w:rPr>
        <w:t>,</w:t>
      </w:r>
      <w:r w:rsidRPr="004A784D">
        <w:rPr>
          <w:noProof/>
          <w:color w:val="000000"/>
          <w:sz w:val="22"/>
        </w:rPr>
        <w:t xml:space="preserve"> 453-6.</w:t>
      </w:r>
      <w:bookmarkEnd w:id="2403"/>
    </w:p>
    <w:p w:rsidR="004A784D" w:rsidRPr="004A784D" w:rsidRDefault="004A784D" w:rsidP="004A784D">
      <w:pPr>
        <w:spacing w:after="240"/>
        <w:jc w:val="both"/>
        <w:rPr>
          <w:noProof/>
          <w:color w:val="000000"/>
          <w:sz w:val="22"/>
        </w:rPr>
      </w:pPr>
      <w:bookmarkStart w:id="2404" w:name="_ENREF_154"/>
      <w:r w:rsidRPr="004A784D">
        <w:rPr>
          <w:noProof/>
          <w:color w:val="000000"/>
          <w:sz w:val="22"/>
        </w:rPr>
        <w:t xml:space="preserve">GUIKEMA, J. E., HOVENGA, S., VELLENGA, E. &amp; BOS, N. A. 2004. Heterogeneity in the multiple myeloma tumor clone. </w:t>
      </w:r>
      <w:r w:rsidRPr="004A784D">
        <w:rPr>
          <w:i/>
          <w:noProof/>
          <w:color w:val="000000"/>
          <w:sz w:val="22"/>
        </w:rPr>
        <w:t>Leuk Lymphoma,</w:t>
      </w:r>
      <w:r w:rsidRPr="004A784D">
        <w:rPr>
          <w:noProof/>
          <w:color w:val="000000"/>
          <w:sz w:val="22"/>
        </w:rPr>
        <w:t xml:space="preserve"> 45</w:t>
      </w:r>
      <w:r w:rsidRPr="004A784D">
        <w:rPr>
          <w:b/>
          <w:noProof/>
          <w:color w:val="000000"/>
          <w:sz w:val="22"/>
        </w:rPr>
        <w:t>,</w:t>
      </w:r>
      <w:r w:rsidRPr="004A784D">
        <w:rPr>
          <w:noProof/>
          <w:color w:val="000000"/>
          <w:sz w:val="22"/>
        </w:rPr>
        <w:t xml:space="preserve"> 857-71.</w:t>
      </w:r>
      <w:bookmarkEnd w:id="2404"/>
    </w:p>
    <w:p w:rsidR="004A784D" w:rsidRPr="004A784D" w:rsidRDefault="004A784D" w:rsidP="004A784D">
      <w:pPr>
        <w:spacing w:after="240"/>
        <w:jc w:val="both"/>
        <w:rPr>
          <w:noProof/>
          <w:color w:val="000000"/>
          <w:sz w:val="22"/>
        </w:rPr>
      </w:pPr>
      <w:bookmarkStart w:id="2405" w:name="_ENREF_155"/>
      <w:r w:rsidRPr="004A784D">
        <w:rPr>
          <w:noProof/>
          <w:color w:val="000000"/>
          <w:sz w:val="22"/>
        </w:rPr>
        <w:t xml:space="preserve">GUPTA, S., AHERN, K., NAKHL, F. &amp; FORTE, F. 2011. Clinical usefulness of haptoglobin levels to evaluate hemolysis in recently transfused patients. </w:t>
      </w:r>
      <w:r w:rsidRPr="004A784D">
        <w:rPr>
          <w:i/>
          <w:noProof/>
          <w:color w:val="000000"/>
          <w:sz w:val="22"/>
        </w:rPr>
        <w:t>Adv Hematol,</w:t>
      </w:r>
      <w:r w:rsidRPr="004A784D">
        <w:rPr>
          <w:noProof/>
          <w:color w:val="000000"/>
          <w:sz w:val="22"/>
        </w:rPr>
        <w:t xml:space="preserve"> 2011</w:t>
      </w:r>
      <w:r w:rsidRPr="004A784D">
        <w:rPr>
          <w:b/>
          <w:noProof/>
          <w:color w:val="000000"/>
          <w:sz w:val="22"/>
        </w:rPr>
        <w:t>,</w:t>
      </w:r>
      <w:r w:rsidRPr="004A784D">
        <w:rPr>
          <w:noProof/>
          <w:color w:val="000000"/>
          <w:sz w:val="22"/>
        </w:rPr>
        <w:t xml:space="preserve"> 389854.</w:t>
      </w:r>
      <w:bookmarkEnd w:id="2405"/>
    </w:p>
    <w:p w:rsidR="004A784D" w:rsidRPr="004A784D" w:rsidRDefault="004A784D" w:rsidP="004A784D">
      <w:pPr>
        <w:spacing w:after="240"/>
        <w:jc w:val="both"/>
        <w:rPr>
          <w:noProof/>
          <w:color w:val="000000"/>
          <w:sz w:val="22"/>
        </w:rPr>
      </w:pPr>
      <w:bookmarkStart w:id="2406" w:name="_ENREF_156"/>
      <w:r w:rsidRPr="004A784D">
        <w:rPr>
          <w:noProof/>
          <w:color w:val="000000"/>
          <w:sz w:val="22"/>
        </w:rPr>
        <w:t xml:space="preserve">HABIB, L. K. &amp; FINN, W. G. 2006. Unsupervised immunophenotypic profiling of chronic lymphocytic leukemia. </w:t>
      </w:r>
      <w:r w:rsidRPr="004A784D">
        <w:rPr>
          <w:i/>
          <w:noProof/>
          <w:color w:val="000000"/>
          <w:sz w:val="22"/>
        </w:rPr>
        <w:t>Cytometry B Clin Cytom,</w:t>
      </w:r>
      <w:r w:rsidRPr="004A784D">
        <w:rPr>
          <w:noProof/>
          <w:color w:val="000000"/>
          <w:sz w:val="22"/>
        </w:rPr>
        <w:t xml:space="preserve"> 70</w:t>
      </w:r>
      <w:r w:rsidRPr="004A784D">
        <w:rPr>
          <w:b/>
          <w:noProof/>
          <w:color w:val="000000"/>
          <w:sz w:val="22"/>
        </w:rPr>
        <w:t>,</w:t>
      </w:r>
      <w:r w:rsidRPr="004A784D">
        <w:rPr>
          <w:noProof/>
          <w:color w:val="000000"/>
          <w:sz w:val="22"/>
        </w:rPr>
        <w:t xml:space="preserve"> 124-35.</w:t>
      </w:r>
      <w:bookmarkEnd w:id="2406"/>
    </w:p>
    <w:p w:rsidR="004A784D" w:rsidRPr="004A784D" w:rsidRDefault="004A784D" w:rsidP="004A784D">
      <w:pPr>
        <w:spacing w:after="240"/>
        <w:jc w:val="both"/>
        <w:rPr>
          <w:noProof/>
          <w:color w:val="000000"/>
          <w:sz w:val="22"/>
        </w:rPr>
      </w:pPr>
      <w:bookmarkStart w:id="2407" w:name="_ENREF_157"/>
      <w:r w:rsidRPr="004A784D">
        <w:rPr>
          <w:noProof/>
          <w:color w:val="000000"/>
          <w:sz w:val="22"/>
        </w:rPr>
        <w:t xml:space="preserve">HAGNER-MCWHIRTER, A., WINKVIST, M., BOURIN, S. &amp; MAROUGA, R. 2008. Selective labelling of cell-surface proteins using CyDye DIGE Fluor minimal dyes. </w:t>
      </w:r>
      <w:r w:rsidRPr="004A784D">
        <w:rPr>
          <w:i/>
          <w:noProof/>
          <w:color w:val="000000"/>
          <w:sz w:val="22"/>
        </w:rPr>
        <w:t>J Vis Exp</w:t>
      </w:r>
      <w:r w:rsidRPr="004A784D">
        <w:rPr>
          <w:noProof/>
          <w:color w:val="000000"/>
          <w:sz w:val="22"/>
        </w:rPr>
        <w:t>.</w:t>
      </w:r>
      <w:bookmarkEnd w:id="2407"/>
    </w:p>
    <w:p w:rsidR="004A784D" w:rsidRPr="004A784D" w:rsidRDefault="004A784D" w:rsidP="004A784D">
      <w:pPr>
        <w:spacing w:after="240"/>
        <w:jc w:val="both"/>
        <w:rPr>
          <w:noProof/>
          <w:color w:val="000000"/>
          <w:sz w:val="22"/>
        </w:rPr>
      </w:pPr>
      <w:bookmarkStart w:id="2408" w:name="_ENREF_158"/>
      <w:r w:rsidRPr="004A784D">
        <w:rPr>
          <w:noProof/>
          <w:color w:val="000000"/>
          <w:sz w:val="22"/>
        </w:rPr>
        <w:t xml:space="preserve">HAINAUT, P., VOZAR, B., RINALDI, S., RIBOLI, E. &amp; CABOUX, E. 2011. The European Prospective Investigation into Cancer and Nutrition biobank. </w:t>
      </w:r>
      <w:r w:rsidRPr="004A784D">
        <w:rPr>
          <w:i/>
          <w:noProof/>
          <w:color w:val="000000"/>
          <w:sz w:val="22"/>
        </w:rPr>
        <w:t>Methods Mol Biol,</w:t>
      </w:r>
      <w:r w:rsidRPr="004A784D">
        <w:rPr>
          <w:noProof/>
          <w:color w:val="000000"/>
          <w:sz w:val="22"/>
        </w:rPr>
        <w:t xml:space="preserve"> 675</w:t>
      </w:r>
      <w:r w:rsidRPr="004A784D">
        <w:rPr>
          <w:b/>
          <w:noProof/>
          <w:color w:val="000000"/>
          <w:sz w:val="22"/>
        </w:rPr>
        <w:t>,</w:t>
      </w:r>
      <w:r w:rsidRPr="004A784D">
        <w:rPr>
          <w:noProof/>
          <w:color w:val="000000"/>
          <w:sz w:val="22"/>
        </w:rPr>
        <w:t xml:space="preserve"> 179-91.</w:t>
      </w:r>
      <w:bookmarkEnd w:id="2408"/>
    </w:p>
    <w:p w:rsidR="004A784D" w:rsidRPr="004A784D" w:rsidRDefault="004A784D" w:rsidP="004A784D">
      <w:pPr>
        <w:spacing w:after="240"/>
        <w:jc w:val="both"/>
        <w:rPr>
          <w:noProof/>
          <w:color w:val="000000"/>
          <w:sz w:val="22"/>
        </w:rPr>
      </w:pPr>
      <w:bookmarkStart w:id="2409" w:name="_ENREF_159"/>
      <w:r w:rsidRPr="004A784D">
        <w:rPr>
          <w:noProof/>
          <w:color w:val="000000"/>
          <w:sz w:val="22"/>
        </w:rPr>
        <w:lastRenderedPageBreak/>
        <w:t xml:space="preserve">HALE, L. P., PRICE, D. T., SANCHEZ, L. M., DEMARK-WAHNEFRIED, W. &amp; MADDEN, J. F. 2001. Zinc alpha-2-glycoprotein is expressed by malignant prostatic epithelium and may serve as a potential serum marker for prostate cancer. </w:t>
      </w:r>
      <w:r w:rsidRPr="004A784D">
        <w:rPr>
          <w:i/>
          <w:noProof/>
          <w:color w:val="000000"/>
          <w:sz w:val="22"/>
        </w:rPr>
        <w:t>Clin Cancer Res,</w:t>
      </w:r>
      <w:r w:rsidRPr="004A784D">
        <w:rPr>
          <w:noProof/>
          <w:color w:val="000000"/>
          <w:sz w:val="22"/>
        </w:rPr>
        <w:t xml:space="preserve"> 7</w:t>
      </w:r>
      <w:r w:rsidRPr="004A784D">
        <w:rPr>
          <w:b/>
          <w:noProof/>
          <w:color w:val="000000"/>
          <w:sz w:val="22"/>
        </w:rPr>
        <w:t>,</w:t>
      </w:r>
      <w:r w:rsidRPr="004A784D">
        <w:rPr>
          <w:noProof/>
          <w:color w:val="000000"/>
          <w:sz w:val="22"/>
        </w:rPr>
        <w:t xml:space="preserve"> 846-53.</w:t>
      </w:r>
      <w:bookmarkEnd w:id="2409"/>
    </w:p>
    <w:p w:rsidR="004A784D" w:rsidRPr="004A784D" w:rsidRDefault="004A784D" w:rsidP="004A784D">
      <w:pPr>
        <w:spacing w:after="240"/>
        <w:jc w:val="both"/>
        <w:rPr>
          <w:noProof/>
          <w:color w:val="000000"/>
          <w:sz w:val="22"/>
        </w:rPr>
      </w:pPr>
      <w:bookmarkStart w:id="2410" w:name="_ENREF_160"/>
      <w:r w:rsidRPr="004A784D">
        <w:rPr>
          <w:noProof/>
          <w:color w:val="000000"/>
          <w:sz w:val="22"/>
        </w:rPr>
        <w:t xml:space="preserve">HAN, C. Y., SUBRAMANIAN, S., CHAN, C. K., OMER, M., CHIBA, T., WIGHT, T. N. &amp; CHAIT, A. 2007. Adipocyte-derived serum amyloid A3 and hyaluronan play a role in monocyte recruitment and adhesion. </w:t>
      </w:r>
      <w:r w:rsidRPr="004A784D">
        <w:rPr>
          <w:i/>
          <w:noProof/>
          <w:color w:val="000000"/>
          <w:sz w:val="22"/>
        </w:rPr>
        <w:t>Diabetes,</w:t>
      </w:r>
      <w:r w:rsidRPr="004A784D">
        <w:rPr>
          <w:noProof/>
          <w:color w:val="000000"/>
          <w:sz w:val="22"/>
        </w:rPr>
        <w:t xml:space="preserve"> 56</w:t>
      </w:r>
      <w:r w:rsidRPr="004A784D">
        <w:rPr>
          <w:b/>
          <w:noProof/>
          <w:color w:val="000000"/>
          <w:sz w:val="22"/>
        </w:rPr>
        <w:t>,</w:t>
      </w:r>
      <w:r w:rsidRPr="004A784D">
        <w:rPr>
          <w:noProof/>
          <w:color w:val="000000"/>
          <w:sz w:val="22"/>
        </w:rPr>
        <w:t xml:space="preserve"> 2260-73.</w:t>
      </w:r>
      <w:bookmarkEnd w:id="2410"/>
    </w:p>
    <w:p w:rsidR="004A784D" w:rsidRPr="004A784D" w:rsidRDefault="004A784D" w:rsidP="004A784D">
      <w:pPr>
        <w:spacing w:after="240"/>
        <w:jc w:val="both"/>
        <w:rPr>
          <w:noProof/>
          <w:color w:val="000000"/>
          <w:sz w:val="22"/>
        </w:rPr>
      </w:pPr>
      <w:bookmarkStart w:id="2411" w:name="_ENREF_161"/>
      <w:r w:rsidRPr="004A784D">
        <w:rPr>
          <w:noProof/>
          <w:color w:val="000000"/>
          <w:sz w:val="22"/>
        </w:rPr>
        <w:t xml:space="preserve">HANASH, S. M., MADOZ-GURPIDE, J. &amp; MISEK, D. E. 2002. Identification of novel targets for cancer therapy using expression proteomics. </w:t>
      </w:r>
      <w:r w:rsidRPr="004A784D">
        <w:rPr>
          <w:i/>
          <w:noProof/>
          <w:color w:val="000000"/>
          <w:sz w:val="22"/>
        </w:rPr>
        <w:t>Leukemia,</w:t>
      </w:r>
      <w:r w:rsidRPr="004A784D">
        <w:rPr>
          <w:noProof/>
          <w:color w:val="000000"/>
          <w:sz w:val="22"/>
        </w:rPr>
        <w:t xml:space="preserve"> 16</w:t>
      </w:r>
      <w:r w:rsidRPr="004A784D">
        <w:rPr>
          <w:b/>
          <w:noProof/>
          <w:color w:val="000000"/>
          <w:sz w:val="22"/>
        </w:rPr>
        <w:t>,</w:t>
      </w:r>
      <w:r w:rsidRPr="004A784D">
        <w:rPr>
          <w:noProof/>
          <w:color w:val="000000"/>
          <w:sz w:val="22"/>
        </w:rPr>
        <w:t xml:space="preserve"> 478-85.</w:t>
      </w:r>
      <w:bookmarkEnd w:id="2411"/>
    </w:p>
    <w:p w:rsidR="004A784D" w:rsidRPr="004A784D" w:rsidRDefault="004A784D" w:rsidP="004A784D">
      <w:pPr>
        <w:spacing w:after="240"/>
        <w:jc w:val="both"/>
        <w:rPr>
          <w:noProof/>
          <w:color w:val="000000"/>
          <w:sz w:val="22"/>
        </w:rPr>
      </w:pPr>
      <w:bookmarkStart w:id="2412" w:name="_ENREF_162"/>
      <w:r w:rsidRPr="004A784D">
        <w:rPr>
          <w:noProof/>
          <w:color w:val="000000"/>
          <w:sz w:val="22"/>
        </w:rPr>
        <w:t xml:space="preserve">HANAWA, S., AKIMOTO, T., UEHARA, E., INOUE, M., IMAI, T., KOTODA, A., YOSHIZAWA, H., MATSUYAMA, T., UEDA, M., SAITO, O., HAMANO, Y., YUMURA, W., OZAWA, K., MUTO, S. &amp; KUSANO, E. 2011. Renal failure caused by plasma cell infiltration in multiple myeloma. </w:t>
      </w:r>
      <w:r w:rsidRPr="004A784D">
        <w:rPr>
          <w:i/>
          <w:noProof/>
          <w:color w:val="000000"/>
          <w:sz w:val="22"/>
        </w:rPr>
        <w:t>Clin Exp Nephrol,</w:t>
      </w:r>
      <w:r w:rsidRPr="004A784D">
        <w:rPr>
          <w:noProof/>
          <w:color w:val="000000"/>
          <w:sz w:val="22"/>
        </w:rPr>
        <w:t xml:space="preserve"> 15</w:t>
      </w:r>
      <w:r w:rsidRPr="004A784D">
        <w:rPr>
          <w:b/>
          <w:noProof/>
          <w:color w:val="000000"/>
          <w:sz w:val="22"/>
        </w:rPr>
        <w:t>,</w:t>
      </w:r>
      <w:r w:rsidRPr="004A784D">
        <w:rPr>
          <w:noProof/>
          <w:color w:val="000000"/>
          <w:sz w:val="22"/>
        </w:rPr>
        <w:t xml:space="preserve"> 586-90.</w:t>
      </w:r>
      <w:bookmarkEnd w:id="2412"/>
    </w:p>
    <w:p w:rsidR="004A784D" w:rsidRPr="004A784D" w:rsidRDefault="004A784D" w:rsidP="004A784D">
      <w:pPr>
        <w:spacing w:after="240"/>
        <w:jc w:val="both"/>
        <w:rPr>
          <w:noProof/>
          <w:color w:val="000000"/>
          <w:sz w:val="22"/>
        </w:rPr>
      </w:pPr>
      <w:bookmarkStart w:id="2413" w:name="_ENREF_163"/>
      <w:r w:rsidRPr="004A784D">
        <w:rPr>
          <w:noProof/>
          <w:color w:val="000000"/>
          <w:sz w:val="22"/>
        </w:rPr>
        <w:t xml:space="preserve">HAROUSSEAU, J. L. 2008. Induction therapy in multiple myeloma.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306-12.</w:t>
      </w:r>
      <w:bookmarkEnd w:id="2413"/>
    </w:p>
    <w:p w:rsidR="004A784D" w:rsidRPr="004A784D" w:rsidRDefault="004A784D" w:rsidP="004A784D">
      <w:pPr>
        <w:spacing w:after="240"/>
        <w:jc w:val="both"/>
        <w:rPr>
          <w:noProof/>
          <w:color w:val="000000"/>
          <w:sz w:val="22"/>
        </w:rPr>
      </w:pPr>
      <w:bookmarkStart w:id="2414" w:name="_ENREF_164"/>
      <w:r w:rsidRPr="004A784D">
        <w:rPr>
          <w:noProof/>
          <w:color w:val="000000"/>
          <w:sz w:val="22"/>
        </w:rPr>
        <w:t xml:space="preserve">HAROUSSEAU, J. L. 2009. Hematopoietic stem cell transplantation in multiple myeloma. </w:t>
      </w:r>
      <w:r w:rsidRPr="004A784D">
        <w:rPr>
          <w:i/>
          <w:noProof/>
          <w:color w:val="000000"/>
          <w:sz w:val="22"/>
        </w:rPr>
        <w:t>J Natl Compr Canc Netw,</w:t>
      </w:r>
      <w:r w:rsidRPr="004A784D">
        <w:rPr>
          <w:noProof/>
          <w:color w:val="000000"/>
          <w:sz w:val="22"/>
        </w:rPr>
        <w:t xml:space="preserve"> 7</w:t>
      </w:r>
      <w:r w:rsidRPr="004A784D">
        <w:rPr>
          <w:b/>
          <w:noProof/>
          <w:color w:val="000000"/>
          <w:sz w:val="22"/>
        </w:rPr>
        <w:t>,</w:t>
      </w:r>
      <w:r w:rsidRPr="004A784D">
        <w:rPr>
          <w:noProof/>
          <w:color w:val="000000"/>
          <w:sz w:val="22"/>
        </w:rPr>
        <w:t xml:space="preserve"> 961-70.</w:t>
      </w:r>
      <w:bookmarkEnd w:id="2414"/>
    </w:p>
    <w:p w:rsidR="004A784D" w:rsidRPr="004A784D" w:rsidRDefault="004A784D" w:rsidP="004A784D">
      <w:pPr>
        <w:spacing w:after="240"/>
        <w:jc w:val="both"/>
        <w:rPr>
          <w:noProof/>
          <w:color w:val="000000"/>
          <w:sz w:val="22"/>
        </w:rPr>
      </w:pPr>
      <w:bookmarkStart w:id="2415" w:name="_ENREF_165"/>
      <w:r w:rsidRPr="004A784D">
        <w:rPr>
          <w:noProof/>
          <w:color w:val="000000"/>
          <w:sz w:val="22"/>
        </w:rPr>
        <w:t xml:space="preserve">HAROUSSEAU, J. L. &amp; DREYLING, M. 2009. Multiple myeloma: ESMO clinical recommendations for diagnosis, treatment and follow-up. </w:t>
      </w:r>
      <w:r w:rsidRPr="004A784D">
        <w:rPr>
          <w:i/>
          <w:noProof/>
          <w:color w:val="000000"/>
          <w:sz w:val="22"/>
        </w:rPr>
        <w:t>Ann Oncol,</w:t>
      </w:r>
      <w:r w:rsidRPr="004A784D">
        <w:rPr>
          <w:noProof/>
          <w:color w:val="000000"/>
          <w:sz w:val="22"/>
        </w:rPr>
        <w:t xml:space="preserve"> 20 Suppl 4</w:t>
      </w:r>
      <w:r w:rsidRPr="004A784D">
        <w:rPr>
          <w:b/>
          <w:noProof/>
          <w:color w:val="000000"/>
          <w:sz w:val="22"/>
        </w:rPr>
        <w:t>,</w:t>
      </w:r>
      <w:r w:rsidRPr="004A784D">
        <w:rPr>
          <w:noProof/>
          <w:color w:val="000000"/>
          <w:sz w:val="22"/>
        </w:rPr>
        <w:t xml:space="preserve"> 97-9.</w:t>
      </w:r>
      <w:bookmarkEnd w:id="2415"/>
    </w:p>
    <w:p w:rsidR="004A784D" w:rsidRPr="004A784D" w:rsidRDefault="004A784D" w:rsidP="004A784D">
      <w:pPr>
        <w:spacing w:after="240"/>
        <w:jc w:val="both"/>
        <w:rPr>
          <w:noProof/>
          <w:color w:val="000000"/>
          <w:sz w:val="22"/>
        </w:rPr>
      </w:pPr>
      <w:bookmarkStart w:id="2416" w:name="_ENREF_166"/>
      <w:r w:rsidRPr="004A784D">
        <w:rPr>
          <w:noProof/>
          <w:color w:val="000000"/>
          <w:sz w:val="22"/>
        </w:rPr>
        <w:t xml:space="preserve">HAROUSSEAU, J. L., SHAUGHNESSY, J., JR. &amp; RICHARDSON, P. 2004. Multiple myeloma.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237-56.</w:t>
      </w:r>
      <w:bookmarkEnd w:id="2416"/>
    </w:p>
    <w:p w:rsidR="004A784D" w:rsidRPr="004A784D" w:rsidRDefault="004A784D" w:rsidP="004A784D">
      <w:pPr>
        <w:spacing w:after="240"/>
        <w:jc w:val="both"/>
        <w:rPr>
          <w:noProof/>
          <w:color w:val="000000"/>
          <w:sz w:val="22"/>
        </w:rPr>
      </w:pPr>
      <w:bookmarkStart w:id="2417" w:name="_ENREF_167"/>
      <w:r w:rsidRPr="004A784D">
        <w:rPr>
          <w:noProof/>
          <w:color w:val="000000"/>
          <w:sz w:val="22"/>
        </w:rPr>
        <w:t xml:space="preserve">HASSAN, M. I., WAHEED, A., YADAV, S., SINGH, T. P. &amp; AHMAD, F. 2008. Zinc alpha 2-glycoprotein: a multidisciplinary protein. </w:t>
      </w:r>
      <w:r w:rsidRPr="004A784D">
        <w:rPr>
          <w:i/>
          <w:noProof/>
          <w:color w:val="000000"/>
          <w:sz w:val="22"/>
        </w:rPr>
        <w:t>Mol Cancer Res,</w:t>
      </w:r>
      <w:r w:rsidRPr="004A784D">
        <w:rPr>
          <w:noProof/>
          <w:color w:val="000000"/>
          <w:sz w:val="22"/>
        </w:rPr>
        <w:t xml:space="preserve"> 6</w:t>
      </w:r>
      <w:r w:rsidRPr="004A784D">
        <w:rPr>
          <w:b/>
          <w:noProof/>
          <w:color w:val="000000"/>
          <w:sz w:val="22"/>
        </w:rPr>
        <w:t>,</w:t>
      </w:r>
      <w:r w:rsidRPr="004A784D">
        <w:rPr>
          <w:noProof/>
          <w:color w:val="000000"/>
          <w:sz w:val="22"/>
        </w:rPr>
        <w:t xml:space="preserve"> 892-906.</w:t>
      </w:r>
      <w:bookmarkEnd w:id="2417"/>
    </w:p>
    <w:p w:rsidR="004A784D" w:rsidRPr="004A784D" w:rsidRDefault="004A784D" w:rsidP="004A784D">
      <w:pPr>
        <w:spacing w:after="240"/>
        <w:jc w:val="both"/>
        <w:rPr>
          <w:noProof/>
          <w:color w:val="000000"/>
          <w:sz w:val="22"/>
        </w:rPr>
      </w:pPr>
      <w:bookmarkStart w:id="2418" w:name="_ENREF_168"/>
      <w:r w:rsidRPr="004A784D">
        <w:rPr>
          <w:noProof/>
          <w:color w:val="000000"/>
          <w:sz w:val="22"/>
        </w:rPr>
        <w:t xml:space="preserve">HENKEL, C., RODERFELD, M., WEISKIRCHEN, R., SCHEIBE, B., MATERN, S. &amp; ROEB, E. 2005. Identification of fibrosis-relevant proteins using DIGE (difference in gel electrophoresis) in different models of hepatic fibrosis. </w:t>
      </w:r>
      <w:r w:rsidRPr="004A784D">
        <w:rPr>
          <w:i/>
          <w:noProof/>
          <w:color w:val="000000"/>
          <w:sz w:val="22"/>
        </w:rPr>
        <w:t>Z Gastroenterol,</w:t>
      </w:r>
      <w:r w:rsidRPr="004A784D">
        <w:rPr>
          <w:noProof/>
          <w:color w:val="000000"/>
          <w:sz w:val="22"/>
        </w:rPr>
        <w:t xml:space="preserve"> 43</w:t>
      </w:r>
      <w:r w:rsidRPr="004A784D">
        <w:rPr>
          <w:b/>
          <w:noProof/>
          <w:color w:val="000000"/>
          <w:sz w:val="22"/>
        </w:rPr>
        <w:t>,</w:t>
      </w:r>
      <w:r w:rsidRPr="004A784D">
        <w:rPr>
          <w:noProof/>
          <w:color w:val="000000"/>
          <w:sz w:val="22"/>
        </w:rPr>
        <w:t xml:space="preserve"> 23-9.</w:t>
      </w:r>
      <w:bookmarkEnd w:id="2418"/>
    </w:p>
    <w:p w:rsidR="004A784D" w:rsidRPr="004A784D" w:rsidRDefault="004A784D" w:rsidP="004A784D">
      <w:pPr>
        <w:spacing w:after="240"/>
        <w:jc w:val="both"/>
        <w:rPr>
          <w:noProof/>
          <w:color w:val="000000"/>
          <w:sz w:val="22"/>
        </w:rPr>
      </w:pPr>
      <w:bookmarkStart w:id="2419" w:name="_ENREF_169"/>
      <w:r w:rsidRPr="004A784D">
        <w:rPr>
          <w:noProof/>
          <w:color w:val="000000"/>
          <w:sz w:val="22"/>
        </w:rPr>
        <w:t xml:space="preserve">HENNY, J. 2003. [Constitution of a bank of biological material. Practical aspects]. </w:t>
      </w:r>
      <w:r w:rsidRPr="004A784D">
        <w:rPr>
          <w:i/>
          <w:noProof/>
          <w:color w:val="000000"/>
          <w:sz w:val="22"/>
        </w:rPr>
        <w:t>Rev Epidemiol Sante Publique,</w:t>
      </w:r>
      <w:r w:rsidRPr="004A784D">
        <w:rPr>
          <w:noProof/>
          <w:color w:val="000000"/>
          <w:sz w:val="22"/>
        </w:rPr>
        <w:t xml:space="preserve"> 51</w:t>
      </w:r>
      <w:r w:rsidRPr="004A784D">
        <w:rPr>
          <w:b/>
          <w:noProof/>
          <w:color w:val="000000"/>
          <w:sz w:val="22"/>
        </w:rPr>
        <w:t>,</w:t>
      </w:r>
      <w:r w:rsidRPr="004A784D">
        <w:rPr>
          <w:noProof/>
          <w:color w:val="000000"/>
          <w:sz w:val="22"/>
        </w:rPr>
        <w:t xml:space="preserve"> 127-36.</w:t>
      </w:r>
      <w:bookmarkEnd w:id="2419"/>
    </w:p>
    <w:p w:rsidR="004A784D" w:rsidRPr="004A784D" w:rsidRDefault="004A784D" w:rsidP="004A784D">
      <w:pPr>
        <w:spacing w:after="240"/>
        <w:jc w:val="both"/>
        <w:rPr>
          <w:noProof/>
          <w:color w:val="000000"/>
          <w:sz w:val="22"/>
        </w:rPr>
      </w:pPr>
      <w:bookmarkStart w:id="2420" w:name="_ENREF_170"/>
      <w:r w:rsidRPr="004A784D">
        <w:rPr>
          <w:noProof/>
          <w:color w:val="000000"/>
          <w:sz w:val="22"/>
        </w:rPr>
        <w:t xml:space="preserve">HENSHALL, S. M., HORVATH, L. G., QUINN, D. I., EGGLETON, S. A., GRYGIEL, J. J., STRICKER, P. D., BIANKIN, A. V., KENCH, J. G. &amp; SUTHERLAND, R. L. 2006. Zinc-alpha2-glycoprotein expression as a predictor of metastatic prostate cancer following radical prostatectomy. </w:t>
      </w:r>
      <w:r w:rsidRPr="004A784D">
        <w:rPr>
          <w:i/>
          <w:noProof/>
          <w:color w:val="000000"/>
          <w:sz w:val="22"/>
        </w:rPr>
        <w:t>J Natl Cancer Inst,</w:t>
      </w:r>
      <w:r w:rsidRPr="004A784D">
        <w:rPr>
          <w:noProof/>
          <w:color w:val="000000"/>
          <w:sz w:val="22"/>
        </w:rPr>
        <w:t xml:space="preserve"> 98</w:t>
      </w:r>
      <w:r w:rsidRPr="004A784D">
        <w:rPr>
          <w:b/>
          <w:noProof/>
          <w:color w:val="000000"/>
          <w:sz w:val="22"/>
        </w:rPr>
        <w:t>,</w:t>
      </w:r>
      <w:r w:rsidRPr="004A784D">
        <w:rPr>
          <w:noProof/>
          <w:color w:val="000000"/>
          <w:sz w:val="22"/>
        </w:rPr>
        <w:t xml:space="preserve"> 1420-4.</w:t>
      </w:r>
      <w:bookmarkEnd w:id="2420"/>
    </w:p>
    <w:p w:rsidR="004A784D" w:rsidRPr="004A784D" w:rsidRDefault="004A784D" w:rsidP="004A784D">
      <w:pPr>
        <w:spacing w:after="240"/>
        <w:jc w:val="both"/>
        <w:rPr>
          <w:noProof/>
          <w:color w:val="000000"/>
          <w:sz w:val="22"/>
        </w:rPr>
      </w:pPr>
      <w:bookmarkStart w:id="2421" w:name="_ENREF_171"/>
      <w:r w:rsidRPr="004A784D">
        <w:rPr>
          <w:noProof/>
          <w:color w:val="000000"/>
          <w:sz w:val="22"/>
        </w:rPr>
        <w:t xml:space="preserve">HEO, S. H., LEE, S. J., RYOO, H. M., PARK, J. Y. &amp; CHO, J. Y. 2007. Identification of putative serum glycoprotein biomarkers for human lung adenocarcinoma by multilectin affinity chromatography and LC-MS/MS. </w:t>
      </w:r>
      <w:r w:rsidRPr="004A784D">
        <w:rPr>
          <w:i/>
          <w:noProof/>
          <w:color w:val="000000"/>
          <w:sz w:val="22"/>
        </w:rPr>
        <w:t>Proteomics,</w:t>
      </w:r>
      <w:r w:rsidRPr="004A784D">
        <w:rPr>
          <w:noProof/>
          <w:color w:val="000000"/>
          <w:sz w:val="22"/>
        </w:rPr>
        <w:t xml:space="preserve"> 7</w:t>
      </w:r>
      <w:r w:rsidRPr="004A784D">
        <w:rPr>
          <w:b/>
          <w:noProof/>
          <w:color w:val="000000"/>
          <w:sz w:val="22"/>
        </w:rPr>
        <w:t>,</w:t>
      </w:r>
      <w:r w:rsidRPr="004A784D">
        <w:rPr>
          <w:noProof/>
          <w:color w:val="000000"/>
          <w:sz w:val="22"/>
        </w:rPr>
        <w:t xml:space="preserve"> 4292-302.</w:t>
      </w:r>
      <w:bookmarkEnd w:id="2421"/>
    </w:p>
    <w:p w:rsidR="004A784D" w:rsidRPr="004A784D" w:rsidRDefault="004A784D" w:rsidP="004A784D">
      <w:pPr>
        <w:spacing w:after="240"/>
        <w:jc w:val="both"/>
        <w:rPr>
          <w:noProof/>
          <w:color w:val="000000"/>
          <w:sz w:val="22"/>
        </w:rPr>
      </w:pPr>
      <w:bookmarkStart w:id="2422" w:name="_ENREF_172"/>
      <w:r w:rsidRPr="004A784D">
        <w:rPr>
          <w:noProof/>
          <w:color w:val="000000"/>
          <w:sz w:val="22"/>
        </w:rPr>
        <w:t xml:space="preserve">HERISHANU, Y. &amp; POLLIACK, A. 2005. Chronic lymphocytic leukemia: a review of some new aspects of the biology, factors influencing prognosis and therapeutic options. </w:t>
      </w:r>
      <w:r w:rsidRPr="004A784D">
        <w:rPr>
          <w:i/>
          <w:noProof/>
          <w:color w:val="000000"/>
          <w:sz w:val="22"/>
        </w:rPr>
        <w:t>Transfus Apher Sci,</w:t>
      </w:r>
      <w:r w:rsidRPr="004A784D">
        <w:rPr>
          <w:noProof/>
          <w:color w:val="000000"/>
          <w:sz w:val="22"/>
        </w:rPr>
        <w:t xml:space="preserve"> 32</w:t>
      </w:r>
      <w:r w:rsidRPr="004A784D">
        <w:rPr>
          <w:b/>
          <w:noProof/>
          <w:color w:val="000000"/>
          <w:sz w:val="22"/>
        </w:rPr>
        <w:t>,</w:t>
      </w:r>
      <w:r w:rsidRPr="004A784D">
        <w:rPr>
          <w:noProof/>
          <w:color w:val="000000"/>
          <w:sz w:val="22"/>
        </w:rPr>
        <w:t xml:space="preserve"> 85-97.</w:t>
      </w:r>
      <w:bookmarkEnd w:id="2422"/>
    </w:p>
    <w:p w:rsidR="004A784D" w:rsidRPr="004A784D" w:rsidRDefault="004A784D" w:rsidP="004A784D">
      <w:pPr>
        <w:spacing w:after="240"/>
        <w:jc w:val="both"/>
        <w:rPr>
          <w:noProof/>
          <w:color w:val="000000"/>
          <w:sz w:val="22"/>
        </w:rPr>
      </w:pPr>
      <w:bookmarkStart w:id="2423" w:name="_ENREF_173"/>
      <w:r w:rsidRPr="004A784D">
        <w:rPr>
          <w:noProof/>
          <w:color w:val="000000"/>
          <w:sz w:val="22"/>
        </w:rPr>
        <w:t xml:space="preserve">HEWISON, M. 2010. Vitamin D and the immune system: new perspectives on an old theme. </w:t>
      </w:r>
      <w:r w:rsidRPr="004A784D">
        <w:rPr>
          <w:i/>
          <w:noProof/>
          <w:color w:val="000000"/>
          <w:sz w:val="22"/>
        </w:rPr>
        <w:t>Endocrinol Metab Clin North Am,</w:t>
      </w:r>
      <w:r w:rsidRPr="004A784D">
        <w:rPr>
          <w:noProof/>
          <w:color w:val="000000"/>
          <w:sz w:val="22"/>
        </w:rPr>
        <w:t xml:space="preserve"> 39</w:t>
      </w:r>
      <w:r w:rsidRPr="004A784D">
        <w:rPr>
          <w:b/>
          <w:noProof/>
          <w:color w:val="000000"/>
          <w:sz w:val="22"/>
        </w:rPr>
        <w:t>,</w:t>
      </w:r>
      <w:r w:rsidRPr="004A784D">
        <w:rPr>
          <w:noProof/>
          <w:color w:val="000000"/>
          <w:sz w:val="22"/>
        </w:rPr>
        <w:t xml:space="preserve"> 365-79, table of contents.</w:t>
      </w:r>
      <w:bookmarkEnd w:id="2423"/>
    </w:p>
    <w:p w:rsidR="004A784D" w:rsidRPr="004A784D" w:rsidRDefault="004A784D" w:rsidP="004A784D">
      <w:pPr>
        <w:spacing w:after="240"/>
        <w:jc w:val="both"/>
        <w:rPr>
          <w:noProof/>
          <w:color w:val="000000"/>
          <w:sz w:val="22"/>
        </w:rPr>
      </w:pPr>
      <w:bookmarkStart w:id="2424" w:name="_ENREF_174"/>
      <w:r w:rsidRPr="004A784D">
        <w:rPr>
          <w:noProof/>
          <w:color w:val="000000"/>
          <w:sz w:val="22"/>
        </w:rPr>
        <w:lastRenderedPageBreak/>
        <w:t xml:space="preserve">HICKS, L. K., HAYNES, A. E., REECE, D. E., WALKER, I. R., HERST, J. A., MEYER, R. M. &amp; IMRIE, K. 2008. A meta-analysis and systematic review of thalidomide for patients with previously untreated multiple myeloma. </w:t>
      </w:r>
      <w:r w:rsidRPr="004A784D">
        <w:rPr>
          <w:i/>
          <w:noProof/>
          <w:color w:val="000000"/>
          <w:sz w:val="22"/>
        </w:rPr>
        <w:t>Cancer Treat Rev,</w:t>
      </w:r>
      <w:r w:rsidRPr="004A784D">
        <w:rPr>
          <w:noProof/>
          <w:color w:val="000000"/>
          <w:sz w:val="22"/>
        </w:rPr>
        <w:t xml:space="preserve"> 34</w:t>
      </w:r>
      <w:r w:rsidRPr="004A784D">
        <w:rPr>
          <w:b/>
          <w:noProof/>
          <w:color w:val="000000"/>
          <w:sz w:val="22"/>
        </w:rPr>
        <w:t>,</w:t>
      </w:r>
      <w:r w:rsidRPr="004A784D">
        <w:rPr>
          <w:noProof/>
          <w:color w:val="000000"/>
          <w:sz w:val="22"/>
        </w:rPr>
        <w:t xml:space="preserve"> 442-52.</w:t>
      </w:r>
      <w:bookmarkEnd w:id="2424"/>
    </w:p>
    <w:p w:rsidR="004A784D" w:rsidRPr="004A784D" w:rsidRDefault="004A784D" w:rsidP="004A784D">
      <w:pPr>
        <w:spacing w:after="240"/>
        <w:jc w:val="both"/>
        <w:rPr>
          <w:noProof/>
          <w:color w:val="000000"/>
          <w:sz w:val="22"/>
        </w:rPr>
      </w:pPr>
      <w:bookmarkStart w:id="2425" w:name="_ENREF_175"/>
      <w:r w:rsidRPr="004A784D">
        <w:rPr>
          <w:noProof/>
          <w:color w:val="000000"/>
          <w:sz w:val="22"/>
        </w:rPr>
        <w:t xml:space="preserve">HIGGINS, R. A., BLANKENSHIP, J. E. &amp; KINNEY, M. C. 2008. Application of immunohistochemistry in the diagnosis of non-Hodgkin and Hodgkin lymphoma. </w:t>
      </w:r>
      <w:r w:rsidRPr="004A784D">
        <w:rPr>
          <w:i/>
          <w:noProof/>
          <w:color w:val="000000"/>
          <w:sz w:val="22"/>
        </w:rPr>
        <w:t>Arch Pathol Lab Med,</w:t>
      </w:r>
      <w:r w:rsidRPr="004A784D">
        <w:rPr>
          <w:noProof/>
          <w:color w:val="000000"/>
          <w:sz w:val="22"/>
        </w:rPr>
        <w:t xml:space="preserve"> 132</w:t>
      </w:r>
      <w:r w:rsidRPr="004A784D">
        <w:rPr>
          <w:b/>
          <w:noProof/>
          <w:color w:val="000000"/>
          <w:sz w:val="22"/>
        </w:rPr>
        <w:t>,</w:t>
      </w:r>
      <w:r w:rsidRPr="004A784D">
        <w:rPr>
          <w:noProof/>
          <w:color w:val="000000"/>
          <w:sz w:val="22"/>
        </w:rPr>
        <w:t xml:space="preserve"> 441-61.</w:t>
      </w:r>
      <w:bookmarkEnd w:id="2425"/>
    </w:p>
    <w:p w:rsidR="004A784D" w:rsidRPr="004A784D" w:rsidRDefault="004A784D" w:rsidP="004A784D">
      <w:pPr>
        <w:spacing w:after="240"/>
        <w:jc w:val="both"/>
        <w:rPr>
          <w:noProof/>
          <w:color w:val="000000"/>
          <w:sz w:val="22"/>
        </w:rPr>
      </w:pPr>
      <w:bookmarkStart w:id="2426" w:name="_ENREF_176"/>
      <w:r w:rsidRPr="004A784D">
        <w:rPr>
          <w:noProof/>
          <w:color w:val="000000"/>
          <w:sz w:val="22"/>
        </w:rPr>
        <w:t xml:space="preserve">HIROMURA, K. &amp; NOJIMA, Y. 2007. [Renal disease in multiple myeloma]. </w:t>
      </w:r>
      <w:r w:rsidRPr="004A784D">
        <w:rPr>
          <w:i/>
          <w:noProof/>
          <w:color w:val="000000"/>
          <w:sz w:val="22"/>
        </w:rPr>
        <w:t>Nippon Rinsho,</w:t>
      </w:r>
      <w:r w:rsidRPr="004A784D">
        <w:rPr>
          <w:noProof/>
          <w:color w:val="000000"/>
          <w:sz w:val="22"/>
        </w:rPr>
        <w:t xml:space="preserve"> 65</w:t>
      </w:r>
      <w:r w:rsidRPr="004A784D">
        <w:rPr>
          <w:b/>
          <w:noProof/>
          <w:color w:val="000000"/>
          <w:sz w:val="22"/>
        </w:rPr>
        <w:t>,</w:t>
      </w:r>
      <w:r w:rsidRPr="004A784D">
        <w:rPr>
          <w:noProof/>
          <w:color w:val="000000"/>
          <w:sz w:val="22"/>
        </w:rPr>
        <w:t xml:space="preserve"> 2229-34.</w:t>
      </w:r>
      <w:bookmarkEnd w:id="2426"/>
    </w:p>
    <w:p w:rsidR="004A784D" w:rsidRPr="004A784D" w:rsidRDefault="004A784D" w:rsidP="004A784D">
      <w:pPr>
        <w:spacing w:after="240"/>
        <w:jc w:val="both"/>
        <w:rPr>
          <w:noProof/>
          <w:color w:val="000000"/>
          <w:sz w:val="22"/>
        </w:rPr>
      </w:pPr>
      <w:bookmarkStart w:id="2427" w:name="_ENREF_177"/>
      <w:r w:rsidRPr="004A784D">
        <w:rPr>
          <w:noProof/>
          <w:color w:val="000000"/>
          <w:sz w:val="22"/>
        </w:rPr>
        <w:t xml:space="preserve">HOFMANN, B. 2009. Broadening consent--and diluting ethics? </w:t>
      </w:r>
      <w:r w:rsidRPr="004A784D">
        <w:rPr>
          <w:i/>
          <w:noProof/>
          <w:color w:val="000000"/>
          <w:sz w:val="22"/>
        </w:rPr>
        <w:t>J Med Ethics,</w:t>
      </w:r>
      <w:r w:rsidRPr="004A784D">
        <w:rPr>
          <w:noProof/>
          <w:color w:val="000000"/>
          <w:sz w:val="22"/>
        </w:rPr>
        <w:t xml:space="preserve"> 35</w:t>
      </w:r>
      <w:r w:rsidRPr="004A784D">
        <w:rPr>
          <w:b/>
          <w:noProof/>
          <w:color w:val="000000"/>
          <w:sz w:val="22"/>
        </w:rPr>
        <w:t>,</w:t>
      </w:r>
      <w:r w:rsidRPr="004A784D">
        <w:rPr>
          <w:noProof/>
          <w:color w:val="000000"/>
          <w:sz w:val="22"/>
        </w:rPr>
        <w:t xml:space="preserve"> 125-9.</w:t>
      </w:r>
      <w:bookmarkEnd w:id="2427"/>
    </w:p>
    <w:p w:rsidR="004A784D" w:rsidRPr="004A784D" w:rsidRDefault="004A784D" w:rsidP="004A784D">
      <w:pPr>
        <w:spacing w:after="240"/>
        <w:jc w:val="both"/>
        <w:rPr>
          <w:noProof/>
          <w:color w:val="000000"/>
          <w:sz w:val="22"/>
        </w:rPr>
      </w:pPr>
      <w:bookmarkStart w:id="2428" w:name="_ENREF_178"/>
      <w:r w:rsidRPr="004A784D">
        <w:rPr>
          <w:noProof/>
          <w:color w:val="000000"/>
          <w:sz w:val="22"/>
        </w:rPr>
        <w:t xml:space="preserve">HOKAMP, H. G. &amp; GRUNDMANN, E. 1983. Histological grading and clinical staging of plasmacytoma. </w:t>
      </w:r>
      <w:r w:rsidRPr="004A784D">
        <w:rPr>
          <w:i/>
          <w:noProof/>
          <w:color w:val="000000"/>
          <w:sz w:val="22"/>
        </w:rPr>
        <w:t>J Cancer Res Clin Oncol,</w:t>
      </w:r>
      <w:r w:rsidRPr="004A784D">
        <w:rPr>
          <w:noProof/>
          <w:color w:val="000000"/>
          <w:sz w:val="22"/>
        </w:rPr>
        <w:t xml:space="preserve"> 105</w:t>
      </w:r>
      <w:r w:rsidRPr="004A784D">
        <w:rPr>
          <w:b/>
          <w:noProof/>
          <w:color w:val="000000"/>
          <w:sz w:val="22"/>
        </w:rPr>
        <w:t>,</w:t>
      </w:r>
      <w:r w:rsidRPr="004A784D">
        <w:rPr>
          <w:noProof/>
          <w:color w:val="000000"/>
          <w:sz w:val="22"/>
        </w:rPr>
        <w:t xml:space="preserve"> 197-8.</w:t>
      </w:r>
      <w:bookmarkEnd w:id="2428"/>
    </w:p>
    <w:p w:rsidR="004A784D" w:rsidRPr="004A784D" w:rsidRDefault="004A784D" w:rsidP="004A784D">
      <w:pPr>
        <w:spacing w:after="240"/>
        <w:jc w:val="both"/>
        <w:rPr>
          <w:noProof/>
          <w:color w:val="000000"/>
          <w:sz w:val="22"/>
        </w:rPr>
      </w:pPr>
      <w:bookmarkStart w:id="2429" w:name="_ENREF_179"/>
      <w:r w:rsidRPr="004A784D">
        <w:rPr>
          <w:noProof/>
          <w:color w:val="000000"/>
          <w:sz w:val="22"/>
        </w:rPr>
        <w:t xml:space="preserve">HOLLAND, M., CASTRO, F. V., ALEXANDER, S., SMITH, D., LIU, J., WALKER, M., BITTON, D., MULRYAN, K., ASHTON, G., BLAYLOCK, M., BAGLEY, S., CONNOLLY, Y., BRIDGEMAN, J., MILLER, C., KRISHNAN, S., DEMPSEY, C., MASUREKAR, A., STERN, P., WHETTON, A. &amp; SAHA, V. 2011. RAC2, AEP, and ICAM1 expression are associated with CNS disease in a mouse model of pre-B childhood acute lymphoblastic leukemia. </w:t>
      </w:r>
      <w:r w:rsidRPr="004A784D">
        <w:rPr>
          <w:i/>
          <w:noProof/>
          <w:color w:val="000000"/>
          <w:sz w:val="22"/>
        </w:rPr>
        <w:t>Blood,</w:t>
      </w:r>
      <w:r w:rsidRPr="004A784D">
        <w:rPr>
          <w:noProof/>
          <w:color w:val="000000"/>
          <w:sz w:val="22"/>
        </w:rPr>
        <w:t xml:space="preserve"> 118</w:t>
      </w:r>
      <w:r w:rsidRPr="004A784D">
        <w:rPr>
          <w:b/>
          <w:noProof/>
          <w:color w:val="000000"/>
          <w:sz w:val="22"/>
        </w:rPr>
        <w:t>,</w:t>
      </w:r>
      <w:r w:rsidRPr="004A784D">
        <w:rPr>
          <w:noProof/>
          <w:color w:val="000000"/>
          <w:sz w:val="22"/>
        </w:rPr>
        <w:t xml:space="preserve"> 638-49.</w:t>
      </w:r>
      <w:bookmarkEnd w:id="2429"/>
    </w:p>
    <w:p w:rsidR="004A784D" w:rsidRPr="004A784D" w:rsidRDefault="004A784D" w:rsidP="004A784D">
      <w:pPr>
        <w:spacing w:after="240"/>
        <w:jc w:val="both"/>
        <w:rPr>
          <w:noProof/>
          <w:color w:val="000000"/>
          <w:sz w:val="22"/>
        </w:rPr>
      </w:pPr>
      <w:bookmarkStart w:id="2430" w:name="_ENREF_180"/>
      <w:r w:rsidRPr="004A784D">
        <w:rPr>
          <w:noProof/>
          <w:color w:val="000000"/>
          <w:sz w:val="22"/>
        </w:rPr>
        <w:t xml:space="preserve">HOTTA, T. 2007. [Classification, staging and prognostic indices for multiple myeloma]. </w:t>
      </w:r>
      <w:r w:rsidRPr="004A784D">
        <w:rPr>
          <w:i/>
          <w:noProof/>
          <w:color w:val="000000"/>
          <w:sz w:val="22"/>
        </w:rPr>
        <w:t>Nippon Rinsho,</w:t>
      </w:r>
      <w:r w:rsidRPr="004A784D">
        <w:rPr>
          <w:noProof/>
          <w:color w:val="000000"/>
          <w:sz w:val="22"/>
        </w:rPr>
        <w:t xml:space="preserve"> 65</w:t>
      </w:r>
      <w:r w:rsidRPr="004A784D">
        <w:rPr>
          <w:b/>
          <w:noProof/>
          <w:color w:val="000000"/>
          <w:sz w:val="22"/>
        </w:rPr>
        <w:t>,</w:t>
      </w:r>
      <w:r w:rsidRPr="004A784D">
        <w:rPr>
          <w:noProof/>
          <w:color w:val="000000"/>
          <w:sz w:val="22"/>
        </w:rPr>
        <w:t xml:space="preserve"> 2161-6.</w:t>
      </w:r>
      <w:bookmarkEnd w:id="2430"/>
    </w:p>
    <w:p w:rsidR="004A784D" w:rsidRPr="004A784D" w:rsidRDefault="004A784D" w:rsidP="004A784D">
      <w:pPr>
        <w:spacing w:after="240"/>
        <w:jc w:val="both"/>
        <w:rPr>
          <w:noProof/>
          <w:color w:val="000000"/>
          <w:sz w:val="22"/>
        </w:rPr>
      </w:pPr>
      <w:bookmarkStart w:id="2431" w:name="_ENREF_181"/>
      <w:r w:rsidRPr="004A784D">
        <w:rPr>
          <w:noProof/>
          <w:color w:val="000000"/>
          <w:sz w:val="22"/>
        </w:rPr>
        <w:t xml:space="preserve">HOU, J. 2009. [Diagnosis and treatment in complication of multiple myeloma]. </w:t>
      </w:r>
      <w:r w:rsidRPr="004A784D">
        <w:rPr>
          <w:i/>
          <w:noProof/>
          <w:color w:val="000000"/>
          <w:sz w:val="22"/>
        </w:rPr>
        <w:t>Zhejiang Da Xue Xue Bao Yi Xue Ban,</w:t>
      </w:r>
      <w:r w:rsidRPr="004A784D">
        <w:rPr>
          <w:noProof/>
          <w:color w:val="000000"/>
          <w:sz w:val="22"/>
        </w:rPr>
        <w:t xml:space="preserve"> 38</w:t>
      </w:r>
      <w:r w:rsidRPr="004A784D">
        <w:rPr>
          <w:b/>
          <w:noProof/>
          <w:color w:val="000000"/>
          <w:sz w:val="22"/>
        </w:rPr>
        <w:t>,</w:t>
      </w:r>
      <w:r w:rsidRPr="004A784D">
        <w:rPr>
          <w:noProof/>
          <w:color w:val="000000"/>
          <w:sz w:val="22"/>
        </w:rPr>
        <w:t xml:space="preserve"> 437-8.</w:t>
      </w:r>
      <w:bookmarkEnd w:id="2431"/>
    </w:p>
    <w:p w:rsidR="004A784D" w:rsidRPr="004A784D" w:rsidRDefault="004A784D" w:rsidP="004A784D">
      <w:pPr>
        <w:spacing w:after="240"/>
        <w:jc w:val="both"/>
        <w:rPr>
          <w:noProof/>
          <w:color w:val="000000"/>
          <w:sz w:val="22"/>
        </w:rPr>
      </w:pPr>
      <w:bookmarkStart w:id="2432" w:name="_ENREF_182"/>
      <w:r w:rsidRPr="004A784D">
        <w:rPr>
          <w:noProof/>
          <w:color w:val="000000"/>
          <w:sz w:val="22"/>
        </w:rPr>
        <w:t xml:space="preserve">HOU, L., QIAN, M. P., ZHU, Y. P. &amp; DENG, M. H. 2009. [Advances on bioinformatic research in transcription factor binding sites]. </w:t>
      </w:r>
      <w:r w:rsidRPr="004A784D">
        <w:rPr>
          <w:i/>
          <w:noProof/>
          <w:color w:val="000000"/>
          <w:sz w:val="22"/>
        </w:rPr>
        <w:t>Yi Chuan,</w:t>
      </w:r>
      <w:r w:rsidRPr="004A784D">
        <w:rPr>
          <w:noProof/>
          <w:color w:val="000000"/>
          <w:sz w:val="22"/>
        </w:rPr>
        <w:t xml:space="preserve"> 31</w:t>
      </w:r>
      <w:r w:rsidRPr="004A784D">
        <w:rPr>
          <w:b/>
          <w:noProof/>
          <w:color w:val="000000"/>
          <w:sz w:val="22"/>
        </w:rPr>
        <w:t>,</w:t>
      </w:r>
      <w:r w:rsidRPr="004A784D">
        <w:rPr>
          <w:noProof/>
          <w:color w:val="000000"/>
          <w:sz w:val="22"/>
        </w:rPr>
        <w:t xml:space="preserve"> 365-73.</w:t>
      </w:r>
      <w:bookmarkEnd w:id="2432"/>
    </w:p>
    <w:p w:rsidR="004A784D" w:rsidRPr="004A784D" w:rsidRDefault="004A784D" w:rsidP="004A784D">
      <w:pPr>
        <w:spacing w:after="240"/>
        <w:jc w:val="both"/>
        <w:rPr>
          <w:noProof/>
          <w:color w:val="000000"/>
          <w:sz w:val="22"/>
        </w:rPr>
      </w:pPr>
      <w:bookmarkStart w:id="2433" w:name="_ENREF_183"/>
      <w:r w:rsidRPr="004A784D">
        <w:rPr>
          <w:noProof/>
          <w:color w:val="000000"/>
          <w:sz w:val="22"/>
        </w:rPr>
        <w:t xml:space="preserve">HRNCIARIKOVA, D., HYSPLER, R., VYROUBAL, P., KLEMERA, P., HRONEK, M. &amp; ZADAK, Z. 2009. Serum lipids and neopterin in urine as new biomarkers of malnutrition and inflammation in the elderly. </w:t>
      </w:r>
      <w:r w:rsidRPr="004A784D">
        <w:rPr>
          <w:i/>
          <w:noProof/>
          <w:color w:val="000000"/>
          <w:sz w:val="22"/>
        </w:rPr>
        <w:t>Nutrition,</w:t>
      </w:r>
      <w:r w:rsidRPr="004A784D">
        <w:rPr>
          <w:noProof/>
          <w:color w:val="000000"/>
          <w:sz w:val="22"/>
        </w:rPr>
        <w:t xml:space="preserve"> 25</w:t>
      </w:r>
      <w:r w:rsidRPr="004A784D">
        <w:rPr>
          <w:b/>
          <w:noProof/>
          <w:color w:val="000000"/>
          <w:sz w:val="22"/>
        </w:rPr>
        <w:t>,</w:t>
      </w:r>
      <w:r w:rsidRPr="004A784D">
        <w:rPr>
          <w:noProof/>
          <w:color w:val="000000"/>
          <w:sz w:val="22"/>
        </w:rPr>
        <w:t xml:space="preserve"> 303-8.</w:t>
      </w:r>
      <w:bookmarkEnd w:id="2433"/>
    </w:p>
    <w:p w:rsidR="004A784D" w:rsidRPr="004A784D" w:rsidRDefault="004A784D" w:rsidP="004A784D">
      <w:pPr>
        <w:spacing w:after="240"/>
        <w:jc w:val="both"/>
        <w:rPr>
          <w:noProof/>
          <w:color w:val="000000"/>
          <w:sz w:val="22"/>
        </w:rPr>
      </w:pPr>
      <w:bookmarkStart w:id="2434" w:name="_ENREF_184"/>
      <w:r w:rsidRPr="004A784D">
        <w:rPr>
          <w:noProof/>
          <w:color w:val="000000"/>
          <w:sz w:val="22"/>
        </w:rPr>
        <w:t xml:space="preserve">HUANG, H. L., STASYK, T., MORANDELL, S., DIEPLINGER, H., FALKENSAMMER, G., GRIESMACHER, A., MOGG, M., SCHREIBER, M., FEUERSTEIN, I., HUCK, C. W., STECHER, G., BONN, G. K. &amp; HUBER, L. A. 2006. Biomarker discovery in breast cancer serum using 2-D differential gel electrophoresis/ MALDI-TOF/TOF and data validation by routine clinical assays. </w:t>
      </w:r>
      <w:r w:rsidRPr="004A784D">
        <w:rPr>
          <w:i/>
          <w:noProof/>
          <w:color w:val="000000"/>
          <w:sz w:val="22"/>
        </w:rPr>
        <w:t>Electrophoresis,</w:t>
      </w:r>
      <w:r w:rsidRPr="004A784D">
        <w:rPr>
          <w:noProof/>
          <w:color w:val="000000"/>
          <w:sz w:val="22"/>
        </w:rPr>
        <w:t xml:space="preserve"> 27</w:t>
      </w:r>
      <w:r w:rsidRPr="004A784D">
        <w:rPr>
          <w:b/>
          <w:noProof/>
          <w:color w:val="000000"/>
          <w:sz w:val="22"/>
        </w:rPr>
        <w:t>,</w:t>
      </w:r>
      <w:r w:rsidRPr="004A784D">
        <w:rPr>
          <w:noProof/>
          <w:color w:val="000000"/>
          <w:sz w:val="22"/>
        </w:rPr>
        <w:t xml:space="preserve"> 1641-50.</w:t>
      </w:r>
      <w:bookmarkEnd w:id="2434"/>
    </w:p>
    <w:p w:rsidR="004A784D" w:rsidRPr="004A784D" w:rsidRDefault="004A784D" w:rsidP="004A784D">
      <w:pPr>
        <w:spacing w:after="240"/>
        <w:jc w:val="both"/>
        <w:rPr>
          <w:noProof/>
          <w:color w:val="000000"/>
          <w:sz w:val="22"/>
        </w:rPr>
      </w:pPr>
      <w:bookmarkStart w:id="2435" w:name="_ENREF_185"/>
      <w:r w:rsidRPr="004A784D">
        <w:rPr>
          <w:noProof/>
          <w:color w:val="000000"/>
          <w:sz w:val="22"/>
        </w:rPr>
        <w:t xml:space="preserve">HUANG, J. T., WANG, L., PRABAKARAN, S., WENGENROTH, M., LOCKSTONE, H. E., KOETHE, D., GERTH, C. W., GROSS, S., SCHREIBER, D., LILLEY, K., WAYLAND, M., OXLEY, D., LEWEKE, F. M. &amp; BAHN, S. 2008. Independent protein-profiling studies show a decrease in apolipoprotein A1 levels in schizophrenia CSF, brain and peripheral tissues. </w:t>
      </w:r>
      <w:r w:rsidRPr="004A784D">
        <w:rPr>
          <w:i/>
          <w:noProof/>
          <w:color w:val="000000"/>
          <w:sz w:val="22"/>
        </w:rPr>
        <w:t>Mol Psychiatry,</w:t>
      </w:r>
      <w:r w:rsidRPr="004A784D">
        <w:rPr>
          <w:noProof/>
          <w:color w:val="000000"/>
          <w:sz w:val="22"/>
        </w:rPr>
        <w:t xml:space="preserve"> 13</w:t>
      </w:r>
      <w:r w:rsidRPr="004A784D">
        <w:rPr>
          <w:b/>
          <w:noProof/>
          <w:color w:val="000000"/>
          <w:sz w:val="22"/>
        </w:rPr>
        <w:t>,</w:t>
      </w:r>
      <w:r w:rsidRPr="004A784D">
        <w:rPr>
          <w:noProof/>
          <w:color w:val="000000"/>
          <w:sz w:val="22"/>
        </w:rPr>
        <w:t xml:space="preserve"> 1118-28.</w:t>
      </w:r>
      <w:bookmarkEnd w:id="2435"/>
    </w:p>
    <w:p w:rsidR="004A784D" w:rsidRPr="004A784D" w:rsidRDefault="004A784D" w:rsidP="004A784D">
      <w:pPr>
        <w:spacing w:after="240"/>
        <w:jc w:val="both"/>
        <w:rPr>
          <w:noProof/>
          <w:color w:val="000000"/>
          <w:sz w:val="22"/>
        </w:rPr>
      </w:pPr>
      <w:bookmarkStart w:id="2436" w:name="_ENREF_186"/>
      <w:r w:rsidRPr="004A784D">
        <w:rPr>
          <w:noProof/>
          <w:color w:val="000000"/>
          <w:sz w:val="22"/>
        </w:rPr>
        <w:t xml:space="preserve">HUDLER, P., GORSIC, M. &amp; KOMEL, R. 2010. Proteomic strategies and challenges in tumor metastasis research. </w:t>
      </w:r>
      <w:r w:rsidRPr="004A784D">
        <w:rPr>
          <w:i/>
          <w:noProof/>
          <w:color w:val="000000"/>
          <w:sz w:val="22"/>
        </w:rPr>
        <w:t>Clin Exp Metastasis,</w:t>
      </w:r>
      <w:r w:rsidRPr="004A784D">
        <w:rPr>
          <w:noProof/>
          <w:color w:val="000000"/>
          <w:sz w:val="22"/>
        </w:rPr>
        <w:t xml:space="preserve"> 27</w:t>
      </w:r>
      <w:r w:rsidRPr="004A784D">
        <w:rPr>
          <w:b/>
          <w:noProof/>
          <w:color w:val="000000"/>
          <w:sz w:val="22"/>
        </w:rPr>
        <w:t>,</w:t>
      </w:r>
      <w:r w:rsidRPr="004A784D">
        <w:rPr>
          <w:noProof/>
          <w:color w:val="000000"/>
          <w:sz w:val="22"/>
        </w:rPr>
        <w:t xml:space="preserve"> 441-51.</w:t>
      </w:r>
      <w:bookmarkEnd w:id="2436"/>
    </w:p>
    <w:p w:rsidR="004A784D" w:rsidRPr="004A784D" w:rsidRDefault="004A784D" w:rsidP="004A784D">
      <w:pPr>
        <w:spacing w:after="240"/>
        <w:jc w:val="both"/>
        <w:rPr>
          <w:noProof/>
          <w:color w:val="000000"/>
          <w:sz w:val="22"/>
        </w:rPr>
      </w:pPr>
      <w:bookmarkStart w:id="2437" w:name="_ENREF_187"/>
      <w:r w:rsidRPr="004A784D">
        <w:rPr>
          <w:noProof/>
          <w:color w:val="000000"/>
          <w:sz w:val="22"/>
        </w:rPr>
        <w:t xml:space="preserve">HUGHES, M. &amp; SOUTAR, R. L. 2005. Advances in the management of myeloma. </w:t>
      </w:r>
      <w:r w:rsidRPr="004A784D">
        <w:rPr>
          <w:i/>
          <w:noProof/>
          <w:color w:val="000000"/>
          <w:sz w:val="22"/>
        </w:rPr>
        <w:t>Scott Med J,</w:t>
      </w:r>
      <w:r w:rsidRPr="004A784D">
        <w:rPr>
          <w:noProof/>
          <w:color w:val="000000"/>
          <w:sz w:val="22"/>
        </w:rPr>
        <w:t xml:space="preserve"> 50</w:t>
      </w:r>
      <w:r w:rsidRPr="004A784D">
        <w:rPr>
          <w:b/>
          <w:noProof/>
          <w:color w:val="000000"/>
          <w:sz w:val="22"/>
        </w:rPr>
        <w:t>,</w:t>
      </w:r>
      <w:r w:rsidRPr="004A784D">
        <w:rPr>
          <w:noProof/>
          <w:color w:val="000000"/>
          <w:sz w:val="22"/>
        </w:rPr>
        <w:t xml:space="preserve"> 47-50.</w:t>
      </w:r>
      <w:bookmarkEnd w:id="2437"/>
    </w:p>
    <w:p w:rsidR="004A784D" w:rsidRPr="004A784D" w:rsidRDefault="004A784D" w:rsidP="004A784D">
      <w:pPr>
        <w:spacing w:after="240"/>
        <w:jc w:val="both"/>
        <w:rPr>
          <w:noProof/>
          <w:color w:val="000000"/>
          <w:sz w:val="22"/>
        </w:rPr>
      </w:pPr>
      <w:bookmarkStart w:id="2438" w:name="_ENREF_188"/>
      <w:r w:rsidRPr="004A784D">
        <w:rPr>
          <w:noProof/>
          <w:color w:val="000000"/>
          <w:sz w:val="22"/>
        </w:rPr>
        <w:t xml:space="preserve">HUSSEIN, M. A., BOLEJACK, V., ZONDER, J. A., DURIE, B. G., JAKUBOWIAK, A. J., CROWLEY, J. J. &amp; BARLOGIE, B. 2009. Phase II study of thalidomide plus </w:t>
      </w:r>
      <w:r w:rsidRPr="004A784D">
        <w:rPr>
          <w:noProof/>
          <w:color w:val="000000"/>
          <w:sz w:val="22"/>
        </w:rPr>
        <w:lastRenderedPageBreak/>
        <w:t xml:space="preserve">dexamethasone induction followed by tandem melphalan-based autotransplantation and thalidomide-plus-prednisone maintenance for untreated multiple myeloma: a southwest oncology group trial (S0204). </w:t>
      </w:r>
      <w:r w:rsidRPr="004A784D">
        <w:rPr>
          <w:i/>
          <w:noProof/>
          <w:color w:val="000000"/>
          <w:sz w:val="22"/>
        </w:rPr>
        <w:t>J Clin Oncol,</w:t>
      </w:r>
      <w:r w:rsidRPr="004A784D">
        <w:rPr>
          <w:noProof/>
          <w:color w:val="000000"/>
          <w:sz w:val="22"/>
        </w:rPr>
        <w:t xml:space="preserve"> 27</w:t>
      </w:r>
      <w:r w:rsidRPr="004A784D">
        <w:rPr>
          <w:b/>
          <w:noProof/>
          <w:color w:val="000000"/>
          <w:sz w:val="22"/>
        </w:rPr>
        <w:t>,</w:t>
      </w:r>
      <w:r w:rsidRPr="004A784D">
        <w:rPr>
          <w:noProof/>
          <w:color w:val="000000"/>
          <w:sz w:val="22"/>
        </w:rPr>
        <w:t xml:space="preserve"> 3510-7.</w:t>
      </w:r>
      <w:bookmarkEnd w:id="2438"/>
    </w:p>
    <w:p w:rsidR="004A784D" w:rsidRPr="004A784D" w:rsidRDefault="004A784D" w:rsidP="004A784D">
      <w:pPr>
        <w:spacing w:after="240"/>
        <w:jc w:val="both"/>
        <w:rPr>
          <w:noProof/>
          <w:color w:val="000000"/>
          <w:sz w:val="22"/>
        </w:rPr>
      </w:pPr>
      <w:bookmarkStart w:id="2439" w:name="_ENREF_189"/>
      <w:r w:rsidRPr="004A784D">
        <w:rPr>
          <w:noProof/>
          <w:color w:val="000000"/>
          <w:sz w:val="22"/>
        </w:rPr>
        <w:t xml:space="preserve">JACOBS, J. M., ADKINS, J. N., QIAN, W. J., LIU, T., SHEN, Y., CAMP, D. G., 2ND &amp; SMITH, R. D. 2005. Utilizing human blood plasma for proteomic biomarker discovery. </w:t>
      </w:r>
      <w:r w:rsidRPr="004A784D">
        <w:rPr>
          <w:i/>
          <w:noProof/>
          <w:color w:val="000000"/>
          <w:sz w:val="22"/>
        </w:rPr>
        <w:t>J Proteome Res,</w:t>
      </w:r>
      <w:r w:rsidRPr="004A784D">
        <w:rPr>
          <w:noProof/>
          <w:color w:val="000000"/>
          <w:sz w:val="22"/>
        </w:rPr>
        <w:t xml:space="preserve"> 4</w:t>
      </w:r>
      <w:r w:rsidRPr="004A784D">
        <w:rPr>
          <w:b/>
          <w:noProof/>
          <w:color w:val="000000"/>
          <w:sz w:val="22"/>
        </w:rPr>
        <w:t>,</w:t>
      </w:r>
      <w:r w:rsidRPr="004A784D">
        <w:rPr>
          <w:noProof/>
          <w:color w:val="000000"/>
          <w:sz w:val="22"/>
        </w:rPr>
        <w:t xml:space="preserve"> 1073-85.</w:t>
      </w:r>
      <w:bookmarkEnd w:id="2439"/>
    </w:p>
    <w:p w:rsidR="004A784D" w:rsidRPr="004A784D" w:rsidRDefault="004A784D" w:rsidP="004A784D">
      <w:pPr>
        <w:spacing w:after="240"/>
        <w:jc w:val="both"/>
        <w:rPr>
          <w:noProof/>
          <w:color w:val="000000"/>
          <w:sz w:val="22"/>
        </w:rPr>
      </w:pPr>
      <w:bookmarkStart w:id="2440" w:name="_ENREF_190"/>
      <w:r w:rsidRPr="004A784D">
        <w:rPr>
          <w:noProof/>
          <w:color w:val="000000"/>
          <w:sz w:val="22"/>
        </w:rPr>
        <w:t xml:space="preserve">JEWETT, H. J. 1977. The historical development of the staging of bladder tumors: personal reminiscences. </w:t>
      </w:r>
      <w:r w:rsidRPr="004A784D">
        <w:rPr>
          <w:i/>
          <w:noProof/>
          <w:color w:val="000000"/>
          <w:sz w:val="22"/>
        </w:rPr>
        <w:t>Urol Surv,</w:t>
      </w:r>
      <w:r w:rsidRPr="004A784D">
        <w:rPr>
          <w:noProof/>
          <w:color w:val="000000"/>
          <w:sz w:val="22"/>
        </w:rPr>
        <w:t xml:space="preserve"> 27</w:t>
      </w:r>
      <w:r w:rsidRPr="004A784D">
        <w:rPr>
          <w:b/>
          <w:noProof/>
          <w:color w:val="000000"/>
          <w:sz w:val="22"/>
        </w:rPr>
        <w:t>,</w:t>
      </w:r>
      <w:r w:rsidRPr="004A784D">
        <w:rPr>
          <w:noProof/>
          <w:color w:val="000000"/>
          <w:sz w:val="22"/>
        </w:rPr>
        <w:t xml:space="preserve"> 37-40.</w:t>
      </w:r>
      <w:bookmarkEnd w:id="2440"/>
    </w:p>
    <w:p w:rsidR="004A784D" w:rsidRPr="004A784D" w:rsidRDefault="004A784D" w:rsidP="004A784D">
      <w:pPr>
        <w:spacing w:after="240"/>
        <w:jc w:val="both"/>
        <w:rPr>
          <w:noProof/>
          <w:color w:val="000000"/>
          <w:sz w:val="22"/>
        </w:rPr>
      </w:pPr>
      <w:bookmarkStart w:id="2441" w:name="_ENREF_191"/>
      <w:r w:rsidRPr="004A784D">
        <w:rPr>
          <w:noProof/>
          <w:color w:val="000000"/>
          <w:sz w:val="22"/>
        </w:rPr>
        <w:t xml:space="preserve">JIANG, X., SAW, K. M., EAVES, A. &amp; EAVES, C. 2007. Instability of BCR-ABL gene in primary and cultured chronic myeloid leukemia stem cells. </w:t>
      </w:r>
      <w:r w:rsidRPr="004A784D">
        <w:rPr>
          <w:i/>
          <w:noProof/>
          <w:color w:val="000000"/>
          <w:sz w:val="22"/>
        </w:rPr>
        <w:t>J Natl Cancer Inst,</w:t>
      </w:r>
      <w:r w:rsidRPr="004A784D">
        <w:rPr>
          <w:noProof/>
          <w:color w:val="000000"/>
          <w:sz w:val="22"/>
        </w:rPr>
        <w:t xml:space="preserve"> 99</w:t>
      </w:r>
      <w:r w:rsidRPr="004A784D">
        <w:rPr>
          <w:b/>
          <w:noProof/>
          <w:color w:val="000000"/>
          <w:sz w:val="22"/>
        </w:rPr>
        <w:t>,</w:t>
      </w:r>
      <w:r w:rsidRPr="004A784D">
        <w:rPr>
          <w:noProof/>
          <w:color w:val="000000"/>
          <w:sz w:val="22"/>
        </w:rPr>
        <w:t xml:space="preserve"> 680-93.</w:t>
      </w:r>
      <w:bookmarkEnd w:id="2441"/>
    </w:p>
    <w:p w:rsidR="004A784D" w:rsidRPr="004A784D" w:rsidRDefault="004A784D" w:rsidP="004A784D">
      <w:pPr>
        <w:spacing w:after="240"/>
        <w:jc w:val="both"/>
        <w:rPr>
          <w:noProof/>
          <w:color w:val="000000"/>
          <w:sz w:val="22"/>
        </w:rPr>
      </w:pPr>
      <w:bookmarkStart w:id="2442" w:name="_ENREF_192"/>
      <w:r w:rsidRPr="004A784D">
        <w:rPr>
          <w:noProof/>
          <w:color w:val="000000"/>
          <w:sz w:val="22"/>
        </w:rPr>
        <w:t xml:space="preserve">JIMENEZ, C. R., PIERSMA, S. &amp; PHAM, T. V. 2007. High-throughput and targeted in-depth mass spectrometry-based approaches for biofluid profiling and biomarker discovery. </w:t>
      </w:r>
      <w:r w:rsidRPr="004A784D">
        <w:rPr>
          <w:i/>
          <w:noProof/>
          <w:color w:val="000000"/>
          <w:sz w:val="22"/>
        </w:rPr>
        <w:t>Biomark Med,</w:t>
      </w:r>
      <w:r w:rsidRPr="004A784D">
        <w:rPr>
          <w:noProof/>
          <w:color w:val="000000"/>
          <w:sz w:val="22"/>
        </w:rPr>
        <w:t xml:space="preserve"> 1</w:t>
      </w:r>
      <w:r w:rsidRPr="004A784D">
        <w:rPr>
          <w:b/>
          <w:noProof/>
          <w:color w:val="000000"/>
          <w:sz w:val="22"/>
        </w:rPr>
        <w:t>,</w:t>
      </w:r>
      <w:r w:rsidRPr="004A784D">
        <w:rPr>
          <w:noProof/>
          <w:color w:val="000000"/>
          <w:sz w:val="22"/>
        </w:rPr>
        <w:t xml:space="preserve"> 541-65.</w:t>
      </w:r>
      <w:bookmarkEnd w:id="2442"/>
    </w:p>
    <w:p w:rsidR="004A784D" w:rsidRPr="004A784D" w:rsidRDefault="004A784D" w:rsidP="004A784D">
      <w:pPr>
        <w:spacing w:after="240"/>
        <w:jc w:val="both"/>
        <w:rPr>
          <w:noProof/>
          <w:color w:val="000000"/>
          <w:sz w:val="22"/>
        </w:rPr>
      </w:pPr>
      <w:bookmarkStart w:id="2443" w:name="_ENREF_193"/>
      <w:r w:rsidRPr="004A784D">
        <w:rPr>
          <w:noProof/>
          <w:color w:val="000000"/>
          <w:sz w:val="22"/>
        </w:rPr>
        <w:t xml:space="preserve">JOHNSON, R. W., JR., AHMED, T. F., MIESBAUER, L. J., EDALJI, R., SMITH, R., HARLAN, J., DORWIN, S., WALTER, K. &amp; HOLZMAN, T. 2005. Protein fragmentation via liquid chromatography-quadrupole time-of-flight mass spectrometry: the use of limited sequence information in structural characterization. </w:t>
      </w:r>
      <w:r w:rsidRPr="004A784D">
        <w:rPr>
          <w:i/>
          <w:noProof/>
          <w:color w:val="000000"/>
          <w:sz w:val="22"/>
        </w:rPr>
        <w:t>Anal Biochem,</w:t>
      </w:r>
      <w:r w:rsidRPr="004A784D">
        <w:rPr>
          <w:noProof/>
          <w:color w:val="000000"/>
          <w:sz w:val="22"/>
        </w:rPr>
        <w:t xml:space="preserve"> 341</w:t>
      </w:r>
      <w:r w:rsidRPr="004A784D">
        <w:rPr>
          <w:b/>
          <w:noProof/>
          <w:color w:val="000000"/>
          <w:sz w:val="22"/>
        </w:rPr>
        <w:t>,</w:t>
      </w:r>
      <w:r w:rsidRPr="004A784D">
        <w:rPr>
          <w:noProof/>
          <w:color w:val="000000"/>
          <w:sz w:val="22"/>
        </w:rPr>
        <w:t xml:space="preserve"> 22-32.</w:t>
      </w:r>
      <w:bookmarkEnd w:id="2443"/>
    </w:p>
    <w:p w:rsidR="004A784D" w:rsidRPr="004A784D" w:rsidRDefault="004A784D" w:rsidP="004A784D">
      <w:pPr>
        <w:spacing w:after="240"/>
        <w:jc w:val="both"/>
        <w:rPr>
          <w:noProof/>
          <w:color w:val="000000"/>
          <w:sz w:val="22"/>
        </w:rPr>
      </w:pPr>
      <w:bookmarkStart w:id="2444" w:name="_ENREF_194"/>
      <w:r w:rsidRPr="004A784D">
        <w:rPr>
          <w:noProof/>
          <w:color w:val="000000"/>
          <w:sz w:val="22"/>
        </w:rPr>
        <w:t xml:space="preserve">JOHNSTON, R. E. &amp; ABDALLA, S. H. 2002. Thalidomide in low doses is effective for the treatment of resistant or relapsed multiple myeloma and for plasma cell leukaemia. </w:t>
      </w:r>
      <w:r w:rsidRPr="004A784D">
        <w:rPr>
          <w:i/>
          <w:noProof/>
          <w:color w:val="000000"/>
          <w:sz w:val="22"/>
        </w:rPr>
        <w:t>Leuk Lymphoma,</w:t>
      </w:r>
      <w:r w:rsidRPr="004A784D">
        <w:rPr>
          <w:noProof/>
          <w:color w:val="000000"/>
          <w:sz w:val="22"/>
        </w:rPr>
        <w:t xml:space="preserve"> 43</w:t>
      </w:r>
      <w:r w:rsidRPr="004A784D">
        <w:rPr>
          <w:b/>
          <w:noProof/>
          <w:color w:val="000000"/>
          <w:sz w:val="22"/>
        </w:rPr>
        <w:t>,</w:t>
      </w:r>
      <w:r w:rsidRPr="004A784D">
        <w:rPr>
          <w:noProof/>
          <w:color w:val="000000"/>
          <w:sz w:val="22"/>
        </w:rPr>
        <w:t xml:space="preserve"> 351-4.</w:t>
      </w:r>
      <w:bookmarkEnd w:id="2444"/>
    </w:p>
    <w:p w:rsidR="004A784D" w:rsidRPr="004A784D" w:rsidRDefault="004A784D" w:rsidP="004A784D">
      <w:pPr>
        <w:spacing w:after="240"/>
        <w:jc w:val="both"/>
        <w:rPr>
          <w:noProof/>
          <w:color w:val="000000"/>
          <w:sz w:val="22"/>
        </w:rPr>
      </w:pPr>
      <w:bookmarkStart w:id="2445" w:name="_ENREF_195"/>
      <w:r w:rsidRPr="004A784D">
        <w:rPr>
          <w:noProof/>
          <w:color w:val="000000"/>
          <w:sz w:val="22"/>
        </w:rPr>
        <w:t xml:space="preserve">JOUSILAHTI, P., SALOMAA, V., HAKALA, K., RASI, V., VAHTERA, E. &amp; PALOSUO, T. 2002. The association of sensitive systemic inflammation markers with bronchial asthma. </w:t>
      </w:r>
      <w:r w:rsidRPr="004A784D">
        <w:rPr>
          <w:i/>
          <w:noProof/>
          <w:color w:val="000000"/>
          <w:sz w:val="22"/>
        </w:rPr>
        <w:t>Ann Allergy Asthma Immunol,</w:t>
      </w:r>
      <w:r w:rsidRPr="004A784D">
        <w:rPr>
          <w:noProof/>
          <w:color w:val="000000"/>
          <w:sz w:val="22"/>
        </w:rPr>
        <w:t xml:space="preserve"> 89</w:t>
      </w:r>
      <w:r w:rsidRPr="004A784D">
        <w:rPr>
          <w:b/>
          <w:noProof/>
          <w:color w:val="000000"/>
          <w:sz w:val="22"/>
        </w:rPr>
        <w:t>,</w:t>
      </w:r>
      <w:r w:rsidRPr="004A784D">
        <w:rPr>
          <w:noProof/>
          <w:color w:val="000000"/>
          <w:sz w:val="22"/>
        </w:rPr>
        <w:t xml:space="preserve"> 381-5.</w:t>
      </w:r>
      <w:bookmarkEnd w:id="2445"/>
    </w:p>
    <w:p w:rsidR="004A784D" w:rsidRPr="004A784D" w:rsidRDefault="004A784D" w:rsidP="004A784D">
      <w:pPr>
        <w:spacing w:after="240"/>
        <w:jc w:val="both"/>
        <w:rPr>
          <w:noProof/>
          <w:color w:val="000000"/>
          <w:sz w:val="22"/>
        </w:rPr>
      </w:pPr>
      <w:bookmarkStart w:id="2446" w:name="_ENREF_196"/>
      <w:r w:rsidRPr="004A784D">
        <w:rPr>
          <w:noProof/>
          <w:color w:val="000000"/>
          <w:sz w:val="22"/>
        </w:rPr>
        <w:t xml:space="preserve">KALININA, J., PENG, J., RITCHIE, J. C. &amp; VAN MEIR, E. G. 2011. Proteomics of gliomas: initial biomarker discovery and evolution of technology. </w:t>
      </w:r>
      <w:r w:rsidRPr="004A784D">
        <w:rPr>
          <w:i/>
          <w:noProof/>
          <w:color w:val="000000"/>
          <w:sz w:val="22"/>
        </w:rPr>
        <w:t>Neuro Oncol,</w:t>
      </w:r>
      <w:r w:rsidRPr="004A784D">
        <w:rPr>
          <w:noProof/>
          <w:color w:val="000000"/>
          <w:sz w:val="22"/>
        </w:rPr>
        <w:t xml:space="preserve"> 13</w:t>
      </w:r>
      <w:r w:rsidRPr="004A784D">
        <w:rPr>
          <w:b/>
          <w:noProof/>
          <w:color w:val="000000"/>
          <w:sz w:val="22"/>
        </w:rPr>
        <w:t>,</w:t>
      </w:r>
      <w:r w:rsidRPr="004A784D">
        <w:rPr>
          <w:noProof/>
          <w:color w:val="000000"/>
          <w:sz w:val="22"/>
        </w:rPr>
        <w:t xml:space="preserve"> 926-42.</w:t>
      </w:r>
      <w:bookmarkEnd w:id="2446"/>
    </w:p>
    <w:p w:rsidR="004A784D" w:rsidRPr="004A784D" w:rsidRDefault="004A784D" w:rsidP="004A784D">
      <w:pPr>
        <w:spacing w:after="240"/>
        <w:jc w:val="both"/>
        <w:rPr>
          <w:noProof/>
          <w:color w:val="000000"/>
          <w:sz w:val="22"/>
        </w:rPr>
      </w:pPr>
      <w:bookmarkStart w:id="2447" w:name="_ENREF_197"/>
      <w:r w:rsidRPr="004A784D">
        <w:rPr>
          <w:noProof/>
          <w:color w:val="000000"/>
          <w:sz w:val="22"/>
        </w:rPr>
        <w:t xml:space="preserve">KALKUNTE, S., BRARD, L., GRANAI, C. O. &amp; SWAMY, N. 2005. Inhibition of angiogenesis by vitamin D-binding protein: characterization of anti-endothelial activity of DBP-maf. </w:t>
      </w:r>
      <w:r w:rsidRPr="004A784D">
        <w:rPr>
          <w:i/>
          <w:noProof/>
          <w:color w:val="000000"/>
          <w:sz w:val="22"/>
        </w:rPr>
        <w:t>Angiogenesis,</w:t>
      </w:r>
      <w:r w:rsidRPr="004A784D">
        <w:rPr>
          <w:noProof/>
          <w:color w:val="000000"/>
          <w:sz w:val="22"/>
        </w:rPr>
        <w:t xml:space="preserve"> 8</w:t>
      </w:r>
      <w:r w:rsidRPr="004A784D">
        <w:rPr>
          <w:b/>
          <w:noProof/>
          <w:color w:val="000000"/>
          <w:sz w:val="22"/>
        </w:rPr>
        <w:t>,</w:t>
      </w:r>
      <w:r w:rsidRPr="004A784D">
        <w:rPr>
          <w:noProof/>
          <w:color w:val="000000"/>
          <w:sz w:val="22"/>
        </w:rPr>
        <w:t xml:space="preserve"> 349-60.</w:t>
      </w:r>
      <w:bookmarkEnd w:id="2447"/>
    </w:p>
    <w:p w:rsidR="004A784D" w:rsidRPr="004A784D" w:rsidRDefault="004A784D" w:rsidP="004A784D">
      <w:pPr>
        <w:spacing w:after="240"/>
        <w:jc w:val="both"/>
        <w:rPr>
          <w:noProof/>
          <w:color w:val="000000"/>
          <w:sz w:val="22"/>
        </w:rPr>
      </w:pPr>
      <w:bookmarkStart w:id="2448" w:name="_ENREF_198"/>
      <w:r w:rsidRPr="004A784D">
        <w:rPr>
          <w:noProof/>
          <w:color w:val="000000"/>
          <w:sz w:val="22"/>
        </w:rPr>
        <w:t xml:space="preserve">KALLBERG, M. &amp; LU, H. 2010. An improved machine learning protocol for the identification of correct Sequest search results. </w:t>
      </w:r>
      <w:r w:rsidRPr="004A784D">
        <w:rPr>
          <w:i/>
          <w:noProof/>
          <w:color w:val="000000"/>
          <w:sz w:val="22"/>
        </w:rPr>
        <w:t>BMC Bioinformatics,</w:t>
      </w:r>
      <w:r w:rsidRPr="004A784D">
        <w:rPr>
          <w:noProof/>
          <w:color w:val="000000"/>
          <w:sz w:val="22"/>
        </w:rPr>
        <w:t xml:space="preserve"> 11</w:t>
      </w:r>
      <w:r w:rsidRPr="004A784D">
        <w:rPr>
          <w:b/>
          <w:noProof/>
          <w:color w:val="000000"/>
          <w:sz w:val="22"/>
        </w:rPr>
        <w:t>,</w:t>
      </w:r>
      <w:r w:rsidRPr="004A784D">
        <w:rPr>
          <w:noProof/>
          <w:color w:val="000000"/>
          <w:sz w:val="22"/>
        </w:rPr>
        <w:t xml:space="preserve"> 591.</w:t>
      </w:r>
      <w:bookmarkEnd w:id="2448"/>
    </w:p>
    <w:p w:rsidR="004A784D" w:rsidRPr="004A784D" w:rsidRDefault="004A784D" w:rsidP="004A784D">
      <w:pPr>
        <w:spacing w:after="240"/>
        <w:jc w:val="both"/>
        <w:rPr>
          <w:noProof/>
          <w:color w:val="000000"/>
          <w:sz w:val="22"/>
        </w:rPr>
      </w:pPr>
      <w:bookmarkStart w:id="2449" w:name="_ENREF_199"/>
      <w:r w:rsidRPr="004A784D">
        <w:rPr>
          <w:noProof/>
          <w:color w:val="000000"/>
          <w:sz w:val="22"/>
        </w:rPr>
        <w:t xml:space="preserve">KAMIKAWA, R., IKAWA, K., MORIKAWA, N., ASAOKU, H., IWATO, K. &amp; SASAKI, A. 2006. The pharmacokinetics of low-dose thalidomide in Japanese patients with refractory multiple myeloma. </w:t>
      </w:r>
      <w:r w:rsidRPr="004A784D">
        <w:rPr>
          <w:i/>
          <w:noProof/>
          <w:color w:val="000000"/>
          <w:sz w:val="22"/>
        </w:rPr>
        <w:t>Biol Pharm Bull,</w:t>
      </w:r>
      <w:r w:rsidRPr="004A784D">
        <w:rPr>
          <w:noProof/>
          <w:color w:val="000000"/>
          <w:sz w:val="22"/>
        </w:rPr>
        <w:t xml:space="preserve"> 29</w:t>
      </w:r>
      <w:r w:rsidRPr="004A784D">
        <w:rPr>
          <w:b/>
          <w:noProof/>
          <w:color w:val="000000"/>
          <w:sz w:val="22"/>
        </w:rPr>
        <w:t>,</w:t>
      </w:r>
      <w:r w:rsidRPr="004A784D">
        <w:rPr>
          <w:noProof/>
          <w:color w:val="000000"/>
          <w:sz w:val="22"/>
        </w:rPr>
        <w:t xml:space="preserve"> 2331-4.</w:t>
      </w:r>
      <w:bookmarkEnd w:id="2449"/>
    </w:p>
    <w:p w:rsidR="004A784D" w:rsidRPr="004A784D" w:rsidRDefault="004A784D" w:rsidP="004A784D">
      <w:pPr>
        <w:spacing w:after="240"/>
        <w:jc w:val="both"/>
        <w:rPr>
          <w:noProof/>
          <w:color w:val="000000"/>
          <w:sz w:val="22"/>
        </w:rPr>
      </w:pPr>
      <w:bookmarkStart w:id="2450" w:name="_ENREF_200"/>
      <w:r w:rsidRPr="004A784D">
        <w:rPr>
          <w:noProof/>
          <w:color w:val="000000"/>
          <w:sz w:val="22"/>
        </w:rPr>
        <w:t xml:space="preserve">KAMOSHIDA, S., WATANABE, K., SUZUKI, M., MIZUTANI, Y., SAKAMOTO, K., SUGIMOTO, Y., OKA, T., FUKUSHIMA, M. &amp; TSUTSUMI, Y. 2006. Expression of cancer cachexia-related factors in human cancer xenografts: an immunohistochemical analysis. </w:t>
      </w:r>
      <w:r w:rsidRPr="004A784D">
        <w:rPr>
          <w:i/>
          <w:noProof/>
          <w:color w:val="000000"/>
          <w:sz w:val="22"/>
        </w:rPr>
        <w:t>Biomed Res,</w:t>
      </w:r>
      <w:r w:rsidRPr="004A784D">
        <w:rPr>
          <w:noProof/>
          <w:color w:val="000000"/>
          <w:sz w:val="22"/>
        </w:rPr>
        <w:t xml:space="preserve"> 27</w:t>
      </w:r>
      <w:r w:rsidRPr="004A784D">
        <w:rPr>
          <w:b/>
          <w:noProof/>
          <w:color w:val="000000"/>
          <w:sz w:val="22"/>
        </w:rPr>
        <w:t>,</w:t>
      </w:r>
      <w:r w:rsidRPr="004A784D">
        <w:rPr>
          <w:noProof/>
          <w:color w:val="000000"/>
          <w:sz w:val="22"/>
        </w:rPr>
        <w:t xml:space="preserve"> 275-81.</w:t>
      </w:r>
      <w:bookmarkEnd w:id="2450"/>
    </w:p>
    <w:p w:rsidR="004A784D" w:rsidRPr="004A784D" w:rsidRDefault="004A784D" w:rsidP="004A784D">
      <w:pPr>
        <w:spacing w:after="240"/>
        <w:jc w:val="both"/>
        <w:rPr>
          <w:noProof/>
          <w:color w:val="000000"/>
          <w:sz w:val="22"/>
        </w:rPr>
      </w:pPr>
      <w:bookmarkStart w:id="2451" w:name="_ENREF_201"/>
      <w:r w:rsidRPr="004A784D">
        <w:rPr>
          <w:noProof/>
          <w:color w:val="000000"/>
          <w:sz w:val="22"/>
        </w:rPr>
        <w:t xml:space="preserve">KARP, N. A. &amp; LILLEY, K. S. 2005. Maximising sensitivity for detecting changes in protein expression: experimental design using minimal CyDyes. </w:t>
      </w:r>
      <w:r w:rsidRPr="004A784D">
        <w:rPr>
          <w:i/>
          <w:noProof/>
          <w:color w:val="000000"/>
          <w:sz w:val="22"/>
        </w:rPr>
        <w:t>Proteomics,</w:t>
      </w:r>
      <w:r w:rsidRPr="004A784D">
        <w:rPr>
          <w:noProof/>
          <w:color w:val="000000"/>
          <w:sz w:val="22"/>
        </w:rPr>
        <w:t xml:space="preserve"> 5</w:t>
      </w:r>
      <w:r w:rsidRPr="004A784D">
        <w:rPr>
          <w:b/>
          <w:noProof/>
          <w:color w:val="000000"/>
          <w:sz w:val="22"/>
        </w:rPr>
        <w:t>,</w:t>
      </w:r>
      <w:r w:rsidRPr="004A784D">
        <w:rPr>
          <w:noProof/>
          <w:color w:val="000000"/>
          <w:sz w:val="22"/>
        </w:rPr>
        <w:t xml:space="preserve"> 3105-15.</w:t>
      </w:r>
      <w:bookmarkEnd w:id="2451"/>
    </w:p>
    <w:p w:rsidR="004A784D" w:rsidRPr="004A784D" w:rsidRDefault="004A784D" w:rsidP="004A784D">
      <w:pPr>
        <w:spacing w:after="240"/>
        <w:jc w:val="both"/>
        <w:rPr>
          <w:noProof/>
          <w:color w:val="000000"/>
          <w:sz w:val="22"/>
        </w:rPr>
      </w:pPr>
      <w:bookmarkStart w:id="2452" w:name="_ENREF_202"/>
      <w:r w:rsidRPr="004A784D">
        <w:rPr>
          <w:noProof/>
          <w:color w:val="000000"/>
          <w:sz w:val="22"/>
        </w:rPr>
        <w:t xml:space="preserve">KATAYAMA, T., NAKASHIMA, H., HONDA, Y., SUZUKI, S., YAMAMOTO, T., IWASAKI, Y. &amp; YANO, K. 2007. The relationship between acute phase serum amyloid A </w:t>
      </w:r>
      <w:r w:rsidRPr="004A784D">
        <w:rPr>
          <w:noProof/>
          <w:color w:val="000000"/>
          <w:sz w:val="22"/>
        </w:rPr>
        <w:lastRenderedPageBreak/>
        <w:t xml:space="preserve">(SAA) protein concentrations and left ventricular systolic function in acute myocardial infarction patients treated with primary coronary angioplasty. </w:t>
      </w:r>
      <w:r w:rsidRPr="004A784D">
        <w:rPr>
          <w:i/>
          <w:noProof/>
          <w:color w:val="000000"/>
          <w:sz w:val="22"/>
        </w:rPr>
        <w:t>Int Heart J,</w:t>
      </w:r>
      <w:r w:rsidRPr="004A784D">
        <w:rPr>
          <w:noProof/>
          <w:color w:val="000000"/>
          <w:sz w:val="22"/>
        </w:rPr>
        <w:t xml:space="preserve"> 48</w:t>
      </w:r>
      <w:r w:rsidRPr="004A784D">
        <w:rPr>
          <w:b/>
          <w:noProof/>
          <w:color w:val="000000"/>
          <w:sz w:val="22"/>
        </w:rPr>
        <w:t>,</w:t>
      </w:r>
      <w:r w:rsidRPr="004A784D">
        <w:rPr>
          <w:noProof/>
          <w:color w:val="000000"/>
          <w:sz w:val="22"/>
        </w:rPr>
        <w:t xml:space="preserve"> 45-55.</w:t>
      </w:r>
      <w:bookmarkEnd w:id="2452"/>
    </w:p>
    <w:p w:rsidR="004A784D" w:rsidRPr="004A784D" w:rsidRDefault="004A784D" w:rsidP="004A784D">
      <w:pPr>
        <w:spacing w:after="240"/>
        <w:jc w:val="both"/>
        <w:rPr>
          <w:noProof/>
          <w:color w:val="000000"/>
          <w:sz w:val="22"/>
        </w:rPr>
      </w:pPr>
      <w:bookmarkStart w:id="2453" w:name="_ENREF_203"/>
      <w:r w:rsidRPr="004A784D">
        <w:rPr>
          <w:noProof/>
          <w:color w:val="000000"/>
          <w:sz w:val="22"/>
        </w:rPr>
        <w:t xml:space="preserve">KAUFMAN, D. J., MURPHY-BOLLINGER, J., SCOTT, J. &amp; HUDSON, K. L. 2009. Public opinion about the importance of privacy in biobank research. </w:t>
      </w:r>
      <w:r w:rsidRPr="004A784D">
        <w:rPr>
          <w:i/>
          <w:noProof/>
          <w:color w:val="000000"/>
          <w:sz w:val="22"/>
        </w:rPr>
        <w:t>Am J Hum Genet,</w:t>
      </w:r>
      <w:r w:rsidRPr="004A784D">
        <w:rPr>
          <w:noProof/>
          <w:color w:val="000000"/>
          <w:sz w:val="22"/>
        </w:rPr>
        <w:t xml:space="preserve"> 85</w:t>
      </w:r>
      <w:r w:rsidRPr="004A784D">
        <w:rPr>
          <w:b/>
          <w:noProof/>
          <w:color w:val="000000"/>
          <w:sz w:val="22"/>
        </w:rPr>
        <w:t>,</w:t>
      </w:r>
      <w:r w:rsidRPr="004A784D">
        <w:rPr>
          <w:noProof/>
          <w:color w:val="000000"/>
          <w:sz w:val="22"/>
        </w:rPr>
        <w:t xml:space="preserve"> 643-54.</w:t>
      </w:r>
      <w:bookmarkEnd w:id="2453"/>
    </w:p>
    <w:p w:rsidR="004A784D" w:rsidRPr="004A784D" w:rsidRDefault="004A784D" w:rsidP="004A784D">
      <w:pPr>
        <w:spacing w:after="240"/>
        <w:jc w:val="both"/>
        <w:rPr>
          <w:noProof/>
          <w:color w:val="000000"/>
          <w:sz w:val="22"/>
        </w:rPr>
      </w:pPr>
      <w:bookmarkStart w:id="2454" w:name="_ENREF_204"/>
      <w:r w:rsidRPr="004A784D">
        <w:rPr>
          <w:noProof/>
          <w:color w:val="000000"/>
          <w:sz w:val="22"/>
        </w:rPr>
        <w:t xml:space="preserve">KAWAGUCHI, T. &amp; NOSAKA, K. 2009. [Clinical values of biomarkers in hematopoietic malignancies]. </w:t>
      </w:r>
      <w:r w:rsidRPr="004A784D">
        <w:rPr>
          <w:i/>
          <w:noProof/>
          <w:color w:val="000000"/>
          <w:sz w:val="22"/>
        </w:rPr>
        <w:t>Gan To Kagaku Ryoho,</w:t>
      </w:r>
      <w:r w:rsidRPr="004A784D">
        <w:rPr>
          <w:noProof/>
          <w:color w:val="000000"/>
          <w:sz w:val="22"/>
        </w:rPr>
        <w:t xml:space="preserve"> 36</w:t>
      </w:r>
      <w:r w:rsidRPr="004A784D">
        <w:rPr>
          <w:b/>
          <w:noProof/>
          <w:color w:val="000000"/>
          <w:sz w:val="22"/>
        </w:rPr>
        <w:t>,</w:t>
      </w:r>
      <w:r w:rsidRPr="004A784D">
        <w:rPr>
          <w:noProof/>
          <w:color w:val="000000"/>
          <w:sz w:val="22"/>
        </w:rPr>
        <w:t xml:space="preserve"> 26-31.</w:t>
      </w:r>
      <w:bookmarkEnd w:id="2454"/>
    </w:p>
    <w:p w:rsidR="004A784D" w:rsidRPr="004A784D" w:rsidRDefault="004A784D" w:rsidP="004A784D">
      <w:pPr>
        <w:spacing w:after="240"/>
        <w:jc w:val="both"/>
        <w:rPr>
          <w:noProof/>
          <w:color w:val="000000"/>
          <w:sz w:val="22"/>
        </w:rPr>
      </w:pPr>
      <w:bookmarkStart w:id="2455" w:name="_ENREF_205"/>
      <w:r w:rsidRPr="004A784D">
        <w:rPr>
          <w:noProof/>
          <w:color w:val="000000"/>
          <w:sz w:val="22"/>
        </w:rPr>
        <w:t xml:space="preserve">KAY, N. E., O'BRIEN, S. M., PETTITT, A. R. &amp; STILGENBAUER, S. 2007. The role of prognostic factors in assessing 'high-risk' subgroups of patients with chronic lymphocytic leukemia. </w:t>
      </w:r>
      <w:r w:rsidRPr="004A784D">
        <w:rPr>
          <w:i/>
          <w:noProof/>
          <w:color w:val="000000"/>
          <w:sz w:val="22"/>
        </w:rPr>
        <w:t>Leukemia,</w:t>
      </w:r>
      <w:r w:rsidRPr="004A784D">
        <w:rPr>
          <w:noProof/>
          <w:color w:val="000000"/>
          <w:sz w:val="22"/>
        </w:rPr>
        <w:t xml:space="preserve"> 21</w:t>
      </w:r>
      <w:r w:rsidRPr="004A784D">
        <w:rPr>
          <w:b/>
          <w:noProof/>
          <w:color w:val="000000"/>
          <w:sz w:val="22"/>
        </w:rPr>
        <w:t>,</w:t>
      </w:r>
      <w:r w:rsidRPr="004A784D">
        <w:rPr>
          <w:noProof/>
          <w:color w:val="000000"/>
          <w:sz w:val="22"/>
        </w:rPr>
        <w:t xml:space="preserve"> 1885-91.</w:t>
      </w:r>
      <w:bookmarkEnd w:id="2455"/>
    </w:p>
    <w:p w:rsidR="004A784D" w:rsidRPr="004A784D" w:rsidRDefault="004A784D" w:rsidP="004A784D">
      <w:pPr>
        <w:spacing w:after="240"/>
        <w:jc w:val="both"/>
        <w:rPr>
          <w:noProof/>
          <w:color w:val="000000"/>
          <w:sz w:val="22"/>
        </w:rPr>
      </w:pPr>
      <w:bookmarkStart w:id="2456" w:name="_ENREF_206"/>
      <w:r w:rsidRPr="004A784D">
        <w:rPr>
          <w:noProof/>
          <w:color w:val="000000"/>
          <w:sz w:val="22"/>
        </w:rPr>
        <w:t xml:space="preserve">KELLER, A., ENG, J., ZHANG, N., LI, X. J. &amp; AEBERSOLD, R. 2005. A uniform proteomics MS/MS analysis platform utilizing open XML file formats. </w:t>
      </w:r>
      <w:r w:rsidRPr="004A784D">
        <w:rPr>
          <w:i/>
          <w:noProof/>
          <w:color w:val="000000"/>
          <w:sz w:val="22"/>
        </w:rPr>
        <w:t>Mol Syst Biol,</w:t>
      </w:r>
      <w:r w:rsidRPr="004A784D">
        <w:rPr>
          <w:noProof/>
          <w:color w:val="000000"/>
          <w:sz w:val="22"/>
        </w:rPr>
        <w:t xml:space="preserve"> 1</w:t>
      </w:r>
      <w:r w:rsidRPr="004A784D">
        <w:rPr>
          <w:b/>
          <w:noProof/>
          <w:color w:val="000000"/>
          <w:sz w:val="22"/>
        </w:rPr>
        <w:t>,</w:t>
      </w:r>
      <w:r w:rsidRPr="004A784D">
        <w:rPr>
          <w:noProof/>
          <w:color w:val="000000"/>
          <w:sz w:val="22"/>
        </w:rPr>
        <w:t xml:space="preserve"> 2005 0017.</w:t>
      </w:r>
      <w:bookmarkEnd w:id="2456"/>
    </w:p>
    <w:p w:rsidR="004A784D" w:rsidRPr="004A784D" w:rsidRDefault="004A784D" w:rsidP="004A784D">
      <w:pPr>
        <w:spacing w:after="240"/>
        <w:jc w:val="both"/>
        <w:rPr>
          <w:noProof/>
          <w:color w:val="000000"/>
          <w:sz w:val="22"/>
        </w:rPr>
      </w:pPr>
      <w:bookmarkStart w:id="2457" w:name="_ENREF_207"/>
      <w:r w:rsidRPr="004A784D">
        <w:rPr>
          <w:noProof/>
          <w:color w:val="000000"/>
          <w:sz w:val="22"/>
        </w:rPr>
        <w:t xml:space="preserve">KELLER, S. M., KELLER, B. C., GREST, P., BORGER, C. T. &amp; GUSCETTI, F. 2007. Validation of tissue microarrays for immunohistochemical analyses of canine lymphomas. </w:t>
      </w:r>
      <w:r w:rsidRPr="004A784D">
        <w:rPr>
          <w:i/>
          <w:noProof/>
          <w:color w:val="000000"/>
          <w:sz w:val="22"/>
        </w:rPr>
        <w:t>J Vet Diagn Invest,</w:t>
      </w:r>
      <w:r w:rsidRPr="004A784D">
        <w:rPr>
          <w:noProof/>
          <w:color w:val="000000"/>
          <w:sz w:val="22"/>
        </w:rPr>
        <w:t xml:space="preserve"> 19</w:t>
      </w:r>
      <w:r w:rsidRPr="004A784D">
        <w:rPr>
          <w:b/>
          <w:noProof/>
          <w:color w:val="000000"/>
          <w:sz w:val="22"/>
        </w:rPr>
        <w:t>,</w:t>
      </w:r>
      <w:r w:rsidRPr="004A784D">
        <w:rPr>
          <w:noProof/>
          <w:color w:val="000000"/>
          <w:sz w:val="22"/>
        </w:rPr>
        <w:t xml:space="preserve"> 652-9.</w:t>
      </w:r>
      <w:bookmarkEnd w:id="2457"/>
    </w:p>
    <w:p w:rsidR="004A784D" w:rsidRPr="004A784D" w:rsidRDefault="004A784D" w:rsidP="004A784D">
      <w:pPr>
        <w:spacing w:after="240"/>
        <w:jc w:val="both"/>
        <w:rPr>
          <w:noProof/>
          <w:color w:val="000000"/>
          <w:sz w:val="22"/>
        </w:rPr>
      </w:pPr>
      <w:bookmarkStart w:id="2458" w:name="_ENREF_208"/>
      <w:r w:rsidRPr="004A784D">
        <w:rPr>
          <w:noProof/>
          <w:color w:val="000000"/>
          <w:sz w:val="22"/>
        </w:rPr>
        <w:t xml:space="preserve">KESISIS, G., KONTOVINIS, L. F., GENNATAS, K. &amp; KORTSARIS, A. H. 2010. Biological markers in breast cancer prognosis and treatment. </w:t>
      </w:r>
      <w:r w:rsidRPr="004A784D">
        <w:rPr>
          <w:i/>
          <w:noProof/>
          <w:color w:val="000000"/>
          <w:sz w:val="22"/>
        </w:rPr>
        <w:t>J BUON,</w:t>
      </w:r>
      <w:r w:rsidRPr="004A784D">
        <w:rPr>
          <w:noProof/>
          <w:color w:val="000000"/>
          <w:sz w:val="22"/>
        </w:rPr>
        <w:t xml:space="preserve"> 15</w:t>
      </w:r>
      <w:r w:rsidRPr="004A784D">
        <w:rPr>
          <w:b/>
          <w:noProof/>
          <w:color w:val="000000"/>
          <w:sz w:val="22"/>
        </w:rPr>
        <w:t>,</w:t>
      </w:r>
      <w:r w:rsidRPr="004A784D">
        <w:rPr>
          <w:noProof/>
          <w:color w:val="000000"/>
          <w:sz w:val="22"/>
        </w:rPr>
        <w:t xml:space="preserve"> 447-54.</w:t>
      </w:r>
      <w:bookmarkEnd w:id="2458"/>
    </w:p>
    <w:p w:rsidR="004A784D" w:rsidRPr="004A784D" w:rsidRDefault="004A784D" w:rsidP="004A784D">
      <w:pPr>
        <w:spacing w:after="240"/>
        <w:jc w:val="both"/>
        <w:rPr>
          <w:noProof/>
          <w:color w:val="000000"/>
          <w:sz w:val="22"/>
        </w:rPr>
      </w:pPr>
      <w:bookmarkStart w:id="2459" w:name="_ENREF_209"/>
      <w:r w:rsidRPr="004A784D">
        <w:rPr>
          <w:noProof/>
          <w:color w:val="000000"/>
          <w:sz w:val="22"/>
        </w:rPr>
        <w:t xml:space="preserve">KIKUTA, K., TOCHIGI, N., SAITO, S., SHIMODA, T., MORIOKA, H., TOYAMA, Y., HOSONO, A., SUEHARA, Y., BEPPU, Y., KAWAI, A., HIROHASHI, S. &amp; KONDO, T. 2010. Peroxiredoxin 2 as a chemotherapy responsiveness biomarker candidate in osteosarcoma revealed by proteomics. </w:t>
      </w:r>
      <w:r w:rsidRPr="004A784D">
        <w:rPr>
          <w:i/>
          <w:noProof/>
          <w:color w:val="000000"/>
          <w:sz w:val="22"/>
        </w:rPr>
        <w:t>Proteomics Clin Appl,</w:t>
      </w:r>
      <w:r w:rsidRPr="004A784D">
        <w:rPr>
          <w:noProof/>
          <w:color w:val="000000"/>
          <w:sz w:val="22"/>
        </w:rPr>
        <w:t xml:space="preserve"> 4</w:t>
      </w:r>
      <w:r w:rsidRPr="004A784D">
        <w:rPr>
          <w:b/>
          <w:noProof/>
          <w:color w:val="000000"/>
          <w:sz w:val="22"/>
        </w:rPr>
        <w:t>,</w:t>
      </w:r>
      <w:r w:rsidRPr="004A784D">
        <w:rPr>
          <w:noProof/>
          <w:color w:val="000000"/>
          <w:sz w:val="22"/>
        </w:rPr>
        <w:t xml:space="preserve"> 560-7.</w:t>
      </w:r>
      <w:bookmarkEnd w:id="2459"/>
    </w:p>
    <w:p w:rsidR="004A784D" w:rsidRPr="004A784D" w:rsidRDefault="004A784D" w:rsidP="004A784D">
      <w:pPr>
        <w:spacing w:after="240"/>
        <w:jc w:val="both"/>
        <w:rPr>
          <w:noProof/>
          <w:color w:val="000000"/>
          <w:sz w:val="22"/>
        </w:rPr>
      </w:pPr>
      <w:bookmarkStart w:id="2460" w:name="_ENREF_210"/>
      <w:r w:rsidRPr="004A784D">
        <w:rPr>
          <w:noProof/>
          <w:color w:val="000000"/>
          <w:sz w:val="22"/>
        </w:rPr>
        <w:t xml:space="preserve">KIM, H., SOHN, H. J., KIM, S., KIM, K., LEE, J. H., BANG, S. M., KIM, D. H., SOHN, S. K., LEE, J. J. &amp; SUH, C. 2006. New staging systems can predict prognosis of multiple myeloma patients undergoing autologous peripheral blood stem cell transplantation as first-line therapy. </w:t>
      </w:r>
      <w:r w:rsidRPr="004A784D">
        <w:rPr>
          <w:i/>
          <w:noProof/>
          <w:color w:val="000000"/>
          <w:sz w:val="22"/>
        </w:rPr>
        <w:t>Biol Blood Marrow Transplant,</w:t>
      </w:r>
      <w:r w:rsidRPr="004A784D">
        <w:rPr>
          <w:noProof/>
          <w:color w:val="000000"/>
          <w:sz w:val="22"/>
        </w:rPr>
        <w:t xml:space="preserve"> 12</w:t>
      </w:r>
      <w:r w:rsidRPr="004A784D">
        <w:rPr>
          <w:b/>
          <w:noProof/>
          <w:color w:val="000000"/>
          <w:sz w:val="22"/>
        </w:rPr>
        <w:t>,</w:t>
      </w:r>
      <w:r w:rsidRPr="004A784D">
        <w:rPr>
          <w:noProof/>
          <w:color w:val="000000"/>
          <w:sz w:val="22"/>
        </w:rPr>
        <w:t xml:space="preserve"> 837-44.</w:t>
      </w:r>
      <w:bookmarkEnd w:id="2460"/>
    </w:p>
    <w:p w:rsidR="004A784D" w:rsidRPr="004A784D" w:rsidRDefault="004A784D" w:rsidP="004A784D">
      <w:pPr>
        <w:spacing w:after="240"/>
        <w:jc w:val="both"/>
        <w:rPr>
          <w:noProof/>
          <w:color w:val="000000"/>
          <w:sz w:val="22"/>
        </w:rPr>
      </w:pPr>
      <w:bookmarkStart w:id="2461" w:name="_ENREF_211"/>
      <w:r w:rsidRPr="004A784D">
        <w:rPr>
          <w:noProof/>
          <w:color w:val="000000"/>
          <w:sz w:val="22"/>
        </w:rPr>
        <w:t xml:space="preserve">KIRANA, C., WARD, T., JORDAN, T. W., RAWSON, P., ROYDS, J., SHI, H. J., STUBBS, R. &amp; HOOD, K. 2009. Compatibility of toluidine blue with laser microdissection and saturation labeling DIGE. </w:t>
      </w:r>
      <w:r w:rsidRPr="004A784D">
        <w:rPr>
          <w:i/>
          <w:noProof/>
          <w:color w:val="000000"/>
          <w:sz w:val="22"/>
        </w:rPr>
        <w:t>Proteomics,</w:t>
      </w:r>
      <w:r w:rsidRPr="004A784D">
        <w:rPr>
          <w:noProof/>
          <w:color w:val="000000"/>
          <w:sz w:val="22"/>
        </w:rPr>
        <w:t xml:space="preserve"> 9</w:t>
      </w:r>
      <w:r w:rsidRPr="004A784D">
        <w:rPr>
          <w:b/>
          <w:noProof/>
          <w:color w:val="000000"/>
          <w:sz w:val="22"/>
        </w:rPr>
        <w:t>,</w:t>
      </w:r>
      <w:r w:rsidRPr="004A784D">
        <w:rPr>
          <w:noProof/>
          <w:color w:val="000000"/>
          <w:sz w:val="22"/>
        </w:rPr>
        <w:t xml:space="preserve"> 485-90.</w:t>
      </w:r>
      <w:bookmarkEnd w:id="2461"/>
    </w:p>
    <w:p w:rsidR="004A784D" w:rsidRPr="004A784D" w:rsidRDefault="004A784D" w:rsidP="004A784D">
      <w:pPr>
        <w:spacing w:after="240"/>
        <w:jc w:val="both"/>
        <w:rPr>
          <w:noProof/>
          <w:color w:val="000000"/>
          <w:sz w:val="22"/>
        </w:rPr>
      </w:pPr>
      <w:bookmarkStart w:id="2462" w:name="_ENREF_212"/>
      <w:r w:rsidRPr="004A784D">
        <w:rPr>
          <w:noProof/>
          <w:color w:val="000000"/>
          <w:sz w:val="22"/>
        </w:rPr>
        <w:t xml:space="preserve">KISKER, O., ONIZUKA, S., BECKER, C. M., FANNON, M., FLYNN, E., D'AMATO, R., ZETTER, B., FOLKMAN, J., RAY, R., SWAMY, N. &amp; PIRIE-SHEPHERD, S. 2003. Vitamin D binding protein-macrophage activating factor (DBP-maf) inhibits angiogenesis and tumor growth in mice. </w:t>
      </w:r>
      <w:r w:rsidRPr="004A784D">
        <w:rPr>
          <w:i/>
          <w:noProof/>
          <w:color w:val="000000"/>
          <w:sz w:val="22"/>
        </w:rPr>
        <w:t>Neoplasia,</w:t>
      </w:r>
      <w:r w:rsidRPr="004A784D">
        <w:rPr>
          <w:noProof/>
          <w:color w:val="000000"/>
          <w:sz w:val="22"/>
        </w:rPr>
        <w:t xml:space="preserve"> 5</w:t>
      </w:r>
      <w:r w:rsidRPr="004A784D">
        <w:rPr>
          <w:b/>
          <w:noProof/>
          <w:color w:val="000000"/>
          <w:sz w:val="22"/>
        </w:rPr>
        <w:t>,</w:t>
      </w:r>
      <w:r w:rsidRPr="004A784D">
        <w:rPr>
          <w:noProof/>
          <w:color w:val="000000"/>
          <w:sz w:val="22"/>
        </w:rPr>
        <w:t xml:space="preserve"> 32-40.</w:t>
      </w:r>
      <w:bookmarkEnd w:id="2462"/>
    </w:p>
    <w:p w:rsidR="004A784D" w:rsidRPr="004A784D" w:rsidRDefault="004A784D" w:rsidP="004A784D">
      <w:pPr>
        <w:spacing w:after="240"/>
        <w:jc w:val="both"/>
        <w:rPr>
          <w:noProof/>
          <w:color w:val="000000"/>
          <w:sz w:val="22"/>
        </w:rPr>
      </w:pPr>
      <w:bookmarkStart w:id="2463" w:name="_ENREF_213"/>
      <w:r w:rsidRPr="004A784D">
        <w:rPr>
          <w:noProof/>
          <w:color w:val="000000"/>
          <w:sz w:val="22"/>
        </w:rPr>
        <w:t xml:space="preserve">KITTERINGHAM, N. R., JENKINS, R. E., LANE, C. S., ELLIOTT, V. L. &amp; PARK, B. K. 2008. Multiple reaction monitoring for quantitative biomarker analysis in proteomics and metabolomics. </w:t>
      </w:r>
      <w:r w:rsidRPr="004A784D">
        <w:rPr>
          <w:i/>
          <w:noProof/>
          <w:color w:val="000000"/>
          <w:sz w:val="22"/>
        </w:rPr>
        <w:t>J Chromatogr B Analyt Technol Biomed Life Sci</w:t>
      </w:r>
      <w:r w:rsidRPr="004A784D">
        <w:rPr>
          <w:noProof/>
          <w:color w:val="000000"/>
          <w:sz w:val="22"/>
        </w:rPr>
        <w:t>.</w:t>
      </w:r>
      <w:bookmarkEnd w:id="2463"/>
    </w:p>
    <w:p w:rsidR="004A784D" w:rsidRPr="004A784D" w:rsidRDefault="004A784D" w:rsidP="004A784D">
      <w:pPr>
        <w:spacing w:after="240"/>
        <w:jc w:val="both"/>
        <w:rPr>
          <w:noProof/>
          <w:color w:val="000000"/>
          <w:sz w:val="22"/>
        </w:rPr>
      </w:pPr>
      <w:bookmarkStart w:id="2464" w:name="_ENREF_214"/>
      <w:r w:rsidRPr="004A784D">
        <w:rPr>
          <w:noProof/>
          <w:color w:val="000000"/>
          <w:sz w:val="22"/>
        </w:rPr>
        <w:t xml:space="preserve">KLAMMER, A. A., PARK, C. Y. &amp; NOBLE, W. S. 2009. Statistical calibration of the SEQUEST XCorr function. </w:t>
      </w:r>
      <w:r w:rsidRPr="004A784D">
        <w:rPr>
          <w:i/>
          <w:noProof/>
          <w:color w:val="000000"/>
          <w:sz w:val="22"/>
        </w:rPr>
        <w:t>J Proteome Res,</w:t>
      </w:r>
      <w:r w:rsidRPr="004A784D">
        <w:rPr>
          <w:noProof/>
          <w:color w:val="000000"/>
          <w:sz w:val="22"/>
        </w:rPr>
        <w:t xml:space="preserve"> 8</w:t>
      </w:r>
      <w:r w:rsidRPr="004A784D">
        <w:rPr>
          <w:b/>
          <w:noProof/>
          <w:color w:val="000000"/>
          <w:sz w:val="22"/>
        </w:rPr>
        <w:t>,</w:t>
      </w:r>
      <w:r w:rsidRPr="004A784D">
        <w:rPr>
          <w:noProof/>
          <w:color w:val="000000"/>
          <w:sz w:val="22"/>
        </w:rPr>
        <w:t xml:space="preserve"> 2106-13.</w:t>
      </w:r>
      <w:bookmarkEnd w:id="2464"/>
    </w:p>
    <w:p w:rsidR="004A784D" w:rsidRPr="004A784D" w:rsidRDefault="004A784D" w:rsidP="004A784D">
      <w:pPr>
        <w:spacing w:after="240"/>
        <w:jc w:val="both"/>
        <w:rPr>
          <w:noProof/>
          <w:color w:val="000000"/>
          <w:sz w:val="22"/>
        </w:rPr>
      </w:pPr>
      <w:bookmarkStart w:id="2465" w:name="_ENREF_215"/>
      <w:r w:rsidRPr="004A784D">
        <w:rPr>
          <w:noProof/>
          <w:color w:val="000000"/>
          <w:sz w:val="22"/>
        </w:rPr>
        <w:t xml:space="preserve">KLINE, J. A., JOHNSON, C. L., POLLACK, C. V., JR., DIERCKS, D. B., HOLLANDER, J. E., NEWGARD, C. D. &amp; GARVEY, J. L. 2005. Pretest probability assessment derived from attribute matching. </w:t>
      </w:r>
      <w:r w:rsidRPr="004A784D">
        <w:rPr>
          <w:i/>
          <w:noProof/>
          <w:color w:val="000000"/>
          <w:sz w:val="22"/>
        </w:rPr>
        <w:t>BMC Med Inform Decis Mak,</w:t>
      </w:r>
      <w:r w:rsidRPr="004A784D">
        <w:rPr>
          <w:noProof/>
          <w:color w:val="000000"/>
          <w:sz w:val="22"/>
        </w:rPr>
        <w:t xml:space="preserve"> 5</w:t>
      </w:r>
      <w:r w:rsidRPr="004A784D">
        <w:rPr>
          <w:b/>
          <w:noProof/>
          <w:color w:val="000000"/>
          <w:sz w:val="22"/>
        </w:rPr>
        <w:t>,</w:t>
      </w:r>
      <w:r w:rsidRPr="004A784D">
        <w:rPr>
          <w:noProof/>
          <w:color w:val="000000"/>
          <w:sz w:val="22"/>
        </w:rPr>
        <w:t xml:space="preserve"> 26.</w:t>
      </w:r>
      <w:bookmarkEnd w:id="2465"/>
    </w:p>
    <w:p w:rsidR="004A784D" w:rsidRPr="004A784D" w:rsidRDefault="004A784D" w:rsidP="004A784D">
      <w:pPr>
        <w:spacing w:after="240"/>
        <w:jc w:val="both"/>
        <w:rPr>
          <w:noProof/>
          <w:color w:val="000000"/>
          <w:sz w:val="22"/>
        </w:rPr>
      </w:pPr>
      <w:bookmarkStart w:id="2466" w:name="_ENREF_216"/>
      <w:r w:rsidRPr="004A784D">
        <w:rPr>
          <w:noProof/>
          <w:color w:val="000000"/>
          <w:sz w:val="22"/>
        </w:rPr>
        <w:lastRenderedPageBreak/>
        <w:t xml:space="preserve">KONDO, T. &amp; HIROHASHI, S. 2009. Application of 2D-DIGE in cancer proteomics toward personalized medicine. </w:t>
      </w:r>
      <w:r w:rsidRPr="004A784D">
        <w:rPr>
          <w:i/>
          <w:noProof/>
          <w:color w:val="000000"/>
          <w:sz w:val="22"/>
        </w:rPr>
        <w:t>Methods Mol Biol,</w:t>
      </w:r>
      <w:r w:rsidRPr="004A784D">
        <w:rPr>
          <w:noProof/>
          <w:color w:val="000000"/>
          <w:sz w:val="22"/>
        </w:rPr>
        <w:t xml:space="preserve"> 577</w:t>
      </w:r>
      <w:r w:rsidRPr="004A784D">
        <w:rPr>
          <w:b/>
          <w:noProof/>
          <w:color w:val="000000"/>
          <w:sz w:val="22"/>
        </w:rPr>
        <w:t>,</w:t>
      </w:r>
      <w:r w:rsidRPr="004A784D">
        <w:rPr>
          <w:noProof/>
          <w:color w:val="000000"/>
          <w:sz w:val="22"/>
        </w:rPr>
        <w:t xml:space="preserve"> 135-54.</w:t>
      </w:r>
      <w:bookmarkEnd w:id="2466"/>
    </w:p>
    <w:p w:rsidR="004A784D" w:rsidRPr="004A784D" w:rsidRDefault="004A784D" w:rsidP="004A784D">
      <w:pPr>
        <w:spacing w:after="240"/>
        <w:jc w:val="both"/>
        <w:rPr>
          <w:noProof/>
          <w:color w:val="000000"/>
          <w:sz w:val="22"/>
        </w:rPr>
      </w:pPr>
      <w:bookmarkStart w:id="2467" w:name="_ENREF_217"/>
      <w:r w:rsidRPr="004A784D">
        <w:rPr>
          <w:noProof/>
          <w:color w:val="000000"/>
          <w:sz w:val="22"/>
        </w:rPr>
        <w:t xml:space="preserve">KONISHI, K., HASEGAWA, N., KAWABATA, M., KANEKO, H., IIMURA, Y., YAMAMURA, Y. &amp; TERAMURA, K. 2008. [A case of bilateral T4 breast cancer with different responses to chemotherapy]. </w:t>
      </w:r>
      <w:r w:rsidRPr="004A784D">
        <w:rPr>
          <w:i/>
          <w:noProof/>
          <w:color w:val="000000"/>
          <w:sz w:val="22"/>
        </w:rPr>
        <w:t>Gan To Kagaku Ryoho,</w:t>
      </w:r>
      <w:r w:rsidRPr="004A784D">
        <w:rPr>
          <w:noProof/>
          <w:color w:val="000000"/>
          <w:sz w:val="22"/>
        </w:rPr>
        <w:t xml:space="preserve"> 35</w:t>
      </w:r>
      <w:r w:rsidRPr="004A784D">
        <w:rPr>
          <w:b/>
          <w:noProof/>
          <w:color w:val="000000"/>
          <w:sz w:val="22"/>
        </w:rPr>
        <w:t>,</w:t>
      </w:r>
      <w:r w:rsidRPr="004A784D">
        <w:rPr>
          <w:noProof/>
          <w:color w:val="000000"/>
          <w:sz w:val="22"/>
        </w:rPr>
        <w:t xml:space="preserve"> 1791-4.</w:t>
      </w:r>
      <w:bookmarkEnd w:id="2467"/>
    </w:p>
    <w:p w:rsidR="004A784D" w:rsidRPr="004A784D" w:rsidRDefault="004A784D" w:rsidP="004A784D">
      <w:pPr>
        <w:spacing w:after="240"/>
        <w:jc w:val="both"/>
        <w:rPr>
          <w:noProof/>
          <w:color w:val="000000"/>
          <w:sz w:val="22"/>
        </w:rPr>
      </w:pPr>
      <w:bookmarkStart w:id="2468" w:name="_ENREF_218"/>
      <w:r w:rsidRPr="004A784D">
        <w:rPr>
          <w:noProof/>
          <w:color w:val="000000"/>
          <w:sz w:val="22"/>
        </w:rPr>
        <w:t xml:space="preserve">KORNBLAU, S. M., TIBES, R., QIU, Y. H., CHEN, W., KANTARJIAN, H. M., ANDREEFF, M., COOMBES, K. R. &amp; MILLS, G. B. 2009. Functional proteomic profiling of AML predicts response and survival. </w:t>
      </w:r>
      <w:r w:rsidRPr="004A784D">
        <w:rPr>
          <w:i/>
          <w:noProof/>
          <w:color w:val="000000"/>
          <w:sz w:val="22"/>
        </w:rPr>
        <w:t>Blood,</w:t>
      </w:r>
      <w:r w:rsidRPr="004A784D">
        <w:rPr>
          <w:noProof/>
          <w:color w:val="000000"/>
          <w:sz w:val="22"/>
        </w:rPr>
        <w:t xml:space="preserve"> 113</w:t>
      </w:r>
      <w:r w:rsidRPr="004A784D">
        <w:rPr>
          <w:b/>
          <w:noProof/>
          <w:color w:val="000000"/>
          <w:sz w:val="22"/>
        </w:rPr>
        <w:t>,</w:t>
      </w:r>
      <w:r w:rsidRPr="004A784D">
        <w:rPr>
          <w:noProof/>
          <w:color w:val="000000"/>
          <w:sz w:val="22"/>
        </w:rPr>
        <w:t xml:space="preserve"> 154-64.</w:t>
      </w:r>
      <w:bookmarkEnd w:id="2468"/>
    </w:p>
    <w:p w:rsidR="004A784D" w:rsidRPr="004A784D" w:rsidRDefault="004A784D" w:rsidP="004A784D">
      <w:pPr>
        <w:spacing w:after="240"/>
        <w:jc w:val="both"/>
        <w:rPr>
          <w:noProof/>
          <w:color w:val="000000"/>
          <w:sz w:val="22"/>
        </w:rPr>
      </w:pPr>
      <w:bookmarkStart w:id="2469" w:name="_ENREF_219"/>
      <w:r w:rsidRPr="004A784D">
        <w:rPr>
          <w:noProof/>
          <w:color w:val="000000"/>
          <w:sz w:val="22"/>
        </w:rPr>
        <w:t xml:space="preserve">KORNGOLD, L. &amp; LIPARI, R. 1956. Multiple-myeloma proteins. III. The antigenic relationship of Bence Jones proteins to normal gammaglobulin and multiple-myeloma serum proteins. </w:t>
      </w:r>
      <w:r w:rsidRPr="004A784D">
        <w:rPr>
          <w:i/>
          <w:noProof/>
          <w:color w:val="000000"/>
          <w:sz w:val="22"/>
        </w:rPr>
        <w:t>Cancer,</w:t>
      </w:r>
      <w:r w:rsidRPr="004A784D">
        <w:rPr>
          <w:noProof/>
          <w:color w:val="000000"/>
          <w:sz w:val="22"/>
        </w:rPr>
        <w:t xml:space="preserve"> 9</w:t>
      </w:r>
      <w:r w:rsidRPr="004A784D">
        <w:rPr>
          <w:b/>
          <w:noProof/>
          <w:color w:val="000000"/>
          <w:sz w:val="22"/>
        </w:rPr>
        <w:t>,</w:t>
      </w:r>
      <w:r w:rsidRPr="004A784D">
        <w:rPr>
          <w:noProof/>
          <w:color w:val="000000"/>
          <w:sz w:val="22"/>
        </w:rPr>
        <w:t xml:space="preserve"> 262-72.</w:t>
      </w:r>
      <w:bookmarkEnd w:id="2469"/>
    </w:p>
    <w:p w:rsidR="004A784D" w:rsidRPr="004A784D" w:rsidRDefault="004A784D" w:rsidP="004A784D">
      <w:pPr>
        <w:spacing w:after="240"/>
        <w:jc w:val="both"/>
        <w:rPr>
          <w:noProof/>
          <w:color w:val="000000"/>
          <w:sz w:val="22"/>
        </w:rPr>
      </w:pPr>
      <w:bookmarkStart w:id="2470" w:name="_ENREF_220"/>
      <w:r w:rsidRPr="004A784D">
        <w:rPr>
          <w:noProof/>
          <w:color w:val="000000"/>
          <w:sz w:val="22"/>
        </w:rPr>
        <w:t xml:space="preserve">KOSSMANN, K. T. 1984. [High-resolution 2-dimensional gel electrophoresis: a method for the clinical chemistry laboratory]. </w:t>
      </w:r>
      <w:r w:rsidRPr="004A784D">
        <w:rPr>
          <w:i/>
          <w:noProof/>
          <w:color w:val="000000"/>
          <w:sz w:val="22"/>
        </w:rPr>
        <w:t>J Clin Chem Clin Biochem,</w:t>
      </w:r>
      <w:r w:rsidRPr="004A784D">
        <w:rPr>
          <w:noProof/>
          <w:color w:val="000000"/>
          <w:sz w:val="22"/>
        </w:rPr>
        <w:t xml:space="preserve"> 22</w:t>
      </w:r>
      <w:r w:rsidRPr="004A784D">
        <w:rPr>
          <w:b/>
          <w:noProof/>
          <w:color w:val="000000"/>
          <w:sz w:val="22"/>
        </w:rPr>
        <w:t>,</w:t>
      </w:r>
      <w:r w:rsidRPr="004A784D">
        <w:rPr>
          <w:noProof/>
          <w:color w:val="000000"/>
          <w:sz w:val="22"/>
        </w:rPr>
        <w:t xml:space="preserve"> 253-60.</w:t>
      </w:r>
      <w:bookmarkEnd w:id="2470"/>
    </w:p>
    <w:p w:rsidR="004A784D" w:rsidRPr="004A784D" w:rsidRDefault="004A784D" w:rsidP="004A784D">
      <w:pPr>
        <w:spacing w:after="240"/>
        <w:jc w:val="both"/>
        <w:rPr>
          <w:noProof/>
          <w:color w:val="000000"/>
          <w:sz w:val="22"/>
        </w:rPr>
      </w:pPr>
      <w:bookmarkStart w:id="2471" w:name="_ENREF_221"/>
      <w:r w:rsidRPr="004A784D">
        <w:rPr>
          <w:noProof/>
          <w:color w:val="000000"/>
          <w:sz w:val="22"/>
        </w:rPr>
        <w:t xml:space="preserve">KREISBERG, J. I., MALIK, S. N., PRIHODA, T. J., BEDOLLA, R. G., TROYER, D. A., KREISBERG, S. &amp; GHOSH, P. M. 2004. Phosphorylation of Akt (Ser473) is an excellent predictor of poor clinical outcome in prostate cancer. </w:t>
      </w:r>
      <w:r w:rsidRPr="004A784D">
        <w:rPr>
          <w:i/>
          <w:noProof/>
          <w:color w:val="000000"/>
          <w:sz w:val="22"/>
        </w:rPr>
        <w:t>Cancer Res,</w:t>
      </w:r>
      <w:r w:rsidRPr="004A784D">
        <w:rPr>
          <w:noProof/>
          <w:color w:val="000000"/>
          <w:sz w:val="22"/>
        </w:rPr>
        <w:t xml:space="preserve"> 64</w:t>
      </w:r>
      <w:r w:rsidRPr="004A784D">
        <w:rPr>
          <w:b/>
          <w:noProof/>
          <w:color w:val="000000"/>
          <w:sz w:val="22"/>
        </w:rPr>
        <w:t>,</w:t>
      </w:r>
      <w:r w:rsidRPr="004A784D">
        <w:rPr>
          <w:noProof/>
          <w:color w:val="000000"/>
          <w:sz w:val="22"/>
        </w:rPr>
        <w:t xml:space="preserve"> 5232-6.</w:t>
      </w:r>
      <w:bookmarkEnd w:id="2471"/>
    </w:p>
    <w:p w:rsidR="004A784D" w:rsidRPr="004A784D" w:rsidRDefault="004A784D" w:rsidP="004A784D">
      <w:pPr>
        <w:spacing w:after="240"/>
        <w:jc w:val="both"/>
        <w:rPr>
          <w:noProof/>
          <w:color w:val="000000"/>
          <w:sz w:val="22"/>
        </w:rPr>
      </w:pPr>
      <w:bookmarkStart w:id="2472" w:name="_ENREF_222"/>
      <w:r w:rsidRPr="004A784D">
        <w:rPr>
          <w:noProof/>
          <w:color w:val="000000"/>
          <w:sz w:val="22"/>
        </w:rPr>
        <w:t xml:space="preserve">KRISTINSSON, S. Y., LANDGREN, O. &amp; RAJKUMAR, V. S. 2009. Novel therapies in multiple myeloma for newly diagnosed nontransplant candidates. </w:t>
      </w:r>
      <w:r w:rsidRPr="004A784D">
        <w:rPr>
          <w:i/>
          <w:noProof/>
          <w:color w:val="000000"/>
          <w:sz w:val="22"/>
        </w:rPr>
        <w:t>Cancer J,</w:t>
      </w:r>
      <w:r w:rsidRPr="004A784D">
        <w:rPr>
          <w:noProof/>
          <w:color w:val="000000"/>
          <w:sz w:val="22"/>
        </w:rPr>
        <w:t xml:space="preserve"> 15</w:t>
      </w:r>
      <w:r w:rsidRPr="004A784D">
        <w:rPr>
          <w:b/>
          <w:noProof/>
          <w:color w:val="000000"/>
          <w:sz w:val="22"/>
        </w:rPr>
        <w:t>,</w:t>
      </w:r>
      <w:r w:rsidRPr="004A784D">
        <w:rPr>
          <w:noProof/>
          <w:color w:val="000000"/>
          <w:sz w:val="22"/>
        </w:rPr>
        <w:t xml:space="preserve"> 473-8.</w:t>
      </w:r>
      <w:bookmarkEnd w:id="2472"/>
    </w:p>
    <w:p w:rsidR="004A784D" w:rsidRPr="004A784D" w:rsidRDefault="004A784D" w:rsidP="004A784D">
      <w:pPr>
        <w:spacing w:after="240"/>
        <w:jc w:val="both"/>
        <w:rPr>
          <w:noProof/>
          <w:color w:val="000000"/>
          <w:sz w:val="22"/>
        </w:rPr>
      </w:pPr>
      <w:bookmarkStart w:id="2473" w:name="_ENREF_223"/>
      <w:r w:rsidRPr="004A784D">
        <w:rPr>
          <w:noProof/>
          <w:color w:val="000000"/>
          <w:sz w:val="22"/>
        </w:rPr>
        <w:t xml:space="preserve">KULASINGAM, V. &amp; DIAMANDIS, E. P. 2008. Tissue culture-based breast cancer biomarker discovery platform. </w:t>
      </w:r>
      <w:r w:rsidRPr="004A784D">
        <w:rPr>
          <w:i/>
          <w:noProof/>
          <w:color w:val="000000"/>
          <w:sz w:val="22"/>
        </w:rPr>
        <w:t>Int J Cancer,</w:t>
      </w:r>
      <w:r w:rsidRPr="004A784D">
        <w:rPr>
          <w:noProof/>
          <w:color w:val="000000"/>
          <w:sz w:val="22"/>
        </w:rPr>
        <w:t xml:space="preserve"> 123</w:t>
      </w:r>
      <w:r w:rsidRPr="004A784D">
        <w:rPr>
          <w:b/>
          <w:noProof/>
          <w:color w:val="000000"/>
          <w:sz w:val="22"/>
        </w:rPr>
        <w:t>,</w:t>
      </w:r>
      <w:r w:rsidRPr="004A784D">
        <w:rPr>
          <w:noProof/>
          <w:color w:val="000000"/>
          <w:sz w:val="22"/>
        </w:rPr>
        <w:t xml:space="preserve"> 2007-12.</w:t>
      </w:r>
      <w:bookmarkEnd w:id="2473"/>
    </w:p>
    <w:p w:rsidR="004A784D" w:rsidRPr="004A784D" w:rsidRDefault="004A784D" w:rsidP="004A784D">
      <w:pPr>
        <w:spacing w:after="240"/>
        <w:jc w:val="both"/>
        <w:rPr>
          <w:noProof/>
          <w:color w:val="000000"/>
          <w:sz w:val="22"/>
        </w:rPr>
      </w:pPr>
      <w:bookmarkStart w:id="2474" w:name="_ENREF_224"/>
      <w:r w:rsidRPr="004A784D">
        <w:rPr>
          <w:noProof/>
          <w:color w:val="000000"/>
          <w:sz w:val="22"/>
        </w:rPr>
        <w:t xml:space="preserve">KUMAR, A., LOUGHRAN, T., ALSINA, M., DURIE, B. G. &amp; DJULBEGOVIC, B. 2003. Management of multiple myeloma: a systematic review and critical appraisal of published studies. </w:t>
      </w:r>
      <w:r w:rsidRPr="004A784D">
        <w:rPr>
          <w:i/>
          <w:noProof/>
          <w:color w:val="000000"/>
          <w:sz w:val="22"/>
        </w:rPr>
        <w:t>Lancet Oncol,</w:t>
      </w:r>
      <w:r w:rsidRPr="004A784D">
        <w:rPr>
          <w:noProof/>
          <w:color w:val="000000"/>
          <w:sz w:val="22"/>
        </w:rPr>
        <w:t xml:space="preserve"> 4</w:t>
      </w:r>
      <w:r w:rsidRPr="004A784D">
        <w:rPr>
          <w:b/>
          <w:noProof/>
          <w:color w:val="000000"/>
          <w:sz w:val="22"/>
        </w:rPr>
        <w:t>,</w:t>
      </w:r>
      <w:r w:rsidRPr="004A784D">
        <w:rPr>
          <w:noProof/>
          <w:color w:val="000000"/>
          <w:sz w:val="22"/>
        </w:rPr>
        <w:t xml:space="preserve"> 293-304.</w:t>
      </w:r>
      <w:bookmarkEnd w:id="2474"/>
    </w:p>
    <w:p w:rsidR="004A784D" w:rsidRPr="004A784D" w:rsidRDefault="004A784D" w:rsidP="004A784D">
      <w:pPr>
        <w:spacing w:after="240"/>
        <w:jc w:val="both"/>
        <w:rPr>
          <w:noProof/>
          <w:color w:val="000000"/>
          <w:sz w:val="22"/>
        </w:rPr>
      </w:pPr>
      <w:bookmarkStart w:id="2475" w:name="_ENREF_225"/>
      <w:r w:rsidRPr="004A784D">
        <w:rPr>
          <w:noProof/>
          <w:color w:val="000000"/>
          <w:sz w:val="22"/>
        </w:rPr>
        <w:t xml:space="preserve">KUMAR, S. 2009. Stem cell transplantation for multiple myeloma. </w:t>
      </w:r>
      <w:r w:rsidRPr="004A784D">
        <w:rPr>
          <w:i/>
          <w:noProof/>
          <w:color w:val="000000"/>
          <w:sz w:val="22"/>
        </w:rPr>
        <w:t>Curr Opin Oncol,</w:t>
      </w:r>
      <w:r w:rsidRPr="004A784D">
        <w:rPr>
          <w:noProof/>
          <w:color w:val="000000"/>
          <w:sz w:val="22"/>
        </w:rPr>
        <w:t xml:space="preserve"> 21</w:t>
      </w:r>
      <w:r w:rsidRPr="004A784D">
        <w:rPr>
          <w:b/>
          <w:noProof/>
          <w:color w:val="000000"/>
          <w:sz w:val="22"/>
        </w:rPr>
        <w:t>,</w:t>
      </w:r>
      <w:r w:rsidRPr="004A784D">
        <w:rPr>
          <w:noProof/>
          <w:color w:val="000000"/>
          <w:sz w:val="22"/>
        </w:rPr>
        <w:t xml:space="preserve"> 162-70.</w:t>
      </w:r>
      <w:bookmarkEnd w:id="2475"/>
    </w:p>
    <w:p w:rsidR="004A784D" w:rsidRPr="004A784D" w:rsidRDefault="004A784D" w:rsidP="004A784D">
      <w:pPr>
        <w:spacing w:after="240"/>
        <w:jc w:val="both"/>
        <w:rPr>
          <w:noProof/>
          <w:color w:val="000000"/>
          <w:sz w:val="22"/>
        </w:rPr>
      </w:pPr>
      <w:bookmarkStart w:id="2476" w:name="_ENREF_226"/>
      <w:r w:rsidRPr="004A784D">
        <w:rPr>
          <w:noProof/>
          <w:color w:val="000000"/>
          <w:sz w:val="22"/>
        </w:rPr>
        <w:t xml:space="preserve">KUMAR, S. K., DINGLI, D., DISPENZIERI, A., LACY, M. Q., HAYMAN, S. R., BUADI, F. K., RAJKUMAR, S. V., LITZOW, M. R. &amp; GERTZ, M. A. 2008. Impact of pretransplant therapy in patients with newly diagnosed myeloma undergoing autologous SCT. </w:t>
      </w:r>
      <w:r w:rsidRPr="004A784D">
        <w:rPr>
          <w:i/>
          <w:noProof/>
          <w:color w:val="000000"/>
          <w:sz w:val="22"/>
        </w:rPr>
        <w:t>Bone Marrow Transplant,</w:t>
      </w:r>
      <w:r w:rsidRPr="004A784D">
        <w:rPr>
          <w:noProof/>
          <w:color w:val="000000"/>
          <w:sz w:val="22"/>
        </w:rPr>
        <w:t xml:space="preserve"> 41</w:t>
      </w:r>
      <w:r w:rsidRPr="004A784D">
        <w:rPr>
          <w:b/>
          <w:noProof/>
          <w:color w:val="000000"/>
          <w:sz w:val="22"/>
        </w:rPr>
        <w:t>,</w:t>
      </w:r>
      <w:r w:rsidRPr="004A784D">
        <w:rPr>
          <w:noProof/>
          <w:color w:val="000000"/>
          <w:sz w:val="22"/>
        </w:rPr>
        <w:t xml:space="preserve"> 1013-9.</w:t>
      </w:r>
      <w:bookmarkEnd w:id="2476"/>
    </w:p>
    <w:p w:rsidR="004A784D" w:rsidRPr="004A784D" w:rsidRDefault="004A784D" w:rsidP="004A784D">
      <w:pPr>
        <w:spacing w:after="240"/>
        <w:jc w:val="both"/>
        <w:rPr>
          <w:noProof/>
          <w:color w:val="000000"/>
          <w:sz w:val="22"/>
        </w:rPr>
      </w:pPr>
      <w:bookmarkStart w:id="2477" w:name="_ENREF_227"/>
      <w:r w:rsidRPr="004A784D">
        <w:rPr>
          <w:noProof/>
          <w:color w:val="000000"/>
          <w:sz w:val="22"/>
        </w:rPr>
        <w:t xml:space="preserve">KUMAR, S. K., MIKHAEL, J. R., BUADI, F. K., DINGLI, D., DISPENZIERI, A., FONSECA, R., GERTZ, M. A., GREIPP, P. R., HAYMAN, S. R., KYLE, R. A., LACY, M. Q., LUST, J. A., REEDER, C. B., ROY, V., RUSSELL, S. J., SHORT, K. E., STEWART, A. K., WITZIG, T. E., ZELDENRUST, S. R., DALTON, R. J., RAJKUMAR, S. V. &amp; BERGSAGEL, P. L. 2009. Management of newly diagnosed symptomatic multiple myeloma: updated Mayo Stratification of Myeloma and Risk-Adapted Therapy (mSMART) consensus guidelines. </w:t>
      </w:r>
      <w:r w:rsidRPr="004A784D">
        <w:rPr>
          <w:i/>
          <w:noProof/>
          <w:color w:val="000000"/>
          <w:sz w:val="22"/>
        </w:rPr>
        <w:t>Mayo Clin Proc,</w:t>
      </w:r>
      <w:r w:rsidRPr="004A784D">
        <w:rPr>
          <w:noProof/>
          <w:color w:val="000000"/>
          <w:sz w:val="22"/>
        </w:rPr>
        <w:t xml:space="preserve"> 84</w:t>
      </w:r>
      <w:r w:rsidRPr="004A784D">
        <w:rPr>
          <w:b/>
          <w:noProof/>
          <w:color w:val="000000"/>
          <w:sz w:val="22"/>
        </w:rPr>
        <w:t>,</w:t>
      </w:r>
      <w:r w:rsidRPr="004A784D">
        <w:rPr>
          <w:noProof/>
          <w:color w:val="000000"/>
          <w:sz w:val="22"/>
        </w:rPr>
        <w:t xml:space="preserve"> 1095-110.</w:t>
      </w:r>
      <w:bookmarkEnd w:id="2477"/>
    </w:p>
    <w:p w:rsidR="004A784D" w:rsidRPr="004A784D" w:rsidRDefault="004A784D" w:rsidP="004A784D">
      <w:pPr>
        <w:spacing w:after="240"/>
        <w:jc w:val="both"/>
        <w:rPr>
          <w:noProof/>
          <w:color w:val="000000"/>
          <w:sz w:val="22"/>
        </w:rPr>
      </w:pPr>
      <w:bookmarkStart w:id="2478" w:name="_ENREF_228"/>
      <w:r w:rsidRPr="004A784D">
        <w:rPr>
          <w:noProof/>
          <w:color w:val="000000"/>
          <w:sz w:val="22"/>
        </w:rPr>
        <w:t xml:space="preserve">KUNDU, S., AULCHENKO, Y. S., VAN DUIJN, C. M. &amp; JANSSENS, A. C. 2011. PredictABEL: an R package for the assessment of risk prediction models. </w:t>
      </w:r>
      <w:r w:rsidRPr="004A784D">
        <w:rPr>
          <w:i/>
          <w:noProof/>
          <w:color w:val="000000"/>
          <w:sz w:val="22"/>
        </w:rPr>
        <w:t>Eur J Epidemiol,</w:t>
      </w:r>
      <w:r w:rsidRPr="004A784D">
        <w:rPr>
          <w:noProof/>
          <w:color w:val="000000"/>
          <w:sz w:val="22"/>
        </w:rPr>
        <w:t xml:space="preserve"> 26</w:t>
      </w:r>
      <w:r w:rsidRPr="004A784D">
        <w:rPr>
          <w:b/>
          <w:noProof/>
          <w:color w:val="000000"/>
          <w:sz w:val="22"/>
        </w:rPr>
        <w:t>,</w:t>
      </w:r>
      <w:r w:rsidRPr="004A784D">
        <w:rPr>
          <w:noProof/>
          <w:color w:val="000000"/>
          <w:sz w:val="22"/>
        </w:rPr>
        <w:t xml:space="preserve"> 261-4.</w:t>
      </w:r>
      <w:bookmarkEnd w:id="2478"/>
    </w:p>
    <w:p w:rsidR="004A784D" w:rsidRPr="004A784D" w:rsidRDefault="004A784D" w:rsidP="004A784D">
      <w:pPr>
        <w:spacing w:after="240"/>
        <w:jc w:val="both"/>
        <w:rPr>
          <w:noProof/>
          <w:color w:val="000000"/>
          <w:sz w:val="22"/>
        </w:rPr>
      </w:pPr>
      <w:bookmarkStart w:id="2479" w:name="_ENREF_229"/>
      <w:r w:rsidRPr="004A784D">
        <w:rPr>
          <w:noProof/>
          <w:color w:val="000000"/>
          <w:sz w:val="22"/>
        </w:rPr>
        <w:t xml:space="preserve">KURAHASHI, S., SAWAMOTO, A., SUGIMOTO, T., NARIMATSU, H., IWASAKI, T., ADACHI, T., SUZUKI, H., HAYAKAWA, F. &amp; SUGIURA, I. 2007. [Frequency and prognostic value of chromosome abnormalities in multiple myeloma]. </w:t>
      </w:r>
      <w:r w:rsidRPr="004A784D">
        <w:rPr>
          <w:i/>
          <w:noProof/>
          <w:color w:val="000000"/>
          <w:sz w:val="22"/>
        </w:rPr>
        <w:t>Rinsho Ketsueki,</w:t>
      </w:r>
      <w:r w:rsidRPr="004A784D">
        <w:rPr>
          <w:noProof/>
          <w:color w:val="000000"/>
          <w:sz w:val="22"/>
        </w:rPr>
        <w:t xml:space="preserve"> 48</w:t>
      </w:r>
      <w:r w:rsidRPr="004A784D">
        <w:rPr>
          <w:b/>
          <w:noProof/>
          <w:color w:val="000000"/>
          <w:sz w:val="22"/>
        </w:rPr>
        <w:t>,</w:t>
      </w:r>
      <w:r w:rsidRPr="004A784D">
        <w:rPr>
          <w:noProof/>
          <w:color w:val="000000"/>
          <w:sz w:val="22"/>
        </w:rPr>
        <w:t xml:space="preserve"> 1455-61.</w:t>
      </w:r>
      <w:bookmarkEnd w:id="2479"/>
    </w:p>
    <w:p w:rsidR="004A784D" w:rsidRPr="004A784D" w:rsidRDefault="004A784D" w:rsidP="004A784D">
      <w:pPr>
        <w:spacing w:after="240"/>
        <w:jc w:val="both"/>
        <w:rPr>
          <w:noProof/>
          <w:color w:val="000000"/>
          <w:sz w:val="22"/>
        </w:rPr>
      </w:pPr>
      <w:bookmarkStart w:id="2480" w:name="_ENREF_230"/>
      <w:r w:rsidRPr="004A784D">
        <w:rPr>
          <w:noProof/>
          <w:color w:val="000000"/>
          <w:sz w:val="22"/>
        </w:rPr>
        <w:lastRenderedPageBreak/>
        <w:t xml:space="preserve">KYLE, R. A. &amp; RAJKUMAR, S. V. 2007. Epidemiology of the plasma-cell disorders. </w:t>
      </w:r>
      <w:r w:rsidRPr="004A784D">
        <w:rPr>
          <w:i/>
          <w:noProof/>
          <w:color w:val="000000"/>
          <w:sz w:val="22"/>
        </w:rPr>
        <w:t>Best Pract Res Clin Haematol,</w:t>
      </w:r>
      <w:r w:rsidRPr="004A784D">
        <w:rPr>
          <w:noProof/>
          <w:color w:val="000000"/>
          <w:sz w:val="22"/>
        </w:rPr>
        <w:t xml:space="preserve"> 20</w:t>
      </w:r>
      <w:r w:rsidRPr="004A784D">
        <w:rPr>
          <w:b/>
          <w:noProof/>
          <w:color w:val="000000"/>
          <w:sz w:val="22"/>
        </w:rPr>
        <w:t>,</w:t>
      </w:r>
      <w:r w:rsidRPr="004A784D">
        <w:rPr>
          <w:noProof/>
          <w:color w:val="000000"/>
          <w:sz w:val="22"/>
        </w:rPr>
        <w:t xml:space="preserve"> 637-64.</w:t>
      </w:r>
      <w:bookmarkEnd w:id="2480"/>
    </w:p>
    <w:p w:rsidR="004A784D" w:rsidRPr="004A784D" w:rsidRDefault="004A784D" w:rsidP="004A784D">
      <w:pPr>
        <w:spacing w:after="240"/>
        <w:jc w:val="both"/>
        <w:rPr>
          <w:noProof/>
          <w:color w:val="000000"/>
          <w:sz w:val="22"/>
        </w:rPr>
      </w:pPr>
      <w:bookmarkStart w:id="2481" w:name="_ENREF_231"/>
      <w:r w:rsidRPr="004A784D">
        <w:rPr>
          <w:noProof/>
          <w:color w:val="000000"/>
          <w:sz w:val="22"/>
        </w:rPr>
        <w:t xml:space="preserve">KYLE, R. A. &amp; RAJKUMAR, S. V. 2008. Multiple myeloma. </w:t>
      </w:r>
      <w:r w:rsidRPr="004A784D">
        <w:rPr>
          <w:i/>
          <w:noProof/>
          <w:color w:val="000000"/>
          <w:sz w:val="22"/>
        </w:rPr>
        <w:t>Blood,</w:t>
      </w:r>
      <w:r w:rsidRPr="004A784D">
        <w:rPr>
          <w:noProof/>
          <w:color w:val="000000"/>
          <w:sz w:val="22"/>
        </w:rPr>
        <w:t xml:space="preserve"> 111</w:t>
      </w:r>
      <w:r w:rsidRPr="004A784D">
        <w:rPr>
          <w:b/>
          <w:noProof/>
          <w:color w:val="000000"/>
          <w:sz w:val="22"/>
        </w:rPr>
        <w:t>,</w:t>
      </w:r>
      <w:r w:rsidRPr="004A784D">
        <w:rPr>
          <w:noProof/>
          <w:color w:val="000000"/>
          <w:sz w:val="22"/>
        </w:rPr>
        <w:t xml:space="preserve"> 2962-72.</w:t>
      </w:r>
      <w:bookmarkEnd w:id="2481"/>
    </w:p>
    <w:p w:rsidR="004A784D" w:rsidRPr="004A784D" w:rsidRDefault="004A784D" w:rsidP="004A784D">
      <w:pPr>
        <w:spacing w:after="240"/>
        <w:jc w:val="both"/>
        <w:rPr>
          <w:noProof/>
          <w:color w:val="000000"/>
          <w:sz w:val="22"/>
        </w:rPr>
      </w:pPr>
      <w:bookmarkStart w:id="2482" w:name="_ENREF_232"/>
      <w:r w:rsidRPr="004A784D">
        <w:rPr>
          <w:noProof/>
          <w:color w:val="000000"/>
          <w:sz w:val="22"/>
        </w:rPr>
        <w:t xml:space="preserve">KYLE, R. A. &amp; RAJKUMAR, S. V. 2009a. Criteria for diagnosis, staging, risk stratification and response assessment of multiple myeloma. </w:t>
      </w:r>
      <w:r w:rsidRPr="004A784D">
        <w:rPr>
          <w:i/>
          <w:noProof/>
          <w:color w:val="000000"/>
          <w:sz w:val="22"/>
        </w:rPr>
        <w:t>Leukemia,</w:t>
      </w:r>
      <w:r w:rsidRPr="004A784D">
        <w:rPr>
          <w:noProof/>
          <w:color w:val="000000"/>
          <w:sz w:val="22"/>
        </w:rPr>
        <w:t xml:space="preserve"> 23</w:t>
      </w:r>
      <w:r w:rsidRPr="004A784D">
        <w:rPr>
          <w:b/>
          <w:noProof/>
          <w:color w:val="000000"/>
          <w:sz w:val="22"/>
        </w:rPr>
        <w:t>,</w:t>
      </w:r>
      <w:r w:rsidRPr="004A784D">
        <w:rPr>
          <w:noProof/>
          <w:color w:val="000000"/>
          <w:sz w:val="22"/>
        </w:rPr>
        <w:t xml:space="preserve"> 3-9.</w:t>
      </w:r>
      <w:bookmarkEnd w:id="2482"/>
    </w:p>
    <w:p w:rsidR="004A784D" w:rsidRPr="004A784D" w:rsidRDefault="004A784D" w:rsidP="004A784D">
      <w:pPr>
        <w:spacing w:after="240"/>
        <w:jc w:val="both"/>
        <w:rPr>
          <w:noProof/>
          <w:color w:val="000000"/>
          <w:sz w:val="22"/>
        </w:rPr>
      </w:pPr>
      <w:bookmarkStart w:id="2483" w:name="_ENREF_233"/>
      <w:r w:rsidRPr="004A784D">
        <w:rPr>
          <w:noProof/>
          <w:color w:val="000000"/>
          <w:sz w:val="22"/>
        </w:rPr>
        <w:t xml:space="preserve">KYLE, R. A. &amp; RAJKUMAR, S. V. 2009b. Treatment of multiple myeloma: a comprehensive review. </w:t>
      </w:r>
      <w:r w:rsidRPr="004A784D">
        <w:rPr>
          <w:i/>
          <w:noProof/>
          <w:color w:val="000000"/>
          <w:sz w:val="22"/>
        </w:rPr>
        <w:t>Clin Lymphoma Myeloma,</w:t>
      </w:r>
      <w:r w:rsidRPr="004A784D">
        <w:rPr>
          <w:noProof/>
          <w:color w:val="000000"/>
          <w:sz w:val="22"/>
        </w:rPr>
        <w:t xml:space="preserve"> 9</w:t>
      </w:r>
      <w:r w:rsidRPr="004A784D">
        <w:rPr>
          <w:b/>
          <w:noProof/>
          <w:color w:val="000000"/>
          <w:sz w:val="22"/>
        </w:rPr>
        <w:t>,</w:t>
      </w:r>
      <w:r w:rsidRPr="004A784D">
        <w:rPr>
          <w:noProof/>
          <w:color w:val="000000"/>
          <w:sz w:val="22"/>
        </w:rPr>
        <w:t xml:space="preserve"> 278-88.</w:t>
      </w:r>
      <w:bookmarkEnd w:id="2483"/>
    </w:p>
    <w:p w:rsidR="004A784D" w:rsidRPr="004A784D" w:rsidRDefault="004A784D" w:rsidP="004A784D">
      <w:pPr>
        <w:spacing w:after="240"/>
        <w:jc w:val="both"/>
        <w:rPr>
          <w:noProof/>
          <w:color w:val="000000"/>
          <w:sz w:val="22"/>
        </w:rPr>
      </w:pPr>
      <w:bookmarkStart w:id="2484" w:name="_ENREF_234"/>
      <w:r w:rsidRPr="004A784D">
        <w:rPr>
          <w:noProof/>
          <w:color w:val="000000"/>
          <w:sz w:val="22"/>
        </w:rPr>
        <w:t xml:space="preserve">KYRIAKOU, C., THOMSON, K., D'SA, S., FLORY, A., HANSLIP, J., GOLDSTONE, A. H. &amp; YONG, K. L. 2005. Low-dose thalidomide in combination with oral weekly cyclophosphamide and pulsed dexamethasone is a well tolerated and effective regimen in patients with relapsed and refractory multiple myeloma. </w:t>
      </w:r>
      <w:r w:rsidRPr="004A784D">
        <w:rPr>
          <w:i/>
          <w:noProof/>
          <w:color w:val="000000"/>
          <w:sz w:val="22"/>
        </w:rPr>
        <w:t>Br J Haematol,</w:t>
      </w:r>
      <w:r w:rsidRPr="004A784D">
        <w:rPr>
          <w:noProof/>
          <w:color w:val="000000"/>
          <w:sz w:val="22"/>
        </w:rPr>
        <w:t xml:space="preserve"> 129</w:t>
      </w:r>
      <w:r w:rsidRPr="004A784D">
        <w:rPr>
          <w:b/>
          <w:noProof/>
          <w:color w:val="000000"/>
          <w:sz w:val="22"/>
        </w:rPr>
        <w:t>,</w:t>
      </w:r>
      <w:r w:rsidRPr="004A784D">
        <w:rPr>
          <w:noProof/>
          <w:color w:val="000000"/>
          <w:sz w:val="22"/>
        </w:rPr>
        <w:t xml:space="preserve"> 763-70.</w:t>
      </w:r>
      <w:bookmarkEnd w:id="2484"/>
    </w:p>
    <w:p w:rsidR="004A784D" w:rsidRPr="004A784D" w:rsidRDefault="004A784D" w:rsidP="004A784D">
      <w:pPr>
        <w:spacing w:after="240"/>
        <w:jc w:val="both"/>
        <w:rPr>
          <w:noProof/>
          <w:color w:val="000000"/>
          <w:sz w:val="22"/>
        </w:rPr>
      </w:pPr>
      <w:bookmarkStart w:id="2485" w:name="_ENREF_235"/>
      <w:r w:rsidRPr="004A784D">
        <w:rPr>
          <w:noProof/>
          <w:color w:val="000000"/>
          <w:sz w:val="22"/>
        </w:rPr>
        <w:t xml:space="preserve">LANCELOT, R., LESNOFF, M., TILLARD, E. &amp; MCDERMOTT, J. J. 2000. Graphical approaches to support the analysis of linear-multilevel models of lamb pre-weaning growth in Kolda (Senegal). </w:t>
      </w:r>
      <w:r w:rsidRPr="004A784D">
        <w:rPr>
          <w:i/>
          <w:noProof/>
          <w:color w:val="000000"/>
          <w:sz w:val="22"/>
        </w:rPr>
        <w:t>Prev Vet Med,</w:t>
      </w:r>
      <w:r w:rsidRPr="004A784D">
        <w:rPr>
          <w:noProof/>
          <w:color w:val="000000"/>
          <w:sz w:val="22"/>
        </w:rPr>
        <w:t xml:space="preserve"> 46</w:t>
      </w:r>
      <w:r w:rsidRPr="004A784D">
        <w:rPr>
          <w:b/>
          <w:noProof/>
          <w:color w:val="000000"/>
          <w:sz w:val="22"/>
        </w:rPr>
        <w:t>,</w:t>
      </w:r>
      <w:r w:rsidRPr="004A784D">
        <w:rPr>
          <w:noProof/>
          <w:color w:val="000000"/>
          <w:sz w:val="22"/>
        </w:rPr>
        <w:t xml:space="preserve"> 225-47.</w:t>
      </w:r>
      <w:bookmarkEnd w:id="2485"/>
    </w:p>
    <w:p w:rsidR="004A784D" w:rsidRPr="004A784D" w:rsidRDefault="004A784D" w:rsidP="004A784D">
      <w:pPr>
        <w:spacing w:after="240"/>
        <w:jc w:val="both"/>
        <w:rPr>
          <w:noProof/>
          <w:color w:val="000000"/>
          <w:sz w:val="22"/>
        </w:rPr>
      </w:pPr>
      <w:bookmarkStart w:id="2486" w:name="_ENREF_236"/>
      <w:r w:rsidRPr="004A784D">
        <w:rPr>
          <w:noProof/>
          <w:color w:val="000000"/>
          <w:sz w:val="22"/>
        </w:rPr>
        <w:t xml:space="preserve">LATTERICH, M., ABRAMOVITZ, M. &amp; LEYLAND-JONES, B. 2008. Proteomics: new technologies and clinical applications. </w:t>
      </w:r>
      <w:r w:rsidRPr="004A784D">
        <w:rPr>
          <w:i/>
          <w:noProof/>
          <w:color w:val="000000"/>
          <w:sz w:val="22"/>
        </w:rPr>
        <w:t>Eur J Cancer,</w:t>
      </w:r>
      <w:r w:rsidRPr="004A784D">
        <w:rPr>
          <w:noProof/>
          <w:color w:val="000000"/>
          <w:sz w:val="22"/>
        </w:rPr>
        <w:t xml:space="preserve"> 44</w:t>
      </w:r>
      <w:r w:rsidRPr="004A784D">
        <w:rPr>
          <w:b/>
          <w:noProof/>
          <w:color w:val="000000"/>
          <w:sz w:val="22"/>
        </w:rPr>
        <w:t>,</w:t>
      </w:r>
      <w:r w:rsidRPr="004A784D">
        <w:rPr>
          <w:noProof/>
          <w:color w:val="000000"/>
          <w:sz w:val="22"/>
        </w:rPr>
        <w:t xml:space="preserve"> 2737-41.</w:t>
      </w:r>
      <w:bookmarkEnd w:id="2486"/>
    </w:p>
    <w:p w:rsidR="004A784D" w:rsidRPr="004A784D" w:rsidRDefault="004A784D" w:rsidP="004A784D">
      <w:pPr>
        <w:spacing w:after="240"/>
        <w:jc w:val="both"/>
        <w:rPr>
          <w:noProof/>
          <w:color w:val="000000"/>
          <w:sz w:val="22"/>
        </w:rPr>
      </w:pPr>
      <w:bookmarkStart w:id="2487" w:name="_ENREF_237"/>
      <w:r w:rsidRPr="004A784D">
        <w:rPr>
          <w:noProof/>
          <w:color w:val="000000"/>
          <w:sz w:val="22"/>
        </w:rPr>
        <w:t xml:space="preserve">LAUBACH, J. P., MAHINDRA, A., MITSIADES, C. S., SCHLOSSMAN, R. L., MUNSHI, N. C., GHOBRIAL, I. M., CARREAU, N., HIDESHIMA, T., ANDERSON, K. C. &amp; RICHARDSON, P. G. 2009. The use of novel agents in the treatment of relapsed and refractory multiple myeloma. </w:t>
      </w:r>
      <w:r w:rsidRPr="004A784D">
        <w:rPr>
          <w:i/>
          <w:noProof/>
          <w:color w:val="000000"/>
          <w:sz w:val="22"/>
        </w:rPr>
        <w:t>Leukemia,</w:t>
      </w:r>
      <w:r w:rsidRPr="004A784D">
        <w:rPr>
          <w:noProof/>
          <w:color w:val="000000"/>
          <w:sz w:val="22"/>
        </w:rPr>
        <w:t xml:space="preserve"> 23</w:t>
      </w:r>
      <w:r w:rsidRPr="004A784D">
        <w:rPr>
          <w:b/>
          <w:noProof/>
          <w:color w:val="000000"/>
          <w:sz w:val="22"/>
        </w:rPr>
        <w:t>,</w:t>
      </w:r>
      <w:r w:rsidRPr="004A784D">
        <w:rPr>
          <w:noProof/>
          <w:color w:val="000000"/>
          <w:sz w:val="22"/>
        </w:rPr>
        <w:t xml:space="preserve"> 2222-32.</w:t>
      </w:r>
      <w:bookmarkEnd w:id="2487"/>
    </w:p>
    <w:p w:rsidR="004A784D" w:rsidRPr="004A784D" w:rsidRDefault="004A784D" w:rsidP="004A784D">
      <w:pPr>
        <w:spacing w:after="240"/>
        <w:jc w:val="both"/>
        <w:rPr>
          <w:noProof/>
          <w:color w:val="000000"/>
          <w:sz w:val="22"/>
        </w:rPr>
      </w:pPr>
      <w:bookmarkStart w:id="2488" w:name="_ENREF_238"/>
      <w:r w:rsidRPr="004A784D">
        <w:rPr>
          <w:noProof/>
          <w:color w:val="000000"/>
          <w:sz w:val="22"/>
        </w:rPr>
        <w:t xml:space="preserve">LEBLANC, R., HIDESHIMA, T., CATLEY, L. P., SHRINGARPURE, R., BURGER, R., MITSIADES, N., MITSIADES, C., CHEEMA, P., CHAUHAN, D., RICHARDSON, P. G., ANDERSON, K. C. &amp; MUNSHI, N. C. 2004. Immunomodulatory drug costimulates T cells via the B7-CD28 pathway. </w:t>
      </w:r>
      <w:r w:rsidRPr="004A784D">
        <w:rPr>
          <w:i/>
          <w:noProof/>
          <w:color w:val="000000"/>
          <w:sz w:val="22"/>
        </w:rPr>
        <w:t>Blood,</w:t>
      </w:r>
      <w:r w:rsidRPr="004A784D">
        <w:rPr>
          <w:noProof/>
          <w:color w:val="000000"/>
          <w:sz w:val="22"/>
        </w:rPr>
        <w:t xml:space="preserve"> 103</w:t>
      </w:r>
      <w:r w:rsidRPr="004A784D">
        <w:rPr>
          <w:b/>
          <w:noProof/>
          <w:color w:val="000000"/>
          <w:sz w:val="22"/>
        </w:rPr>
        <w:t>,</w:t>
      </w:r>
      <w:r w:rsidRPr="004A784D">
        <w:rPr>
          <w:noProof/>
          <w:color w:val="000000"/>
          <w:sz w:val="22"/>
        </w:rPr>
        <w:t xml:space="preserve"> 1787-90.</w:t>
      </w:r>
      <w:bookmarkEnd w:id="2488"/>
    </w:p>
    <w:p w:rsidR="004A784D" w:rsidRPr="004A784D" w:rsidRDefault="004A784D" w:rsidP="004A784D">
      <w:pPr>
        <w:spacing w:after="240"/>
        <w:jc w:val="both"/>
        <w:rPr>
          <w:noProof/>
          <w:color w:val="000000"/>
          <w:sz w:val="22"/>
        </w:rPr>
      </w:pPr>
      <w:bookmarkStart w:id="2489" w:name="_ENREF_239"/>
      <w:r w:rsidRPr="004A784D">
        <w:rPr>
          <w:noProof/>
          <w:color w:val="000000"/>
          <w:sz w:val="22"/>
        </w:rPr>
        <w:t xml:space="preserve">LEE, H. Y., KIM, M. K., PARK, K. S., SHIN, E. H., JO, S. H., KIM, S. D., JO, E. J., LEE, Y. N., LEE, C., BAEK, S. H. &amp; BAE, Y. S. 2006. Serum amyloid A induces contrary immune responses via formyl peptide receptor-like 1 in human monocytes. </w:t>
      </w:r>
      <w:r w:rsidRPr="004A784D">
        <w:rPr>
          <w:i/>
          <w:noProof/>
          <w:color w:val="000000"/>
          <w:sz w:val="22"/>
        </w:rPr>
        <w:t>Mol Pharmacol,</w:t>
      </w:r>
      <w:r w:rsidRPr="004A784D">
        <w:rPr>
          <w:noProof/>
          <w:color w:val="000000"/>
          <w:sz w:val="22"/>
        </w:rPr>
        <w:t xml:space="preserve"> 70</w:t>
      </w:r>
      <w:r w:rsidRPr="004A784D">
        <w:rPr>
          <w:b/>
          <w:noProof/>
          <w:color w:val="000000"/>
          <w:sz w:val="22"/>
        </w:rPr>
        <w:t>,</w:t>
      </w:r>
      <w:r w:rsidRPr="004A784D">
        <w:rPr>
          <w:noProof/>
          <w:color w:val="000000"/>
          <w:sz w:val="22"/>
        </w:rPr>
        <w:t xml:space="preserve"> 241-8.</w:t>
      </w:r>
      <w:bookmarkEnd w:id="2489"/>
    </w:p>
    <w:p w:rsidR="004A784D" w:rsidRPr="004A784D" w:rsidRDefault="004A784D" w:rsidP="004A784D">
      <w:pPr>
        <w:spacing w:after="240"/>
        <w:jc w:val="both"/>
        <w:rPr>
          <w:noProof/>
          <w:color w:val="000000"/>
          <w:sz w:val="22"/>
        </w:rPr>
      </w:pPr>
      <w:bookmarkStart w:id="2490" w:name="_ENREF_240"/>
      <w:r w:rsidRPr="004A784D">
        <w:rPr>
          <w:noProof/>
          <w:color w:val="000000"/>
          <w:sz w:val="22"/>
        </w:rPr>
        <w:t xml:space="preserve">LEPPALUOTO, J. 2006. Biobank research. </w:t>
      </w:r>
      <w:r w:rsidRPr="004A784D">
        <w:rPr>
          <w:i/>
          <w:noProof/>
          <w:color w:val="000000"/>
          <w:sz w:val="22"/>
        </w:rPr>
        <w:t>Int J Circumpolar Health,</w:t>
      </w:r>
      <w:r w:rsidRPr="004A784D">
        <w:rPr>
          <w:noProof/>
          <w:color w:val="000000"/>
          <w:sz w:val="22"/>
        </w:rPr>
        <w:t xml:space="preserve"> 65</w:t>
      </w:r>
      <w:r w:rsidRPr="004A784D">
        <w:rPr>
          <w:b/>
          <w:noProof/>
          <w:color w:val="000000"/>
          <w:sz w:val="22"/>
        </w:rPr>
        <w:t>,</w:t>
      </w:r>
      <w:r w:rsidRPr="004A784D">
        <w:rPr>
          <w:noProof/>
          <w:color w:val="000000"/>
          <w:sz w:val="22"/>
        </w:rPr>
        <w:t xml:space="preserve"> 271-2.</w:t>
      </w:r>
      <w:bookmarkEnd w:id="2490"/>
    </w:p>
    <w:p w:rsidR="004A784D" w:rsidRPr="004A784D" w:rsidRDefault="004A784D" w:rsidP="004A784D">
      <w:pPr>
        <w:spacing w:after="240"/>
        <w:jc w:val="both"/>
        <w:rPr>
          <w:noProof/>
          <w:color w:val="000000"/>
          <w:sz w:val="22"/>
        </w:rPr>
      </w:pPr>
      <w:bookmarkStart w:id="2491" w:name="_ENREF_241"/>
      <w:r w:rsidRPr="004A784D">
        <w:rPr>
          <w:noProof/>
          <w:color w:val="000000"/>
          <w:sz w:val="22"/>
        </w:rPr>
        <w:t xml:space="preserve">LEVESQUE, E. &amp; BRADETTE, M. 2009. Hepatotoxicity as a rare but serious side effect of thalidomide. </w:t>
      </w:r>
      <w:r w:rsidRPr="004A784D">
        <w:rPr>
          <w:i/>
          <w:noProof/>
          <w:color w:val="000000"/>
          <w:sz w:val="22"/>
        </w:rPr>
        <w:t>Ann Hematol,</w:t>
      </w:r>
      <w:r w:rsidRPr="004A784D">
        <w:rPr>
          <w:noProof/>
          <w:color w:val="000000"/>
          <w:sz w:val="22"/>
        </w:rPr>
        <w:t xml:space="preserve"> 88</w:t>
      </w:r>
      <w:r w:rsidRPr="004A784D">
        <w:rPr>
          <w:b/>
          <w:noProof/>
          <w:color w:val="000000"/>
          <w:sz w:val="22"/>
        </w:rPr>
        <w:t>,</w:t>
      </w:r>
      <w:r w:rsidRPr="004A784D">
        <w:rPr>
          <w:noProof/>
          <w:color w:val="000000"/>
          <w:sz w:val="22"/>
        </w:rPr>
        <w:t xml:space="preserve"> 183-4.</w:t>
      </w:r>
      <w:bookmarkEnd w:id="2491"/>
    </w:p>
    <w:p w:rsidR="004A784D" w:rsidRPr="004A784D" w:rsidRDefault="004A784D" w:rsidP="004A784D">
      <w:pPr>
        <w:spacing w:after="240"/>
        <w:jc w:val="both"/>
        <w:rPr>
          <w:noProof/>
          <w:color w:val="000000"/>
          <w:sz w:val="22"/>
        </w:rPr>
      </w:pPr>
      <w:bookmarkStart w:id="2492" w:name="_ENREF_242"/>
      <w:r w:rsidRPr="004A784D">
        <w:rPr>
          <w:noProof/>
          <w:color w:val="000000"/>
          <w:sz w:val="22"/>
        </w:rPr>
        <w:t xml:space="preserve">LEVI, F., LUCCHINI, F., NEGRI, E., BOYLE, P. &amp; LA VECCHIA, C. 2001. Changed trends of cancer mortality in the elderly. </w:t>
      </w:r>
      <w:r w:rsidRPr="004A784D">
        <w:rPr>
          <w:i/>
          <w:noProof/>
          <w:color w:val="000000"/>
          <w:sz w:val="22"/>
        </w:rPr>
        <w:t>Ann Oncol,</w:t>
      </w:r>
      <w:r w:rsidRPr="004A784D">
        <w:rPr>
          <w:noProof/>
          <w:color w:val="000000"/>
          <w:sz w:val="22"/>
        </w:rPr>
        <w:t xml:space="preserve"> 12</w:t>
      </w:r>
      <w:r w:rsidRPr="004A784D">
        <w:rPr>
          <w:b/>
          <w:noProof/>
          <w:color w:val="000000"/>
          <w:sz w:val="22"/>
        </w:rPr>
        <w:t>,</w:t>
      </w:r>
      <w:r w:rsidRPr="004A784D">
        <w:rPr>
          <w:noProof/>
          <w:color w:val="000000"/>
          <w:sz w:val="22"/>
        </w:rPr>
        <w:t xml:space="preserve"> 1467-77.</w:t>
      </w:r>
      <w:bookmarkEnd w:id="2492"/>
    </w:p>
    <w:p w:rsidR="004A784D" w:rsidRPr="004A784D" w:rsidRDefault="004A784D" w:rsidP="004A784D">
      <w:pPr>
        <w:spacing w:after="240"/>
        <w:jc w:val="both"/>
        <w:rPr>
          <w:noProof/>
          <w:color w:val="000000"/>
          <w:sz w:val="22"/>
        </w:rPr>
      </w:pPr>
      <w:bookmarkStart w:id="2493" w:name="_ENREF_243"/>
      <w:r w:rsidRPr="004A784D">
        <w:rPr>
          <w:noProof/>
          <w:color w:val="000000"/>
          <w:sz w:val="22"/>
        </w:rPr>
        <w:t xml:space="preserve">LI, J., OKAMOTO, H., YIN, C., JAGANNATHAN, J., TAKIZAWA, J., AOKI, S., GLASKER, S., RUSHING, E. J., VORTMEYER, A. O., OLDFIELD, E. H., YAMANAKA, R. &amp; ZHUANG, Z. 2008. Proteomic characterization of primary diffuse large B-cell lymphomas in the central nervous system. </w:t>
      </w:r>
      <w:r w:rsidRPr="004A784D">
        <w:rPr>
          <w:i/>
          <w:noProof/>
          <w:color w:val="000000"/>
          <w:sz w:val="22"/>
        </w:rPr>
        <w:t>J Neurosurg,</w:t>
      </w:r>
      <w:r w:rsidRPr="004A784D">
        <w:rPr>
          <w:noProof/>
          <w:color w:val="000000"/>
          <w:sz w:val="22"/>
        </w:rPr>
        <w:t xml:space="preserve"> 109</w:t>
      </w:r>
      <w:r w:rsidRPr="004A784D">
        <w:rPr>
          <w:b/>
          <w:noProof/>
          <w:color w:val="000000"/>
          <w:sz w:val="22"/>
        </w:rPr>
        <w:t>,</w:t>
      </w:r>
      <w:r w:rsidRPr="004A784D">
        <w:rPr>
          <w:noProof/>
          <w:color w:val="000000"/>
          <w:sz w:val="22"/>
        </w:rPr>
        <w:t xml:space="preserve"> 536-46.</w:t>
      </w:r>
      <w:bookmarkEnd w:id="2493"/>
    </w:p>
    <w:p w:rsidR="004A784D" w:rsidRPr="004A784D" w:rsidRDefault="004A784D" w:rsidP="004A784D">
      <w:pPr>
        <w:spacing w:after="240"/>
        <w:jc w:val="both"/>
        <w:rPr>
          <w:noProof/>
          <w:color w:val="000000"/>
          <w:sz w:val="22"/>
        </w:rPr>
      </w:pPr>
      <w:bookmarkStart w:id="2494" w:name="_ENREF_244"/>
      <w:r w:rsidRPr="004A784D">
        <w:rPr>
          <w:noProof/>
          <w:color w:val="000000"/>
          <w:sz w:val="22"/>
        </w:rPr>
        <w:t xml:space="preserve">LI, L., TANG, H., WU, Z., GONG, J., GRUIDL, M., ZOU, J., TOCKMAN, M. &amp; CLARK, R. A. 2004. Data mining techniques for cancer detection using serum proteomic profiling. </w:t>
      </w:r>
      <w:r w:rsidRPr="004A784D">
        <w:rPr>
          <w:i/>
          <w:noProof/>
          <w:color w:val="000000"/>
          <w:sz w:val="22"/>
        </w:rPr>
        <w:t>Artif Intell Med,</w:t>
      </w:r>
      <w:r w:rsidRPr="004A784D">
        <w:rPr>
          <w:noProof/>
          <w:color w:val="000000"/>
          <w:sz w:val="22"/>
        </w:rPr>
        <w:t xml:space="preserve"> 32</w:t>
      </w:r>
      <w:r w:rsidRPr="004A784D">
        <w:rPr>
          <w:b/>
          <w:noProof/>
          <w:color w:val="000000"/>
          <w:sz w:val="22"/>
        </w:rPr>
        <w:t>,</w:t>
      </w:r>
      <w:r w:rsidRPr="004A784D">
        <w:rPr>
          <w:noProof/>
          <w:color w:val="000000"/>
          <w:sz w:val="22"/>
        </w:rPr>
        <w:t xml:space="preserve"> 71-83.</w:t>
      </w:r>
      <w:bookmarkEnd w:id="2494"/>
    </w:p>
    <w:p w:rsidR="004A784D" w:rsidRPr="004A784D" w:rsidRDefault="004A784D" w:rsidP="004A784D">
      <w:pPr>
        <w:spacing w:after="240"/>
        <w:jc w:val="both"/>
        <w:rPr>
          <w:noProof/>
          <w:color w:val="000000"/>
          <w:sz w:val="22"/>
        </w:rPr>
      </w:pPr>
      <w:bookmarkStart w:id="2495" w:name="_ENREF_245"/>
      <w:r w:rsidRPr="004A784D">
        <w:rPr>
          <w:noProof/>
          <w:color w:val="000000"/>
          <w:sz w:val="22"/>
        </w:rPr>
        <w:lastRenderedPageBreak/>
        <w:t xml:space="preserve">LILLEY, K. S. &amp; FRIEDMAN, D. B. 2004. All about DIGE: quantification technology for differential-display 2D-gel proteomics. </w:t>
      </w:r>
      <w:r w:rsidRPr="004A784D">
        <w:rPr>
          <w:i/>
          <w:noProof/>
          <w:color w:val="000000"/>
          <w:sz w:val="22"/>
        </w:rPr>
        <w:t>Expert Rev Proteomics,</w:t>
      </w:r>
      <w:r w:rsidRPr="004A784D">
        <w:rPr>
          <w:noProof/>
          <w:color w:val="000000"/>
          <w:sz w:val="22"/>
        </w:rPr>
        <w:t xml:space="preserve"> 1</w:t>
      </w:r>
      <w:r w:rsidRPr="004A784D">
        <w:rPr>
          <w:b/>
          <w:noProof/>
          <w:color w:val="000000"/>
          <w:sz w:val="22"/>
        </w:rPr>
        <w:t>,</w:t>
      </w:r>
      <w:r w:rsidRPr="004A784D">
        <w:rPr>
          <w:noProof/>
          <w:color w:val="000000"/>
          <w:sz w:val="22"/>
        </w:rPr>
        <w:t xml:space="preserve"> 401-9.</w:t>
      </w:r>
      <w:bookmarkEnd w:id="2495"/>
    </w:p>
    <w:p w:rsidR="004A784D" w:rsidRPr="004A784D" w:rsidRDefault="004A784D" w:rsidP="004A784D">
      <w:pPr>
        <w:spacing w:after="240"/>
        <w:jc w:val="both"/>
        <w:rPr>
          <w:noProof/>
          <w:color w:val="000000"/>
          <w:sz w:val="22"/>
        </w:rPr>
      </w:pPr>
      <w:bookmarkStart w:id="2496" w:name="_ENREF_246"/>
      <w:r w:rsidRPr="004A784D">
        <w:rPr>
          <w:noProof/>
          <w:color w:val="000000"/>
          <w:sz w:val="22"/>
        </w:rPr>
        <w:t xml:space="preserve">LILLEY, K. S., RAZZAQ, A. &amp; DUPREE, P. 2002. Two-dimensional gel electrophoresis: recent advances in sample preparation, detection and quantitation. </w:t>
      </w:r>
      <w:r w:rsidRPr="004A784D">
        <w:rPr>
          <w:i/>
          <w:noProof/>
          <w:color w:val="000000"/>
          <w:sz w:val="22"/>
        </w:rPr>
        <w:t>Curr Opin Chem Biol,</w:t>
      </w:r>
      <w:r w:rsidRPr="004A784D">
        <w:rPr>
          <w:noProof/>
          <w:color w:val="000000"/>
          <w:sz w:val="22"/>
        </w:rPr>
        <w:t xml:space="preserve"> 6</w:t>
      </w:r>
      <w:r w:rsidRPr="004A784D">
        <w:rPr>
          <w:b/>
          <w:noProof/>
          <w:color w:val="000000"/>
          <w:sz w:val="22"/>
        </w:rPr>
        <w:t>,</w:t>
      </w:r>
      <w:r w:rsidRPr="004A784D">
        <w:rPr>
          <w:noProof/>
          <w:color w:val="000000"/>
          <w:sz w:val="22"/>
        </w:rPr>
        <w:t xml:space="preserve"> 46-50.</w:t>
      </w:r>
      <w:bookmarkEnd w:id="2496"/>
    </w:p>
    <w:p w:rsidR="004A784D" w:rsidRPr="004A784D" w:rsidRDefault="004A784D" w:rsidP="004A784D">
      <w:pPr>
        <w:spacing w:after="240"/>
        <w:jc w:val="both"/>
        <w:rPr>
          <w:noProof/>
          <w:color w:val="000000"/>
          <w:sz w:val="22"/>
        </w:rPr>
      </w:pPr>
      <w:bookmarkStart w:id="2497" w:name="_ENREF_247"/>
      <w:r w:rsidRPr="004A784D">
        <w:rPr>
          <w:noProof/>
          <w:color w:val="000000"/>
          <w:sz w:val="22"/>
        </w:rPr>
        <w:t xml:space="preserve">LIM, M. S. &amp; ELENITOBA-JOHNSON, K. S. 2006. Mass spectrometry-based proteomic studies of human anaplastic large cell lymphoma. </w:t>
      </w:r>
      <w:r w:rsidRPr="004A784D">
        <w:rPr>
          <w:i/>
          <w:noProof/>
          <w:color w:val="000000"/>
          <w:sz w:val="22"/>
        </w:rPr>
        <w:t>Mol Cell Proteomics,</w:t>
      </w:r>
      <w:r w:rsidRPr="004A784D">
        <w:rPr>
          <w:noProof/>
          <w:color w:val="000000"/>
          <w:sz w:val="22"/>
        </w:rPr>
        <w:t xml:space="preserve"> 5</w:t>
      </w:r>
      <w:r w:rsidRPr="004A784D">
        <w:rPr>
          <w:b/>
          <w:noProof/>
          <w:color w:val="000000"/>
          <w:sz w:val="22"/>
        </w:rPr>
        <w:t>,</w:t>
      </w:r>
      <w:r w:rsidRPr="004A784D">
        <w:rPr>
          <w:noProof/>
          <w:color w:val="000000"/>
          <w:sz w:val="22"/>
        </w:rPr>
        <w:t xml:space="preserve"> 1787-98.</w:t>
      </w:r>
      <w:bookmarkEnd w:id="2497"/>
    </w:p>
    <w:p w:rsidR="004A784D" w:rsidRPr="004A784D" w:rsidRDefault="004A784D" w:rsidP="004A784D">
      <w:pPr>
        <w:spacing w:after="240"/>
        <w:jc w:val="both"/>
        <w:rPr>
          <w:noProof/>
          <w:color w:val="000000"/>
          <w:sz w:val="22"/>
        </w:rPr>
      </w:pPr>
      <w:bookmarkStart w:id="2498" w:name="_ENREF_248"/>
      <w:r w:rsidRPr="004A784D">
        <w:rPr>
          <w:noProof/>
          <w:color w:val="000000"/>
          <w:sz w:val="22"/>
        </w:rPr>
        <w:t xml:space="preserve">LINDFORS, E., HELKIMO, M. &amp; MAGNUSSON, T. 2011. Patients' adherence to hard acrylic interocclusal appliance treatment in general dental practice in Sweden. </w:t>
      </w:r>
      <w:r w:rsidRPr="004A784D">
        <w:rPr>
          <w:i/>
          <w:noProof/>
          <w:color w:val="000000"/>
          <w:sz w:val="22"/>
        </w:rPr>
        <w:t>Swed Dent J,</w:t>
      </w:r>
      <w:r w:rsidRPr="004A784D">
        <w:rPr>
          <w:noProof/>
          <w:color w:val="000000"/>
          <w:sz w:val="22"/>
        </w:rPr>
        <w:t xml:space="preserve"> 35</w:t>
      </w:r>
      <w:r w:rsidRPr="004A784D">
        <w:rPr>
          <w:b/>
          <w:noProof/>
          <w:color w:val="000000"/>
          <w:sz w:val="22"/>
        </w:rPr>
        <w:t>,</w:t>
      </w:r>
      <w:r w:rsidRPr="004A784D">
        <w:rPr>
          <w:noProof/>
          <w:color w:val="000000"/>
          <w:sz w:val="22"/>
        </w:rPr>
        <w:t xml:space="preserve"> 133-42.</w:t>
      </w:r>
      <w:bookmarkEnd w:id="2498"/>
    </w:p>
    <w:p w:rsidR="004A784D" w:rsidRPr="004A784D" w:rsidRDefault="004A784D" w:rsidP="004A784D">
      <w:pPr>
        <w:spacing w:after="240"/>
        <w:jc w:val="both"/>
        <w:rPr>
          <w:noProof/>
          <w:color w:val="000000"/>
          <w:sz w:val="22"/>
        </w:rPr>
      </w:pPr>
      <w:bookmarkStart w:id="2499" w:name="_ENREF_249"/>
      <w:r w:rsidRPr="004A784D">
        <w:rPr>
          <w:noProof/>
          <w:color w:val="000000"/>
          <w:sz w:val="22"/>
        </w:rPr>
        <w:t xml:space="preserve">LIU, L., WANG, J., LIU, B., DAI, S., WANG, X., CHEN, J., HUANG, L., XIAO, X. &amp; HE, D. 2008. Serum levels of variants of transthyretin down-regulation in cholangiocarcinoma. </w:t>
      </w:r>
      <w:r w:rsidRPr="004A784D">
        <w:rPr>
          <w:i/>
          <w:noProof/>
          <w:color w:val="000000"/>
          <w:sz w:val="22"/>
        </w:rPr>
        <w:t>J Cell Biochem,</w:t>
      </w:r>
      <w:r w:rsidRPr="004A784D">
        <w:rPr>
          <w:noProof/>
          <w:color w:val="000000"/>
          <w:sz w:val="22"/>
        </w:rPr>
        <w:t xml:space="preserve"> 104</w:t>
      </w:r>
      <w:r w:rsidRPr="004A784D">
        <w:rPr>
          <w:b/>
          <w:noProof/>
          <w:color w:val="000000"/>
          <w:sz w:val="22"/>
        </w:rPr>
        <w:t>,</w:t>
      </w:r>
      <w:r w:rsidRPr="004A784D">
        <w:rPr>
          <w:noProof/>
          <w:color w:val="000000"/>
          <w:sz w:val="22"/>
        </w:rPr>
        <w:t xml:space="preserve"> 745-55.</w:t>
      </w:r>
      <w:bookmarkEnd w:id="2499"/>
    </w:p>
    <w:p w:rsidR="004A784D" w:rsidRPr="004A784D" w:rsidRDefault="004A784D" w:rsidP="004A784D">
      <w:pPr>
        <w:spacing w:after="240"/>
        <w:jc w:val="both"/>
        <w:rPr>
          <w:noProof/>
          <w:color w:val="000000"/>
          <w:sz w:val="22"/>
        </w:rPr>
      </w:pPr>
      <w:bookmarkStart w:id="2500" w:name="_ENREF_250"/>
      <w:r w:rsidRPr="004A784D">
        <w:rPr>
          <w:noProof/>
          <w:color w:val="000000"/>
          <w:sz w:val="22"/>
        </w:rPr>
        <w:t xml:space="preserve">LIU, W. M., STRAUSS, S. J., CHAPLIN, T., SHAHIN, S., PROPPER, D. J., YOUNG, B. D., JOEL, S. P. &amp; MALPAS, J. S. 2004. s-thalidomide has a greater effect on apoptosis than angiogenesis in a multiple myeloma cell line. </w:t>
      </w:r>
      <w:r w:rsidRPr="004A784D">
        <w:rPr>
          <w:i/>
          <w:noProof/>
          <w:color w:val="000000"/>
          <w:sz w:val="22"/>
        </w:rPr>
        <w:t>Hematol J,</w:t>
      </w:r>
      <w:r w:rsidRPr="004A784D">
        <w:rPr>
          <w:noProof/>
          <w:color w:val="000000"/>
          <w:sz w:val="22"/>
        </w:rPr>
        <w:t xml:space="preserve"> 5</w:t>
      </w:r>
      <w:r w:rsidRPr="004A784D">
        <w:rPr>
          <w:b/>
          <w:noProof/>
          <w:color w:val="000000"/>
          <w:sz w:val="22"/>
        </w:rPr>
        <w:t>,</w:t>
      </w:r>
      <w:r w:rsidRPr="004A784D">
        <w:rPr>
          <w:noProof/>
          <w:color w:val="000000"/>
          <w:sz w:val="22"/>
        </w:rPr>
        <w:t xml:space="preserve"> 247-54.</w:t>
      </w:r>
      <w:bookmarkEnd w:id="2500"/>
    </w:p>
    <w:p w:rsidR="004A784D" w:rsidRPr="004A784D" w:rsidRDefault="004A784D" w:rsidP="004A784D">
      <w:pPr>
        <w:spacing w:after="240"/>
        <w:jc w:val="both"/>
        <w:rPr>
          <w:noProof/>
          <w:color w:val="000000"/>
          <w:sz w:val="22"/>
        </w:rPr>
      </w:pPr>
      <w:bookmarkStart w:id="2501" w:name="_ENREF_251"/>
      <w:r w:rsidRPr="004A784D">
        <w:rPr>
          <w:noProof/>
          <w:color w:val="000000"/>
          <w:sz w:val="22"/>
        </w:rPr>
        <w:t xml:space="preserve">LOKHORST, H. M., SCHMIDT-WOLF, I., SONNEVELD, P., VAN DER HOLT, B., MARTIN, H., BARGE, R., BERTSCH, U., SCHLENZKA, J., BOS, G. M., CROOCKEWIT, S., ZWEEGMAN, S., BREITKREUTZ, I., JOOSTEN, P., SCHEID, C., VAN MARWIJK-KOOY, M., SALWENDER, H. J., VAN OERS, M. H., SCHAAFSMA, R., NAUMANN, R., SINNIGE, H., BLAU, I., DELFORGE, M., DE WEERDT, O., WIJERMANS, P., WITTEBOL, S., DUERSEN, U., VELLENGA, E. &amp; GOLDSCHMIDT, H. 2008. Thalidomide in induction treatment increases the very good partial response rate before and after high-dose therapy in previously untreated multiple myeloma. </w:t>
      </w:r>
      <w:r w:rsidRPr="004A784D">
        <w:rPr>
          <w:i/>
          <w:noProof/>
          <w:color w:val="000000"/>
          <w:sz w:val="22"/>
        </w:rPr>
        <w:t>Haematologica,</w:t>
      </w:r>
      <w:r w:rsidRPr="004A784D">
        <w:rPr>
          <w:noProof/>
          <w:color w:val="000000"/>
          <w:sz w:val="22"/>
        </w:rPr>
        <w:t xml:space="preserve"> 93</w:t>
      </w:r>
      <w:r w:rsidRPr="004A784D">
        <w:rPr>
          <w:b/>
          <w:noProof/>
          <w:color w:val="000000"/>
          <w:sz w:val="22"/>
        </w:rPr>
        <w:t>,</w:t>
      </w:r>
      <w:r w:rsidRPr="004A784D">
        <w:rPr>
          <w:noProof/>
          <w:color w:val="000000"/>
          <w:sz w:val="22"/>
        </w:rPr>
        <w:t xml:space="preserve"> 124-7.</w:t>
      </w:r>
      <w:bookmarkEnd w:id="2501"/>
    </w:p>
    <w:p w:rsidR="004A784D" w:rsidRPr="004A784D" w:rsidRDefault="004A784D" w:rsidP="004A784D">
      <w:pPr>
        <w:spacing w:after="240"/>
        <w:jc w:val="both"/>
        <w:rPr>
          <w:noProof/>
          <w:color w:val="000000"/>
          <w:sz w:val="22"/>
        </w:rPr>
      </w:pPr>
      <w:bookmarkStart w:id="2502" w:name="_ENREF_252"/>
      <w:r w:rsidRPr="004A784D">
        <w:rPr>
          <w:noProof/>
          <w:color w:val="000000"/>
          <w:sz w:val="22"/>
        </w:rPr>
        <w:t xml:space="preserve">LU, L., PAYVANDI, F., WU, L., ZHANG, L. H., HARIRI, R. J., MAN, H. W., CHEN, R. S., MULLER, G. W., HUGHES, C. C., STIRLING, D. I., SCHAFER, P. H. &amp; BARTLETT, J. B. 2009. The anti-cancer drug lenalidomide inhibits angiogenesis and metastasis via multiple inhibitory effects on endothelial cell function in normoxic and hypoxic conditions. </w:t>
      </w:r>
      <w:r w:rsidRPr="004A784D">
        <w:rPr>
          <w:i/>
          <w:noProof/>
          <w:color w:val="000000"/>
          <w:sz w:val="22"/>
        </w:rPr>
        <w:t>Microvasc Res,</w:t>
      </w:r>
      <w:r w:rsidRPr="004A784D">
        <w:rPr>
          <w:noProof/>
          <w:color w:val="000000"/>
          <w:sz w:val="22"/>
        </w:rPr>
        <w:t xml:space="preserve"> 77</w:t>
      </w:r>
      <w:r w:rsidRPr="004A784D">
        <w:rPr>
          <w:b/>
          <w:noProof/>
          <w:color w:val="000000"/>
          <w:sz w:val="22"/>
        </w:rPr>
        <w:t>,</w:t>
      </w:r>
      <w:r w:rsidRPr="004A784D">
        <w:rPr>
          <w:noProof/>
          <w:color w:val="000000"/>
          <w:sz w:val="22"/>
        </w:rPr>
        <w:t xml:space="preserve"> 78-86.</w:t>
      </w:r>
      <w:bookmarkEnd w:id="2502"/>
    </w:p>
    <w:p w:rsidR="004A784D" w:rsidRPr="004A784D" w:rsidRDefault="004A784D" w:rsidP="004A784D">
      <w:pPr>
        <w:spacing w:after="240"/>
        <w:jc w:val="both"/>
        <w:rPr>
          <w:noProof/>
          <w:color w:val="000000"/>
          <w:sz w:val="22"/>
        </w:rPr>
      </w:pPr>
      <w:bookmarkStart w:id="2503" w:name="_ENREF_253"/>
      <w:r w:rsidRPr="004A784D">
        <w:rPr>
          <w:noProof/>
          <w:color w:val="000000"/>
          <w:sz w:val="22"/>
        </w:rPr>
        <w:t xml:space="preserve">LUC, G., FERRI RES, J., EVANS, A., AMOUYEL, P., ARVEILER, D., CAMBIEN, F., FRUCHART, J. C. &amp; DUCIMETIERE, P. 2003. [Biological banks of the prospective cohort PRIME Study]. </w:t>
      </w:r>
      <w:r w:rsidRPr="004A784D">
        <w:rPr>
          <w:i/>
          <w:noProof/>
          <w:color w:val="000000"/>
          <w:sz w:val="22"/>
        </w:rPr>
        <w:t>Rev Epidemiol Sante Publique,</w:t>
      </w:r>
      <w:r w:rsidRPr="004A784D">
        <w:rPr>
          <w:noProof/>
          <w:color w:val="000000"/>
          <w:sz w:val="22"/>
        </w:rPr>
        <w:t xml:space="preserve"> 51</w:t>
      </w:r>
      <w:r w:rsidRPr="004A784D">
        <w:rPr>
          <w:b/>
          <w:noProof/>
          <w:color w:val="000000"/>
          <w:sz w:val="22"/>
        </w:rPr>
        <w:t>,</w:t>
      </w:r>
      <w:r w:rsidRPr="004A784D">
        <w:rPr>
          <w:noProof/>
          <w:color w:val="000000"/>
          <w:sz w:val="22"/>
        </w:rPr>
        <w:t xml:space="preserve"> 159-66.</w:t>
      </w:r>
      <w:bookmarkEnd w:id="2503"/>
    </w:p>
    <w:p w:rsidR="004A784D" w:rsidRPr="004A784D" w:rsidRDefault="004A784D" w:rsidP="004A784D">
      <w:pPr>
        <w:spacing w:after="240"/>
        <w:jc w:val="both"/>
        <w:rPr>
          <w:noProof/>
          <w:color w:val="000000"/>
          <w:sz w:val="22"/>
        </w:rPr>
      </w:pPr>
      <w:bookmarkStart w:id="2504" w:name="_ENREF_254"/>
      <w:r w:rsidRPr="004A784D">
        <w:rPr>
          <w:noProof/>
          <w:color w:val="000000"/>
          <w:sz w:val="22"/>
        </w:rPr>
        <w:t xml:space="preserve">LUDWIG, H. 2010. BMP-2: a culprit for anemia in myeloma. </w:t>
      </w:r>
      <w:r w:rsidRPr="004A784D">
        <w:rPr>
          <w:i/>
          <w:noProof/>
          <w:color w:val="000000"/>
          <w:sz w:val="22"/>
        </w:rPr>
        <w:t>Blood,</w:t>
      </w:r>
      <w:r w:rsidRPr="004A784D">
        <w:rPr>
          <w:noProof/>
          <w:color w:val="000000"/>
          <w:sz w:val="22"/>
        </w:rPr>
        <w:t xml:space="preserve"> 116</w:t>
      </w:r>
      <w:r w:rsidRPr="004A784D">
        <w:rPr>
          <w:b/>
          <w:noProof/>
          <w:color w:val="000000"/>
          <w:sz w:val="22"/>
        </w:rPr>
        <w:t>,</w:t>
      </w:r>
      <w:r w:rsidRPr="004A784D">
        <w:rPr>
          <w:noProof/>
          <w:color w:val="000000"/>
          <w:sz w:val="22"/>
        </w:rPr>
        <w:t xml:space="preserve"> 3383-4.</w:t>
      </w:r>
      <w:bookmarkEnd w:id="2504"/>
    </w:p>
    <w:p w:rsidR="004A784D" w:rsidRPr="004A784D" w:rsidRDefault="004A784D" w:rsidP="004A784D">
      <w:pPr>
        <w:spacing w:after="240"/>
        <w:jc w:val="both"/>
        <w:rPr>
          <w:noProof/>
          <w:color w:val="000000"/>
          <w:sz w:val="22"/>
        </w:rPr>
      </w:pPr>
      <w:bookmarkStart w:id="2505" w:name="_ENREF_255"/>
      <w:r w:rsidRPr="004A784D">
        <w:rPr>
          <w:noProof/>
          <w:color w:val="000000"/>
          <w:sz w:val="22"/>
        </w:rPr>
        <w:t xml:space="preserve">LUDWIG, H., BOLEJACK, V., CROWLEY, J., BLADE, J., MIGUEL, J. S., KYLE, R. A., RAJKUMAR, S. V., SHIMIZU, K., TURESSON, I., WESTIN, J., SONNEVELD, P., CAVO, M., BOCCADORO, M., PALUMBO, A., TOSI, P., HAROUSSEAU, J. L., ATTAL, M., BARLOGIE, B., STEWART, A. K. &amp; DURIE, B. 2010. Survival and years of life lost in different age cohorts of patients with multiple myeloma. </w:t>
      </w:r>
      <w:r w:rsidRPr="004A784D">
        <w:rPr>
          <w:i/>
          <w:noProof/>
          <w:color w:val="000000"/>
          <w:sz w:val="22"/>
        </w:rPr>
        <w:t>J Clin Oncol,</w:t>
      </w:r>
      <w:r w:rsidRPr="004A784D">
        <w:rPr>
          <w:noProof/>
          <w:color w:val="000000"/>
          <w:sz w:val="22"/>
        </w:rPr>
        <w:t xml:space="preserve"> 28</w:t>
      </w:r>
      <w:r w:rsidRPr="004A784D">
        <w:rPr>
          <w:b/>
          <w:noProof/>
          <w:color w:val="000000"/>
          <w:sz w:val="22"/>
        </w:rPr>
        <w:t>,</w:t>
      </w:r>
      <w:r w:rsidRPr="004A784D">
        <w:rPr>
          <w:noProof/>
          <w:color w:val="000000"/>
          <w:sz w:val="22"/>
        </w:rPr>
        <w:t xml:space="preserve"> 1599-605.</w:t>
      </w:r>
      <w:bookmarkEnd w:id="2505"/>
    </w:p>
    <w:p w:rsidR="004A784D" w:rsidRPr="004A784D" w:rsidRDefault="004A784D" w:rsidP="004A784D">
      <w:pPr>
        <w:spacing w:after="240"/>
        <w:jc w:val="both"/>
        <w:rPr>
          <w:noProof/>
          <w:color w:val="000000"/>
          <w:sz w:val="22"/>
        </w:rPr>
      </w:pPr>
      <w:bookmarkStart w:id="2506" w:name="_ENREF_256"/>
      <w:r w:rsidRPr="004A784D">
        <w:rPr>
          <w:noProof/>
          <w:color w:val="000000"/>
          <w:sz w:val="22"/>
        </w:rPr>
        <w:t xml:space="preserve">LUDWIG, H. &amp; ZOJER, N. 2011. Supportive therapy in multiple myeloma. </w:t>
      </w:r>
      <w:r w:rsidRPr="004A784D">
        <w:rPr>
          <w:i/>
          <w:noProof/>
          <w:color w:val="000000"/>
          <w:sz w:val="22"/>
        </w:rPr>
        <w:t>Recent Results Cancer Res,</w:t>
      </w:r>
      <w:r w:rsidRPr="004A784D">
        <w:rPr>
          <w:noProof/>
          <w:color w:val="000000"/>
          <w:sz w:val="22"/>
        </w:rPr>
        <w:t xml:space="preserve"> 183</w:t>
      </w:r>
      <w:r w:rsidRPr="004A784D">
        <w:rPr>
          <w:b/>
          <w:noProof/>
          <w:color w:val="000000"/>
          <w:sz w:val="22"/>
        </w:rPr>
        <w:t>,</w:t>
      </w:r>
      <w:r w:rsidRPr="004A784D">
        <w:rPr>
          <w:noProof/>
          <w:color w:val="000000"/>
          <w:sz w:val="22"/>
        </w:rPr>
        <w:t xml:space="preserve"> 307-33.</w:t>
      </w:r>
      <w:bookmarkEnd w:id="2506"/>
    </w:p>
    <w:p w:rsidR="004A784D" w:rsidRPr="004A784D" w:rsidRDefault="004A784D" w:rsidP="004A784D">
      <w:pPr>
        <w:spacing w:after="240"/>
        <w:jc w:val="both"/>
        <w:rPr>
          <w:noProof/>
          <w:color w:val="000000"/>
          <w:sz w:val="22"/>
        </w:rPr>
      </w:pPr>
      <w:bookmarkStart w:id="2507" w:name="_ENREF_257"/>
      <w:r w:rsidRPr="004A784D">
        <w:rPr>
          <w:noProof/>
          <w:color w:val="000000"/>
          <w:sz w:val="22"/>
        </w:rPr>
        <w:t xml:space="preserve">LUDWIG, J. A. &amp; WEINSTEIN, J. N. 2005. Biomarkers in cancer staging, prognosis and treatment selection. </w:t>
      </w:r>
      <w:r w:rsidRPr="004A784D">
        <w:rPr>
          <w:i/>
          <w:noProof/>
          <w:color w:val="000000"/>
          <w:sz w:val="22"/>
        </w:rPr>
        <w:t>Nat Rev Cancer,</w:t>
      </w:r>
      <w:r w:rsidRPr="004A784D">
        <w:rPr>
          <w:noProof/>
          <w:color w:val="000000"/>
          <w:sz w:val="22"/>
        </w:rPr>
        <w:t xml:space="preserve"> 5</w:t>
      </w:r>
      <w:r w:rsidRPr="004A784D">
        <w:rPr>
          <w:b/>
          <w:noProof/>
          <w:color w:val="000000"/>
          <w:sz w:val="22"/>
        </w:rPr>
        <w:t>,</w:t>
      </w:r>
      <w:r w:rsidRPr="004A784D">
        <w:rPr>
          <w:noProof/>
          <w:color w:val="000000"/>
          <w:sz w:val="22"/>
        </w:rPr>
        <w:t xml:space="preserve"> 845-56.</w:t>
      </w:r>
      <w:bookmarkEnd w:id="2507"/>
    </w:p>
    <w:p w:rsidR="004A784D" w:rsidRPr="004A784D" w:rsidRDefault="004A784D" w:rsidP="004A784D">
      <w:pPr>
        <w:spacing w:after="240"/>
        <w:jc w:val="both"/>
        <w:rPr>
          <w:noProof/>
          <w:color w:val="000000"/>
          <w:sz w:val="22"/>
        </w:rPr>
      </w:pPr>
      <w:bookmarkStart w:id="2508" w:name="_ENREF_258"/>
      <w:r w:rsidRPr="004A784D">
        <w:rPr>
          <w:noProof/>
          <w:color w:val="000000"/>
          <w:sz w:val="22"/>
        </w:rPr>
        <w:lastRenderedPageBreak/>
        <w:t xml:space="preserve">LUNDHOLM, K., GUNNEBO, L., KORNER, U., IRESJO, B. M., ENGSTROM, C., HYLTANDER, A., SMEDH, U. &amp; BOSAEUS, I. 2010. Effects by daily long term provision of ghrelin to unselected weight-losing cancer patients: a randomized double-blind study. </w:t>
      </w:r>
      <w:r w:rsidRPr="004A784D">
        <w:rPr>
          <w:i/>
          <w:noProof/>
          <w:color w:val="000000"/>
          <w:sz w:val="22"/>
        </w:rPr>
        <w:t>Cancer,</w:t>
      </w:r>
      <w:r w:rsidRPr="004A784D">
        <w:rPr>
          <w:noProof/>
          <w:color w:val="000000"/>
          <w:sz w:val="22"/>
        </w:rPr>
        <w:t xml:space="preserve"> 116</w:t>
      </w:r>
      <w:r w:rsidRPr="004A784D">
        <w:rPr>
          <w:b/>
          <w:noProof/>
          <w:color w:val="000000"/>
          <w:sz w:val="22"/>
        </w:rPr>
        <w:t>,</w:t>
      </w:r>
      <w:r w:rsidRPr="004A784D">
        <w:rPr>
          <w:noProof/>
          <w:color w:val="000000"/>
          <w:sz w:val="22"/>
        </w:rPr>
        <w:t xml:space="preserve"> 2044-52.</w:t>
      </w:r>
      <w:bookmarkEnd w:id="2508"/>
    </w:p>
    <w:p w:rsidR="004A784D" w:rsidRPr="004A784D" w:rsidRDefault="004A784D" w:rsidP="004A784D">
      <w:pPr>
        <w:spacing w:after="240"/>
        <w:jc w:val="both"/>
        <w:rPr>
          <w:noProof/>
          <w:color w:val="000000"/>
          <w:sz w:val="22"/>
        </w:rPr>
      </w:pPr>
      <w:bookmarkStart w:id="2509" w:name="_ENREF_259"/>
      <w:r w:rsidRPr="004A784D">
        <w:rPr>
          <w:noProof/>
          <w:color w:val="000000"/>
          <w:sz w:val="22"/>
        </w:rPr>
        <w:t xml:space="preserve">MA, X. R., CHEN, Y. X., LIU, J., ZHANG, W. G., CAO, X. M., HE, A. L. &amp; YANG, Y. 2008a. [Efficacy of different thalidomide regimens for patients with multiple myeloma and its relationship with TNF-alpha level]. </w:t>
      </w:r>
      <w:r w:rsidRPr="004A784D">
        <w:rPr>
          <w:i/>
          <w:noProof/>
          <w:color w:val="000000"/>
          <w:sz w:val="22"/>
        </w:rPr>
        <w:t>Zhongguo Shi Yan Xue Ye Xue Za Zhi,</w:t>
      </w:r>
      <w:r w:rsidRPr="004A784D">
        <w:rPr>
          <w:noProof/>
          <w:color w:val="000000"/>
          <w:sz w:val="22"/>
        </w:rPr>
        <w:t xml:space="preserve"> 16</w:t>
      </w:r>
      <w:r w:rsidRPr="004A784D">
        <w:rPr>
          <w:b/>
          <w:noProof/>
          <w:color w:val="000000"/>
          <w:sz w:val="22"/>
        </w:rPr>
        <w:t>,</w:t>
      </w:r>
      <w:r w:rsidRPr="004A784D">
        <w:rPr>
          <w:noProof/>
          <w:color w:val="000000"/>
          <w:sz w:val="22"/>
        </w:rPr>
        <w:t xml:space="preserve"> 1312-5.</w:t>
      </w:r>
      <w:bookmarkEnd w:id="2509"/>
    </w:p>
    <w:p w:rsidR="004A784D" w:rsidRPr="004A784D" w:rsidRDefault="004A784D" w:rsidP="004A784D">
      <w:pPr>
        <w:spacing w:after="240"/>
        <w:jc w:val="both"/>
        <w:rPr>
          <w:noProof/>
          <w:color w:val="000000"/>
          <w:sz w:val="22"/>
        </w:rPr>
      </w:pPr>
      <w:bookmarkStart w:id="2510" w:name="_ENREF_260"/>
      <w:r w:rsidRPr="004A784D">
        <w:rPr>
          <w:noProof/>
          <w:color w:val="000000"/>
          <w:sz w:val="22"/>
        </w:rPr>
        <w:t xml:space="preserve">MA, Y., VISSER, L., ROELOFSEN, H., DE VRIES, M., DIEPSTRA, A., VAN IMHOFF, G., VAN DER WAL, T., LUINGE, M., ALVAREZ-LLAMAS, G., VOS, H., POPPEMA, S., VONK, R. &amp; VAN DEN BERG, A. 2008b. Proteomics analysis of Hodgkin lymphoma: identification of new players involved in the cross-talk between HRS cells and infiltrating lymphocytes. </w:t>
      </w:r>
      <w:r w:rsidRPr="004A784D">
        <w:rPr>
          <w:i/>
          <w:noProof/>
          <w:color w:val="000000"/>
          <w:sz w:val="22"/>
        </w:rPr>
        <w:t>Blood,</w:t>
      </w:r>
      <w:r w:rsidRPr="004A784D">
        <w:rPr>
          <w:noProof/>
          <w:color w:val="000000"/>
          <w:sz w:val="22"/>
        </w:rPr>
        <w:t xml:space="preserve"> 111</w:t>
      </w:r>
      <w:r w:rsidRPr="004A784D">
        <w:rPr>
          <w:b/>
          <w:noProof/>
          <w:color w:val="000000"/>
          <w:sz w:val="22"/>
        </w:rPr>
        <w:t>,</w:t>
      </w:r>
      <w:r w:rsidRPr="004A784D">
        <w:rPr>
          <w:noProof/>
          <w:color w:val="000000"/>
          <w:sz w:val="22"/>
        </w:rPr>
        <w:t xml:space="preserve"> 2339-46.</w:t>
      </w:r>
      <w:bookmarkEnd w:id="2510"/>
    </w:p>
    <w:p w:rsidR="004A784D" w:rsidRPr="004A784D" w:rsidRDefault="004A784D" w:rsidP="004A784D">
      <w:pPr>
        <w:spacing w:after="240"/>
        <w:jc w:val="both"/>
        <w:rPr>
          <w:noProof/>
          <w:color w:val="000000"/>
          <w:sz w:val="22"/>
        </w:rPr>
      </w:pPr>
      <w:bookmarkStart w:id="2511" w:name="_ENREF_261"/>
      <w:r w:rsidRPr="004A784D">
        <w:rPr>
          <w:noProof/>
          <w:color w:val="000000"/>
          <w:sz w:val="22"/>
        </w:rPr>
        <w:t xml:space="preserve">MACGREGOR, J. T. 2003. The future of regulatory toxicology: impact of the biotechnology revolution. </w:t>
      </w:r>
      <w:r w:rsidRPr="004A784D">
        <w:rPr>
          <w:i/>
          <w:noProof/>
          <w:color w:val="000000"/>
          <w:sz w:val="22"/>
        </w:rPr>
        <w:t>Toxicol Sci,</w:t>
      </w:r>
      <w:r w:rsidRPr="004A784D">
        <w:rPr>
          <w:noProof/>
          <w:color w:val="000000"/>
          <w:sz w:val="22"/>
        </w:rPr>
        <w:t xml:space="preserve"> 75</w:t>
      </w:r>
      <w:r w:rsidRPr="004A784D">
        <w:rPr>
          <w:b/>
          <w:noProof/>
          <w:color w:val="000000"/>
          <w:sz w:val="22"/>
        </w:rPr>
        <w:t>,</w:t>
      </w:r>
      <w:r w:rsidRPr="004A784D">
        <w:rPr>
          <w:noProof/>
          <w:color w:val="000000"/>
          <w:sz w:val="22"/>
        </w:rPr>
        <w:t xml:space="preserve"> 236-48.</w:t>
      </w:r>
      <w:bookmarkEnd w:id="2511"/>
    </w:p>
    <w:p w:rsidR="004A784D" w:rsidRPr="004A784D" w:rsidRDefault="004A784D" w:rsidP="004A784D">
      <w:pPr>
        <w:spacing w:after="240"/>
        <w:jc w:val="both"/>
        <w:rPr>
          <w:noProof/>
          <w:color w:val="000000"/>
          <w:sz w:val="22"/>
        </w:rPr>
      </w:pPr>
      <w:bookmarkStart w:id="2512" w:name="_ENREF_262"/>
      <w:r w:rsidRPr="004A784D">
        <w:rPr>
          <w:noProof/>
          <w:color w:val="000000"/>
          <w:sz w:val="22"/>
        </w:rPr>
        <w:t xml:space="preserve">MALHOTRA, P., CHOUDHARY, P. P., LAL, V., VARMA, N., SURI, V. &amp; VARMA, S. 2011. Prevalence of peripheral neuropathy in multiple myeloma at initial diagnosis. </w:t>
      </w:r>
      <w:r w:rsidRPr="004A784D">
        <w:rPr>
          <w:i/>
          <w:noProof/>
          <w:color w:val="000000"/>
          <w:sz w:val="22"/>
        </w:rPr>
        <w:t>Leuk Lymphoma,</w:t>
      </w:r>
      <w:r w:rsidRPr="004A784D">
        <w:rPr>
          <w:noProof/>
          <w:color w:val="000000"/>
          <w:sz w:val="22"/>
        </w:rPr>
        <w:t xml:space="preserve"> 52</w:t>
      </w:r>
      <w:r w:rsidRPr="004A784D">
        <w:rPr>
          <w:b/>
          <w:noProof/>
          <w:color w:val="000000"/>
          <w:sz w:val="22"/>
        </w:rPr>
        <w:t>,</w:t>
      </w:r>
      <w:r w:rsidRPr="004A784D">
        <w:rPr>
          <w:noProof/>
          <w:color w:val="000000"/>
          <w:sz w:val="22"/>
        </w:rPr>
        <w:t xml:space="preserve"> 2135-8.</w:t>
      </w:r>
      <w:bookmarkEnd w:id="2512"/>
    </w:p>
    <w:p w:rsidR="004A784D" w:rsidRPr="004A784D" w:rsidRDefault="004A784D" w:rsidP="004A784D">
      <w:pPr>
        <w:spacing w:after="240"/>
        <w:jc w:val="both"/>
        <w:rPr>
          <w:noProof/>
          <w:color w:val="000000"/>
          <w:sz w:val="22"/>
        </w:rPr>
      </w:pPr>
      <w:bookmarkStart w:id="2513" w:name="_ENREF_263"/>
      <w:r w:rsidRPr="004A784D">
        <w:rPr>
          <w:noProof/>
          <w:color w:val="000000"/>
          <w:sz w:val="22"/>
        </w:rPr>
        <w:t xml:space="preserve">MAN, M. Z., DYSON, G., JOHNSON, K. &amp; LIAO, B. 2004. Evaluating methods for classifying expression data. </w:t>
      </w:r>
      <w:r w:rsidRPr="004A784D">
        <w:rPr>
          <w:i/>
          <w:noProof/>
          <w:color w:val="000000"/>
          <w:sz w:val="22"/>
        </w:rPr>
        <w:t>J Biopharm Stat,</w:t>
      </w:r>
      <w:r w:rsidRPr="004A784D">
        <w:rPr>
          <w:noProof/>
          <w:color w:val="000000"/>
          <w:sz w:val="22"/>
        </w:rPr>
        <w:t xml:space="preserve"> 14</w:t>
      </w:r>
      <w:r w:rsidRPr="004A784D">
        <w:rPr>
          <w:b/>
          <w:noProof/>
          <w:color w:val="000000"/>
          <w:sz w:val="22"/>
        </w:rPr>
        <w:t>,</w:t>
      </w:r>
      <w:r w:rsidRPr="004A784D">
        <w:rPr>
          <w:noProof/>
          <w:color w:val="000000"/>
          <w:sz w:val="22"/>
        </w:rPr>
        <w:t xml:space="preserve"> 1065-84.</w:t>
      </w:r>
      <w:bookmarkEnd w:id="2513"/>
    </w:p>
    <w:p w:rsidR="004A784D" w:rsidRPr="004A784D" w:rsidRDefault="004A784D" w:rsidP="004A784D">
      <w:pPr>
        <w:spacing w:after="240"/>
        <w:jc w:val="both"/>
        <w:rPr>
          <w:noProof/>
          <w:color w:val="000000"/>
          <w:sz w:val="22"/>
        </w:rPr>
      </w:pPr>
      <w:bookmarkStart w:id="2514" w:name="_ENREF_264"/>
      <w:r w:rsidRPr="004A784D">
        <w:rPr>
          <w:noProof/>
          <w:color w:val="000000"/>
          <w:sz w:val="22"/>
        </w:rPr>
        <w:t xml:space="preserve">MANDREKAR, S. J. &amp; SARGENT, D. J. 2010. Predictive biomarker validation in practice: lessons from real trials. </w:t>
      </w:r>
      <w:r w:rsidRPr="004A784D">
        <w:rPr>
          <w:i/>
          <w:noProof/>
          <w:color w:val="000000"/>
          <w:sz w:val="22"/>
        </w:rPr>
        <w:t>Clin Trials,</w:t>
      </w:r>
      <w:r w:rsidRPr="004A784D">
        <w:rPr>
          <w:noProof/>
          <w:color w:val="000000"/>
          <w:sz w:val="22"/>
        </w:rPr>
        <w:t xml:space="preserve"> 7</w:t>
      </w:r>
      <w:r w:rsidRPr="004A784D">
        <w:rPr>
          <w:b/>
          <w:noProof/>
          <w:color w:val="000000"/>
          <w:sz w:val="22"/>
        </w:rPr>
        <w:t>,</w:t>
      </w:r>
      <w:r w:rsidRPr="004A784D">
        <w:rPr>
          <w:noProof/>
          <w:color w:val="000000"/>
          <w:sz w:val="22"/>
        </w:rPr>
        <w:t xml:space="preserve"> 567-73.</w:t>
      </w:r>
      <w:bookmarkEnd w:id="2514"/>
    </w:p>
    <w:p w:rsidR="004A784D" w:rsidRPr="004A784D" w:rsidRDefault="004A784D" w:rsidP="004A784D">
      <w:pPr>
        <w:spacing w:after="240"/>
        <w:jc w:val="both"/>
        <w:rPr>
          <w:noProof/>
          <w:color w:val="000000"/>
          <w:sz w:val="22"/>
        </w:rPr>
      </w:pPr>
      <w:bookmarkStart w:id="2515" w:name="_ENREF_265"/>
      <w:r w:rsidRPr="004A784D">
        <w:rPr>
          <w:noProof/>
          <w:color w:val="000000"/>
          <w:sz w:val="22"/>
        </w:rPr>
        <w:t xml:space="preserve">MAROUGA, R., DAVID, S. &amp; HAWKINS, E. 2005. The development of the DIGE system: 2D fluorescence difference gel analysis technology. </w:t>
      </w:r>
      <w:r w:rsidRPr="004A784D">
        <w:rPr>
          <w:i/>
          <w:noProof/>
          <w:color w:val="000000"/>
          <w:sz w:val="22"/>
        </w:rPr>
        <w:t>Anal Bioanal Chem,</w:t>
      </w:r>
      <w:r w:rsidRPr="004A784D">
        <w:rPr>
          <w:noProof/>
          <w:color w:val="000000"/>
          <w:sz w:val="22"/>
        </w:rPr>
        <w:t xml:space="preserve"> 382</w:t>
      </w:r>
      <w:r w:rsidRPr="004A784D">
        <w:rPr>
          <w:b/>
          <w:noProof/>
          <w:color w:val="000000"/>
          <w:sz w:val="22"/>
        </w:rPr>
        <w:t>,</w:t>
      </w:r>
      <w:r w:rsidRPr="004A784D">
        <w:rPr>
          <w:noProof/>
          <w:color w:val="000000"/>
          <w:sz w:val="22"/>
        </w:rPr>
        <w:t xml:space="preserve"> 669-78.</w:t>
      </w:r>
      <w:bookmarkEnd w:id="2515"/>
    </w:p>
    <w:p w:rsidR="004A784D" w:rsidRPr="004A784D" w:rsidRDefault="004A784D" w:rsidP="004A784D">
      <w:pPr>
        <w:spacing w:after="240"/>
        <w:jc w:val="both"/>
        <w:rPr>
          <w:noProof/>
          <w:color w:val="000000"/>
          <w:sz w:val="22"/>
        </w:rPr>
      </w:pPr>
      <w:bookmarkStart w:id="2516" w:name="_ENREF_266"/>
      <w:r w:rsidRPr="004A784D">
        <w:rPr>
          <w:noProof/>
          <w:color w:val="000000"/>
          <w:sz w:val="22"/>
        </w:rPr>
        <w:t xml:space="preserve">MARTINEZ-GOMARIZ, M., HERNAEZ, M. L., GUTIERREZ, D., XIMENEZ-EMBUN, P. &amp; PRESTAMO, G. 2009. Proteomic analysis by two-dimensional differential gel electrophoresis (2D DIGE) of a high-pressure effect in Bacillus cereus. </w:t>
      </w:r>
      <w:r w:rsidRPr="004A784D">
        <w:rPr>
          <w:i/>
          <w:noProof/>
          <w:color w:val="000000"/>
          <w:sz w:val="22"/>
        </w:rPr>
        <w:t>J Agric Food Chem,</w:t>
      </w:r>
      <w:r w:rsidRPr="004A784D">
        <w:rPr>
          <w:noProof/>
          <w:color w:val="000000"/>
          <w:sz w:val="22"/>
        </w:rPr>
        <w:t xml:space="preserve"> 57</w:t>
      </w:r>
      <w:r w:rsidRPr="004A784D">
        <w:rPr>
          <w:b/>
          <w:noProof/>
          <w:color w:val="000000"/>
          <w:sz w:val="22"/>
        </w:rPr>
        <w:t>,</w:t>
      </w:r>
      <w:r w:rsidRPr="004A784D">
        <w:rPr>
          <w:noProof/>
          <w:color w:val="000000"/>
          <w:sz w:val="22"/>
        </w:rPr>
        <w:t xml:space="preserve"> 3543-9.</w:t>
      </w:r>
      <w:bookmarkEnd w:id="2516"/>
    </w:p>
    <w:p w:rsidR="004A784D" w:rsidRPr="004A784D" w:rsidRDefault="004A784D" w:rsidP="004A784D">
      <w:pPr>
        <w:spacing w:after="240"/>
        <w:jc w:val="both"/>
        <w:rPr>
          <w:noProof/>
          <w:color w:val="000000"/>
          <w:sz w:val="22"/>
        </w:rPr>
      </w:pPr>
      <w:bookmarkStart w:id="2517" w:name="_ENREF_267"/>
      <w:r w:rsidRPr="004A784D">
        <w:rPr>
          <w:noProof/>
          <w:color w:val="000000"/>
          <w:sz w:val="22"/>
        </w:rPr>
        <w:t xml:space="preserve">MAURYA, P., MELEADY, P., DOWLING, P. &amp; CLYNES, M. 2007. Proteomic approaches for serum biomarker discovery in cancer. </w:t>
      </w:r>
      <w:r w:rsidRPr="004A784D">
        <w:rPr>
          <w:i/>
          <w:noProof/>
          <w:color w:val="000000"/>
          <w:sz w:val="22"/>
        </w:rPr>
        <w:t>Anticancer Res,</w:t>
      </w:r>
      <w:r w:rsidRPr="004A784D">
        <w:rPr>
          <w:noProof/>
          <w:color w:val="000000"/>
          <w:sz w:val="22"/>
        </w:rPr>
        <w:t xml:space="preserve"> 27</w:t>
      </w:r>
      <w:r w:rsidRPr="004A784D">
        <w:rPr>
          <w:b/>
          <w:noProof/>
          <w:color w:val="000000"/>
          <w:sz w:val="22"/>
        </w:rPr>
        <w:t>,</w:t>
      </w:r>
      <w:r w:rsidRPr="004A784D">
        <w:rPr>
          <w:noProof/>
          <w:color w:val="000000"/>
          <w:sz w:val="22"/>
        </w:rPr>
        <w:t xml:space="preserve"> 1247-55.</w:t>
      </w:r>
      <w:bookmarkEnd w:id="2517"/>
    </w:p>
    <w:p w:rsidR="004A784D" w:rsidRPr="004A784D" w:rsidRDefault="004A784D" w:rsidP="004A784D">
      <w:pPr>
        <w:spacing w:after="240"/>
        <w:jc w:val="both"/>
        <w:rPr>
          <w:noProof/>
          <w:color w:val="000000"/>
          <w:sz w:val="22"/>
        </w:rPr>
      </w:pPr>
      <w:bookmarkStart w:id="2518" w:name="_ENREF_268"/>
      <w:r w:rsidRPr="004A784D">
        <w:rPr>
          <w:noProof/>
          <w:color w:val="000000"/>
          <w:sz w:val="22"/>
        </w:rPr>
        <w:t xml:space="preserve">MCINTOSH, M. W., LIU, Y., DRESCHER, C., URBAN, N. &amp; DIAMANDIS, E. P. 2007. Validation and characterization of human kallikrein 11 as a serum marker for diagnosis of ovarian carcinoma. </w:t>
      </w:r>
      <w:r w:rsidRPr="004A784D">
        <w:rPr>
          <w:i/>
          <w:noProof/>
          <w:color w:val="000000"/>
          <w:sz w:val="22"/>
        </w:rPr>
        <w:t>Clin Cancer Res,</w:t>
      </w:r>
      <w:r w:rsidRPr="004A784D">
        <w:rPr>
          <w:noProof/>
          <w:color w:val="000000"/>
          <w:sz w:val="22"/>
        </w:rPr>
        <w:t xml:space="preserve"> 13</w:t>
      </w:r>
      <w:r w:rsidRPr="004A784D">
        <w:rPr>
          <w:b/>
          <w:noProof/>
          <w:color w:val="000000"/>
          <w:sz w:val="22"/>
        </w:rPr>
        <w:t>,</w:t>
      </w:r>
      <w:r w:rsidRPr="004A784D">
        <w:rPr>
          <w:noProof/>
          <w:color w:val="000000"/>
          <w:sz w:val="22"/>
        </w:rPr>
        <w:t xml:space="preserve"> 4422-8.</w:t>
      </w:r>
      <w:bookmarkEnd w:id="2518"/>
    </w:p>
    <w:p w:rsidR="004A784D" w:rsidRPr="004A784D" w:rsidRDefault="004A784D" w:rsidP="004A784D">
      <w:pPr>
        <w:spacing w:after="240"/>
        <w:jc w:val="both"/>
        <w:rPr>
          <w:noProof/>
          <w:color w:val="000000"/>
          <w:sz w:val="22"/>
        </w:rPr>
      </w:pPr>
      <w:bookmarkStart w:id="2519" w:name="_ENREF_269"/>
      <w:r w:rsidRPr="004A784D">
        <w:rPr>
          <w:noProof/>
          <w:color w:val="000000"/>
          <w:sz w:val="22"/>
        </w:rPr>
        <w:t xml:space="preserve">MCNAMARA, L. E., DALBY, M. J., RIEHLE, M. O. &amp; BURCHMORE, R. 2010. Fluorescence two-dimensional difference gel electrophoresis for biomaterial applications. </w:t>
      </w:r>
      <w:r w:rsidRPr="004A784D">
        <w:rPr>
          <w:i/>
          <w:noProof/>
          <w:color w:val="000000"/>
          <w:sz w:val="22"/>
        </w:rPr>
        <w:t>J R Soc Interface,</w:t>
      </w:r>
      <w:r w:rsidRPr="004A784D">
        <w:rPr>
          <w:noProof/>
          <w:color w:val="000000"/>
          <w:sz w:val="22"/>
        </w:rPr>
        <w:t xml:space="preserve"> 7 Suppl 1</w:t>
      </w:r>
      <w:r w:rsidRPr="004A784D">
        <w:rPr>
          <w:b/>
          <w:noProof/>
          <w:color w:val="000000"/>
          <w:sz w:val="22"/>
        </w:rPr>
        <w:t>,</w:t>
      </w:r>
      <w:r w:rsidRPr="004A784D">
        <w:rPr>
          <w:noProof/>
          <w:color w:val="000000"/>
          <w:sz w:val="22"/>
        </w:rPr>
        <w:t xml:space="preserve"> S107-18.</w:t>
      </w:r>
      <w:bookmarkEnd w:id="2519"/>
    </w:p>
    <w:p w:rsidR="004A784D" w:rsidRPr="004A784D" w:rsidRDefault="004A784D" w:rsidP="004A784D">
      <w:pPr>
        <w:spacing w:after="240"/>
        <w:jc w:val="both"/>
        <w:rPr>
          <w:noProof/>
          <w:color w:val="000000"/>
          <w:sz w:val="22"/>
        </w:rPr>
      </w:pPr>
      <w:bookmarkStart w:id="2520" w:name="_ENREF_270"/>
      <w:r w:rsidRPr="004A784D">
        <w:rPr>
          <w:noProof/>
          <w:color w:val="000000"/>
          <w:sz w:val="22"/>
        </w:rPr>
        <w:t xml:space="preserve">MCPHAIL, M. J., BAJAJ, J. S., THOMAS, H. C. &amp; TAYLOR-ROBINSON, S. D. 2010. Pathogenesis and diagnosis of hepatic encephalopathy. </w:t>
      </w:r>
      <w:r w:rsidRPr="004A784D">
        <w:rPr>
          <w:i/>
          <w:noProof/>
          <w:color w:val="000000"/>
          <w:sz w:val="22"/>
        </w:rPr>
        <w:t>Expert Rev Gastroenterol Hepatol,</w:t>
      </w:r>
      <w:r w:rsidRPr="004A784D">
        <w:rPr>
          <w:noProof/>
          <w:color w:val="000000"/>
          <w:sz w:val="22"/>
        </w:rPr>
        <w:t xml:space="preserve"> 4</w:t>
      </w:r>
      <w:r w:rsidRPr="004A784D">
        <w:rPr>
          <w:b/>
          <w:noProof/>
          <w:color w:val="000000"/>
          <w:sz w:val="22"/>
        </w:rPr>
        <w:t>,</w:t>
      </w:r>
      <w:r w:rsidRPr="004A784D">
        <w:rPr>
          <w:noProof/>
          <w:color w:val="000000"/>
          <w:sz w:val="22"/>
        </w:rPr>
        <w:t xml:space="preserve"> 365-78.</w:t>
      </w:r>
      <w:bookmarkEnd w:id="2520"/>
    </w:p>
    <w:p w:rsidR="004A784D" w:rsidRPr="004A784D" w:rsidRDefault="004A784D" w:rsidP="004A784D">
      <w:pPr>
        <w:spacing w:after="240"/>
        <w:jc w:val="both"/>
        <w:rPr>
          <w:noProof/>
          <w:color w:val="000000"/>
          <w:sz w:val="22"/>
        </w:rPr>
      </w:pPr>
      <w:bookmarkStart w:id="2521" w:name="_ENREF_271"/>
      <w:r w:rsidRPr="004A784D">
        <w:rPr>
          <w:noProof/>
          <w:color w:val="000000"/>
          <w:sz w:val="22"/>
        </w:rPr>
        <w:t xml:space="preserve">MEIERHOFER, C., DUNZENDORFER, S. &amp; WIEDERMANN, C. J. 2001. Theoretical basis for the activity of thalidomide. </w:t>
      </w:r>
      <w:r w:rsidRPr="004A784D">
        <w:rPr>
          <w:i/>
          <w:noProof/>
          <w:color w:val="000000"/>
          <w:sz w:val="22"/>
        </w:rPr>
        <w:t>BioDrugs,</w:t>
      </w:r>
      <w:r w:rsidRPr="004A784D">
        <w:rPr>
          <w:noProof/>
          <w:color w:val="000000"/>
          <w:sz w:val="22"/>
        </w:rPr>
        <w:t xml:space="preserve"> 15</w:t>
      </w:r>
      <w:r w:rsidRPr="004A784D">
        <w:rPr>
          <w:b/>
          <w:noProof/>
          <w:color w:val="000000"/>
          <w:sz w:val="22"/>
        </w:rPr>
        <w:t>,</w:t>
      </w:r>
      <w:r w:rsidRPr="004A784D">
        <w:rPr>
          <w:noProof/>
          <w:color w:val="000000"/>
          <w:sz w:val="22"/>
        </w:rPr>
        <w:t xml:space="preserve"> 681-703.</w:t>
      </w:r>
      <w:bookmarkEnd w:id="2521"/>
    </w:p>
    <w:p w:rsidR="004A784D" w:rsidRPr="004A784D" w:rsidRDefault="004A784D" w:rsidP="004A784D">
      <w:pPr>
        <w:spacing w:after="240"/>
        <w:jc w:val="both"/>
        <w:rPr>
          <w:noProof/>
          <w:color w:val="000000"/>
          <w:sz w:val="22"/>
        </w:rPr>
      </w:pPr>
      <w:bookmarkStart w:id="2522" w:name="_ENREF_272"/>
      <w:r w:rsidRPr="004A784D">
        <w:rPr>
          <w:noProof/>
          <w:color w:val="000000"/>
          <w:sz w:val="22"/>
        </w:rPr>
        <w:lastRenderedPageBreak/>
        <w:t xml:space="preserve">MERICKA, P., STRAKOVA, H., CERMAK, P., STEPANOVA, V., HRADECKY, Z. &amp; DRAHOSOVA, M. 2002. New safety assurance for biological skin covers. </w:t>
      </w:r>
      <w:r w:rsidRPr="004A784D">
        <w:rPr>
          <w:i/>
          <w:noProof/>
          <w:color w:val="000000"/>
          <w:sz w:val="22"/>
        </w:rPr>
        <w:t>Acta Chir Plast,</w:t>
      </w:r>
      <w:r w:rsidRPr="004A784D">
        <w:rPr>
          <w:noProof/>
          <w:color w:val="000000"/>
          <w:sz w:val="22"/>
        </w:rPr>
        <w:t xml:space="preserve"> 44</w:t>
      </w:r>
      <w:r w:rsidRPr="004A784D">
        <w:rPr>
          <w:b/>
          <w:noProof/>
          <w:color w:val="000000"/>
          <w:sz w:val="22"/>
        </w:rPr>
        <w:t>,</w:t>
      </w:r>
      <w:r w:rsidRPr="004A784D">
        <w:rPr>
          <w:noProof/>
          <w:color w:val="000000"/>
          <w:sz w:val="22"/>
        </w:rPr>
        <w:t xml:space="preserve"> 23-9.</w:t>
      </w:r>
      <w:bookmarkEnd w:id="2522"/>
    </w:p>
    <w:p w:rsidR="004A784D" w:rsidRPr="004A784D" w:rsidRDefault="004A784D" w:rsidP="004A784D">
      <w:pPr>
        <w:spacing w:after="240"/>
        <w:jc w:val="both"/>
        <w:rPr>
          <w:noProof/>
          <w:color w:val="000000"/>
          <w:sz w:val="22"/>
        </w:rPr>
      </w:pPr>
      <w:bookmarkStart w:id="2523" w:name="_ENREF_273"/>
      <w:r w:rsidRPr="004A784D">
        <w:rPr>
          <w:noProof/>
          <w:color w:val="000000"/>
          <w:sz w:val="22"/>
        </w:rPr>
        <w:t xml:space="preserve">MERLINI, G., PERFETTI, V., GOBBI, P. G., QUAGLINI, S., FRANCIOTTA, D. M., MARINONE, G. &amp; ASCARI, E. 1993. Acute phase proteins and prognosis in multiple myeloma. </w:t>
      </w:r>
      <w:r w:rsidRPr="004A784D">
        <w:rPr>
          <w:i/>
          <w:noProof/>
          <w:color w:val="000000"/>
          <w:sz w:val="22"/>
        </w:rPr>
        <w:t>Br J Haematol,</w:t>
      </w:r>
      <w:r w:rsidRPr="004A784D">
        <w:rPr>
          <w:noProof/>
          <w:color w:val="000000"/>
          <w:sz w:val="22"/>
        </w:rPr>
        <w:t xml:space="preserve"> 83</w:t>
      </w:r>
      <w:r w:rsidRPr="004A784D">
        <w:rPr>
          <w:b/>
          <w:noProof/>
          <w:color w:val="000000"/>
          <w:sz w:val="22"/>
        </w:rPr>
        <w:t>,</w:t>
      </w:r>
      <w:r w:rsidRPr="004A784D">
        <w:rPr>
          <w:noProof/>
          <w:color w:val="000000"/>
          <w:sz w:val="22"/>
        </w:rPr>
        <w:t xml:space="preserve"> 595-601.</w:t>
      </w:r>
      <w:bookmarkEnd w:id="2523"/>
    </w:p>
    <w:p w:rsidR="004A784D" w:rsidRPr="004A784D" w:rsidRDefault="004A784D" w:rsidP="004A784D">
      <w:pPr>
        <w:spacing w:after="240"/>
        <w:jc w:val="both"/>
        <w:rPr>
          <w:noProof/>
          <w:color w:val="000000"/>
          <w:sz w:val="22"/>
        </w:rPr>
      </w:pPr>
      <w:bookmarkStart w:id="2524" w:name="_ENREF_274"/>
      <w:r w:rsidRPr="004A784D">
        <w:rPr>
          <w:noProof/>
          <w:color w:val="000000"/>
          <w:sz w:val="22"/>
        </w:rPr>
        <w:t xml:space="preserve">MESTERS, R. M., PADRO, T., STEINS, M., BIEKER, R., RETZLAFF, S., KESSLER, T., KIENAST, J. &amp; BERDEL, W. E. 2001. [Angiogenesis in patients with hematologic malignancies]. </w:t>
      </w:r>
      <w:r w:rsidRPr="004A784D">
        <w:rPr>
          <w:i/>
          <w:noProof/>
          <w:color w:val="000000"/>
          <w:sz w:val="22"/>
        </w:rPr>
        <w:t>Onkologie,</w:t>
      </w:r>
      <w:r w:rsidRPr="004A784D">
        <w:rPr>
          <w:noProof/>
          <w:color w:val="000000"/>
          <w:sz w:val="22"/>
        </w:rPr>
        <w:t xml:space="preserve"> 24 Suppl 5</w:t>
      </w:r>
      <w:r w:rsidRPr="004A784D">
        <w:rPr>
          <w:b/>
          <w:noProof/>
          <w:color w:val="000000"/>
          <w:sz w:val="22"/>
        </w:rPr>
        <w:t>,</w:t>
      </w:r>
      <w:r w:rsidRPr="004A784D">
        <w:rPr>
          <w:noProof/>
          <w:color w:val="000000"/>
          <w:sz w:val="22"/>
        </w:rPr>
        <w:t xml:space="preserve"> 75-80.</w:t>
      </w:r>
      <w:bookmarkEnd w:id="2524"/>
    </w:p>
    <w:p w:rsidR="004A784D" w:rsidRPr="004A784D" w:rsidRDefault="004A784D" w:rsidP="004A784D">
      <w:pPr>
        <w:spacing w:after="240"/>
        <w:jc w:val="both"/>
        <w:rPr>
          <w:noProof/>
          <w:color w:val="000000"/>
          <w:sz w:val="22"/>
        </w:rPr>
      </w:pPr>
      <w:bookmarkStart w:id="2525" w:name="_ENREF_275"/>
      <w:r w:rsidRPr="004A784D">
        <w:rPr>
          <w:noProof/>
          <w:color w:val="000000"/>
          <w:sz w:val="22"/>
        </w:rPr>
        <w:t xml:space="preserve">MIGITA, K., KOGA, T., TORIGOSHI, T., MOTOKAWA, S., MAEDA, Y., JIUCHI, Y., IZUMI, Y., MIYASHITA, T., NAKAMURA, M., KOMORI, A. &amp; ISHIBASHI, H. 2010. Induction of interleukin-23 p19 by serum amyloid A (SAA) in rheumatoid synoviocytes. </w:t>
      </w:r>
      <w:r w:rsidRPr="004A784D">
        <w:rPr>
          <w:i/>
          <w:noProof/>
          <w:color w:val="000000"/>
          <w:sz w:val="22"/>
        </w:rPr>
        <w:t>Clin Exp Immunol,</w:t>
      </w:r>
      <w:r w:rsidRPr="004A784D">
        <w:rPr>
          <w:noProof/>
          <w:color w:val="000000"/>
          <w:sz w:val="22"/>
        </w:rPr>
        <w:t xml:space="preserve"> 162</w:t>
      </w:r>
      <w:r w:rsidRPr="004A784D">
        <w:rPr>
          <w:b/>
          <w:noProof/>
          <w:color w:val="000000"/>
          <w:sz w:val="22"/>
        </w:rPr>
        <w:t>,</w:t>
      </w:r>
      <w:r w:rsidRPr="004A784D">
        <w:rPr>
          <w:noProof/>
          <w:color w:val="000000"/>
          <w:sz w:val="22"/>
        </w:rPr>
        <w:t xml:space="preserve"> 244-50.</w:t>
      </w:r>
      <w:bookmarkEnd w:id="2525"/>
    </w:p>
    <w:p w:rsidR="004A784D" w:rsidRPr="004A784D" w:rsidRDefault="004A784D" w:rsidP="004A784D">
      <w:pPr>
        <w:spacing w:after="240"/>
        <w:jc w:val="both"/>
        <w:rPr>
          <w:noProof/>
          <w:color w:val="000000"/>
          <w:sz w:val="22"/>
        </w:rPr>
      </w:pPr>
      <w:bookmarkStart w:id="2526" w:name="_ENREF_276"/>
      <w:r w:rsidRPr="004A784D">
        <w:rPr>
          <w:noProof/>
          <w:color w:val="000000"/>
          <w:sz w:val="22"/>
        </w:rPr>
        <w:t xml:space="preserve">MOHANTY, S. K., MISTRY, A. T., AMIN, W., PARWANI, A. V., POPLE, A. K., SCHMANDT, L., WINTERS, S. B., MILLIKEN, E., KIM, P., WHELAN, N. B., FARHAT, G., MELAMED, J., TAIOLI, E., DHIR, R., PASS, H. I. &amp; BECICH, M. J. 2008. The development and deployment of Common Data Elements for tissue banks for translational research in cancer - an emerging standard based approach for the Mesothelioma Virtual Tissue Bank. </w:t>
      </w:r>
      <w:r w:rsidRPr="004A784D">
        <w:rPr>
          <w:i/>
          <w:noProof/>
          <w:color w:val="000000"/>
          <w:sz w:val="22"/>
        </w:rPr>
        <w:t>BMC Cancer,</w:t>
      </w:r>
      <w:r w:rsidRPr="004A784D">
        <w:rPr>
          <w:noProof/>
          <w:color w:val="000000"/>
          <w:sz w:val="22"/>
        </w:rPr>
        <w:t xml:space="preserve"> 8</w:t>
      </w:r>
      <w:r w:rsidRPr="004A784D">
        <w:rPr>
          <w:b/>
          <w:noProof/>
          <w:color w:val="000000"/>
          <w:sz w:val="22"/>
        </w:rPr>
        <w:t>,</w:t>
      </w:r>
      <w:r w:rsidRPr="004A784D">
        <w:rPr>
          <w:noProof/>
          <w:color w:val="000000"/>
          <w:sz w:val="22"/>
        </w:rPr>
        <w:t xml:space="preserve"> 91.</w:t>
      </w:r>
      <w:bookmarkEnd w:id="2526"/>
    </w:p>
    <w:p w:rsidR="004A784D" w:rsidRPr="004A784D" w:rsidRDefault="004A784D" w:rsidP="004A784D">
      <w:pPr>
        <w:spacing w:after="240"/>
        <w:jc w:val="both"/>
        <w:rPr>
          <w:noProof/>
          <w:color w:val="000000"/>
          <w:sz w:val="22"/>
        </w:rPr>
      </w:pPr>
      <w:bookmarkStart w:id="2527" w:name="_ENREF_277"/>
      <w:r w:rsidRPr="004A784D">
        <w:rPr>
          <w:noProof/>
          <w:color w:val="000000"/>
          <w:sz w:val="22"/>
        </w:rPr>
        <w:t xml:space="preserve">MOLINARO, A. M., SIMON, R. &amp; PFEIFFER, R. M. 2005. Prediction error estimation: a comparison of resampling methods. </w:t>
      </w:r>
      <w:r w:rsidRPr="004A784D">
        <w:rPr>
          <w:i/>
          <w:noProof/>
          <w:color w:val="000000"/>
          <w:sz w:val="22"/>
        </w:rPr>
        <w:t>Bioinformatics,</w:t>
      </w:r>
      <w:r w:rsidRPr="004A784D">
        <w:rPr>
          <w:noProof/>
          <w:color w:val="000000"/>
          <w:sz w:val="22"/>
        </w:rPr>
        <w:t xml:space="preserve"> 21</w:t>
      </w:r>
      <w:r w:rsidRPr="004A784D">
        <w:rPr>
          <w:b/>
          <w:noProof/>
          <w:color w:val="000000"/>
          <w:sz w:val="22"/>
        </w:rPr>
        <w:t>,</w:t>
      </w:r>
      <w:r w:rsidRPr="004A784D">
        <w:rPr>
          <w:noProof/>
          <w:color w:val="000000"/>
          <w:sz w:val="22"/>
        </w:rPr>
        <w:t xml:space="preserve"> 3301-7.</w:t>
      </w:r>
      <w:bookmarkEnd w:id="2527"/>
    </w:p>
    <w:p w:rsidR="004A784D" w:rsidRPr="004A784D" w:rsidRDefault="004A784D" w:rsidP="004A784D">
      <w:pPr>
        <w:spacing w:after="240"/>
        <w:jc w:val="both"/>
        <w:rPr>
          <w:noProof/>
          <w:color w:val="000000"/>
          <w:sz w:val="22"/>
        </w:rPr>
      </w:pPr>
      <w:bookmarkStart w:id="2528" w:name="_ENREF_278"/>
      <w:r w:rsidRPr="004A784D">
        <w:rPr>
          <w:noProof/>
          <w:color w:val="000000"/>
          <w:sz w:val="22"/>
        </w:rPr>
        <w:t xml:space="preserve">MOLLEE, P. 2009. Current trends in the diagnosis, therapy and monitoring of the monoclonal gammopathies. </w:t>
      </w:r>
      <w:r w:rsidRPr="004A784D">
        <w:rPr>
          <w:i/>
          <w:noProof/>
          <w:color w:val="000000"/>
          <w:sz w:val="22"/>
        </w:rPr>
        <w:t>Clin Biochem Rev,</w:t>
      </w:r>
      <w:r w:rsidRPr="004A784D">
        <w:rPr>
          <w:noProof/>
          <w:color w:val="000000"/>
          <w:sz w:val="22"/>
        </w:rPr>
        <w:t xml:space="preserve"> 30</w:t>
      </w:r>
      <w:r w:rsidRPr="004A784D">
        <w:rPr>
          <w:b/>
          <w:noProof/>
          <w:color w:val="000000"/>
          <w:sz w:val="22"/>
        </w:rPr>
        <w:t>,</w:t>
      </w:r>
      <w:r w:rsidRPr="004A784D">
        <w:rPr>
          <w:noProof/>
          <w:color w:val="000000"/>
          <w:sz w:val="22"/>
        </w:rPr>
        <w:t xml:space="preserve"> 93-103.</w:t>
      </w:r>
      <w:bookmarkEnd w:id="2528"/>
    </w:p>
    <w:p w:rsidR="004A784D" w:rsidRPr="004A784D" w:rsidRDefault="004A784D" w:rsidP="004A784D">
      <w:pPr>
        <w:spacing w:after="240"/>
        <w:jc w:val="both"/>
        <w:rPr>
          <w:noProof/>
          <w:color w:val="000000"/>
          <w:sz w:val="22"/>
        </w:rPr>
      </w:pPr>
      <w:bookmarkStart w:id="2529" w:name="_ENREF_279"/>
      <w:r w:rsidRPr="004A784D">
        <w:rPr>
          <w:noProof/>
          <w:color w:val="000000"/>
          <w:sz w:val="22"/>
        </w:rPr>
        <w:t xml:space="preserve">MOSTACCI, E., TRUNTZER, C., CARDOT, H. &amp; DUCOROY, P. 2010. Multivariate denoising methods combining wavelets and principal component analysis for mass spectrometry data. </w:t>
      </w:r>
      <w:r w:rsidRPr="004A784D">
        <w:rPr>
          <w:i/>
          <w:noProof/>
          <w:color w:val="000000"/>
          <w:sz w:val="22"/>
        </w:rPr>
        <w:t>Proteomics,</w:t>
      </w:r>
      <w:r w:rsidRPr="004A784D">
        <w:rPr>
          <w:noProof/>
          <w:color w:val="000000"/>
          <w:sz w:val="22"/>
        </w:rPr>
        <w:t xml:space="preserve"> 10</w:t>
      </w:r>
      <w:r w:rsidRPr="004A784D">
        <w:rPr>
          <w:b/>
          <w:noProof/>
          <w:color w:val="000000"/>
          <w:sz w:val="22"/>
        </w:rPr>
        <w:t>,</w:t>
      </w:r>
      <w:r w:rsidRPr="004A784D">
        <w:rPr>
          <w:noProof/>
          <w:color w:val="000000"/>
          <w:sz w:val="22"/>
        </w:rPr>
        <w:t xml:space="preserve"> 2564-72.</w:t>
      </w:r>
      <w:bookmarkEnd w:id="2529"/>
    </w:p>
    <w:p w:rsidR="004A784D" w:rsidRPr="004A784D" w:rsidRDefault="004A784D" w:rsidP="004A784D">
      <w:pPr>
        <w:spacing w:after="240"/>
        <w:jc w:val="both"/>
        <w:rPr>
          <w:noProof/>
          <w:color w:val="000000"/>
          <w:sz w:val="22"/>
        </w:rPr>
      </w:pPr>
      <w:bookmarkStart w:id="2530" w:name="_ENREF_280"/>
      <w:r w:rsidRPr="004A784D">
        <w:rPr>
          <w:noProof/>
          <w:color w:val="000000"/>
          <w:sz w:val="22"/>
        </w:rPr>
        <w:t xml:space="preserve">MOULOPOULOS, L. A., GIKA, D., ANAGNOSTOPOULOS, A., DELASALLE, K., WEBER, D., ALEXANIAN, R. &amp; DIMOPOULOS, M. A. 2005. Prognostic significance of magnetic resonance imaging of bone marrow in previously untreated patients with multiple myeloma. </w:t>
      </w:r>
      <w:r w:rsidRPr="004A784D">
        <w:rPr>
          <w:i/>
          <w:noProof/>
          <w:color w:val="000000"/>
          <w:sz w:val="22"/>
        </w:rPr>
        <w:t>Ann Oncol,</w:t>
      </w:r>
      <w:r w:rsidRPr="004A784D">
        <w:rPr>
          <w:noProof/>
          <w:color w:val="000000"/>
          <w:sz w:val="22"/>
        </w:rPr>
        <w:t xml:space="preserve"> 16</w:t>
      </w:r>
      <w:r w:rsidRPr="004A784D">
        <w:rPr>
          <w:b/>
          <w:noProof/>
          <w:color w:val="000000"/>
          <w:sz w:val="22"/>
        </w:rPr>
        <w:t>,</w:t>
      </w:r>
      <w:r w:rsidRPr="004A784D">
        <w:rPr>
          <w:noProof/>
          <w:color w:val="000000"/>
          <w:sz w:val="22"/>
        </w:rPr>
        <w:t xml:space="preserve"> 1824-8.</w:t>
      </w:r>
      <w:bookmarkEnd w:id="2530"/>
    </w:p>
    <w:p w:rsidR="004A784D" w:rsidRPr="004A784D" w:rsidRDefault="004A784D" w:rsidP="004A784D">
      <w:pPr>
        <w:spacing w:after="240"/>
        <w:jc w:val="both"/>
        <w:rPr>
          <w:noProof/>
          <w:color w:val="000000"/>
          <w:sz w:val="22"/>
        </w:rPr>
      </w:pPr>
      <w:bookmarkStart w:id="2531" w:name="_ENREF_281"/>
      <w:r w:rsidRPr="004A784D">
        <w:rPr>
          <w:noProof/>
          <w:color w:val="000000"/>
          <w:sz w:val="22"/>
        </w:rPr>
        <w:t xml:space="preserve">MUDAN, S., GIAKOUSTIDIS, A., THILLAINAYAGAM, A. V., JACOB, J. &amp; STEBBING, J. 2010. Clinical utility of circulating tumor cell measurement in the diagnosis of indeterminate lesions of the pancreas. </w:t>
      </w:r>
      <w:r w:rsidRPr="004A784D">
        <w:rPr>
          <w:i/>
          <w:noProof/>
          <w:color w:val="000000"/>
          <w:sz w:val="22"/>
        </w:rPr>
        <w:t>Future Oncol,</w:t>
      </w:r>
      <w:r w:rsidRPr="004A784D">
        <w:rPr>
          <w:noProof/>
          <w:color w:val="000000"/>
          <w:sz w:val="22"/>
        </w:rPr>
        <w:t xml:space="preserve"> 6</w:t>
      </w:r>
      <w:r w:rsidRPr="004A784D">
        <w:rPr>
          <w:b/>
          <w:noProof/>
          <w:color w:val="000000"/>
          <w:sz w:val="22"/>
        </w:rPr>
        <w:t>,</w:t>
      </w:r>
      <w:r w:rsidRPr="004A784D">
        <w:rPr>
          <w:noProof/>
          <w:color w:val="000000"/>
          <w:sz w:val="22"/>
        </w:rPr>
        <w:t xml:space="preserve"> 177-9.</w:t>
      </w:r>
      <w:bookmarkEnd w:id="2531"/>
    </w:p>
    <w:p w:rsidR="004A784D" w:rsidRPr="004A784D" w:rsidRDefault="004A784D" w:rsidP="004A784D">
      <w:pPr>
        <w:spacing w:after="240"/>
        <w:jc w:val="both"/>
        <w:rPr>
          <w:noProof/>
          <w:color w:val="000000"/>
          <w:sz w:val="22"/>
        </w:rPr>
      </w:pPr>
      <w:bookmarkStart w:id="2532" w:name="_ENREF_282"/>
      <w:r w:rsidRPr="004A784D">
        <w:rPr>
          <w:noProof/>
          <w:color w:val="000000"/>
          <w:sz w:val="22"/>
        </w:rPr>
        <w:t xml:space="preserve">MURPHY, J., SCOTT, J., KAUFMAN, D., GELLER, G., LEROY, L. &amp; HUDSON, K. 2009. Public perspectives on informed consent for biobanking. </w:t>
      </w:r>
      <w:r w:rsidRPr="004A784D">
        <w:rPr>
          <w:i/>
          <w:noProof/>
          <w:color w:val="000000"/>
          <w:sz w:val="22"/>
        </w:rPr>
        <w:t>Am J Public Health,</w:t>
      </w:r>
      <w:r w:rsidRPr="004A784D">
        <w:rPr>
          <w:noProof/>
          <w:color w:val="000000"/>
          <w:sz w:val="22"/>
        </w:rPr>
        <w:t xml:space="preserve"> 99</w:t>
      </w:r>
      <w:r w:rsidRPr="004A784D">
        <w:rPr>
          <w:b/>
          <w:noProof/>
          <w:color w:val="000000"/>
          <w:sz w:val="22"/>
        </w:rPr>
        <w:t>,</w:t>
      </w:r>
      <w:r w:rsidRPr="004A784D">
        <w:rPr>
          <w:noProof/>
          <w:color w:val="000000"/>
          <w:sz w:val="22"/>
        </w:rPr>
        <w:t xml:space="preserve"> 2128-34.</w:t>
      </w:r>
      <w:bookmarkEnd w:id="2532"/>
    </w:p>
    <w:p w:rsidR="004A784D" w:rsidRPr="004A784D" w:rsidRDefault="004A784D" w:rsidP="004A784D">
      <w:pPr>
        <w:spacing w:after="240"/>
        <w:jc w:val="both"/>
        <w:rPr>
          <w:noProof/>
          <w:color w:val="000000"/>
          <w:sz w:val="22"/>
        </w:rPr>
      </w:pPr>
      <w:bookmarkStart w:id="2533" w:name="_ENREF_283"/>
      <w:r w:rsidRPr="004A784D">
        <w:rPr>
          <w:noProof/>
          <w:color w:val="000000"/>
          <w:sz w:val="22"/>
        </w:rPr>
        <w:t xml:space="preserve">MUSTO, P., D'AURIA, F., PIETRANTUONO, G., BALDINI, L., BRINGHEN, S., CARAVITA, T., DI RAIMONDO, F., MORABITO, F., OFFIDANI, M., PETRUCCI, M. T., TOSI, P., GAY, F., CAVO, M., BOCCADORO, M. &amp; PALUMBO, A. 2009. First-line treatment of multiple myeloma in elderly patients: the GIMEMA (Gruppo Italiano Malattie EMatologiche dell'Adulto) multiple myeloma working party perspective. </w:t>
      </w:r>
      <w:r w:rsidRPr="004A784D">
        <w:rPr>
          <w:i/>
          <w:noProof/>
          <w:color w:val="000000"/>
          <w:sz w:val="22"/>
        </w:rPr>
        <w:t>Curr Drug Targets,</w:t>
      </w:r>
      <w:r w:rsidRPr="004A784D">
        <w:rPr>
          <w:noProof/>
          <w:color w:val="000000"/>
          <w:sz w:val="22"/>
        </w:rPr>
        <w:t xml:space="preserve"> 10</w:t>
      </w:r>
      <w:r w:rsidRPr="004A784D">
        <w:rPr>
          <w:b/>
          <w:noProof/>
          <w:color w:val="000000"/>
          <w:sz w:val="22"/>
        </w:rPr>
        <w:t>,</w:t>
      </w:r>
      <w:r w:rsidRPr="004A784D">
        <w:rPr>
          <w:noProof/>
          <w:color w:val="000000"/>
          <w:sz w:val="22"/>
        </w:rPr>
        <w:t xml:space="preserve"> 906-22.</w:t>
      </w:r>
      <w:bookmarkEnd w:id="2533"/>
    </w:p>
    <w:p w:rsidR="004A784D" w:rsidRPr="004A784D" w:rsidRDefault="004A784D" w:rsidP="004A784D">
      <w:pPr>
        <w:spacing w:after="240"/>
        <w:jc w:val="both"/>
        <w:rPr>
          <w:noProof/>
          <w:color w:val="000000"/>
          <w:sz w:val="22"/>
        </w:rPr>
      </w:pPr>
      <w:bookmarkStart w:id="2534" w:name="_ENREF_284"/>
      <w:r w:rsidRPr="004A784D">
        <w:rPr>
          <w:noProof/>
          <w:color w:val="000000"/>
          <w:sz w:val="22"/>
        </w:rPr>
        <w:t xml:space="preserve">NAGURA, E. 2007. [Prognositic factors in multiple myeloma]. </w:t>
      </w:r>
      <w:r w:rsidRPr="004A784D">
        <w:rPr>
          <w:i/>
          <w:noProof/>
          <w:color w:val="000000"/>
          <w:sz w:val="22"/>
        </w:rPr>
        <w:t>Nippon Rinsho,</w:t>
      </w:r>
      <w:r w:rsidRPr="004A784D">
        <w:rPr>
          <w:noProof/>
          <w:color w:val="000000"/>
          <w:sz w:val="22"/>
        </w:rPr>
        <w:t xml:space="preserve"> 65</w:t>
      </w:r>
      <w:r w:rsidRPr="004A784D">
        <w:rPr>
          <w:b/>
          <w:noProof/>
          <w:color w:val="000000"/>
          <w:sz w:val="22"/>
        </w:rPr>
        <w:t>,</w:t>
      </w:r>
      <w:r w:rsidRPr="004A784D">
        <w:rPr>
          <w:noProof/>
          <w:color w:val="000000"/>
          <w:sz w:val="22"/>
        </w:rPr>
        <w:t xml:space="preserve"> 2351-6.</w:t>
      </w:r>
      <w:bookmarkEnd w:id="2534"/>
    </w:p>
    <w:p w:rsidR="004A784D" w:rsidRPr="004A784D" w:rsidRDefault="004A784D" w:rsidP="004A784D">
      <w:pPr>
        <w:spacing w:after="240"/>
        <w:jc w:val="both"/>
        <w:rPr>
          <w:noProof/>
          <w:color w:val="000000"/>
          <w:sz w:val="22"/>
        </w:rPr>
      </w:pPr>
      <w:bookmarkStart w:id="2535" w:name="_ENREF_285"/>
      <w:r w:rsidRPr="004A784D">
        <w:rPr>
          <w:noProof/>
          <w:color w:val="000000"/>
          <w:sz w:val="22"/>
        </w:rPr>
        <w:lastRenderedPageBreak/>
        <w:t xml:space="preserve">NAKAJIMA, H., MIZUTA, N., SAKAGUCHI, K., FUJIWARA, I., YOSHIMORI, A., TAKAHASHI, S., TAKASAWA, R. &amp; TANUMA, S. 2008. Development of HER2-antagonistic peptides as novel anti-breast cancer drugs by in silico methods. </w:t>
      </w:r>
      <w:r w:rsidRPr="004A784D">
        <w:rPr>
          <w:i/>
          <w:noProof/>
          <w:color w:val="000000"/>
          <w:sz w:val="22"/>
        </w:rPr>
        <w:t>Breast Cancer,</w:t>
      </w:r>
      <w:r w:rsidRPr="004A784D">
        <w:rPr>
          <w:noProof/>
          <w:color w:val="000000"/>
          <w:sz w:val="22"/>
        </w:rPr>
        <w:t xml:space="preserve"> 15</w:t>
      </w:r>
      <w:r w:rsidRPr="004A784D">
        <w:rPr>
          <w:b/>
          <w:noProof/>
          <w:color w:val="000000"/>
          <w:sz w:val="22"/>
        </w:rPr>
        <w:t>,</w:t>
      </w:r>
      <w:r w:rsidRPr="004A784D">
        <w:rPr>
          <w:noProof/>
          <w:color w:val="000000"/>
          <w:sz w:val="22"/>
        </w:rPr>
        <w:t xml:space="preserve"> 65-72.</w:t>
      </w:r>
      <w:bookmarkEnd w:id="2535"/>
    </w:p>
    <w:p w:rsidR="004A784D" w:rsidRPr="004A784D" w:rsidRDefault="004A784D" w:rsidP="004A784D">
      <w:pPr>
        <w:spacing w:after="240"/>
        <w:jc w:val="both"/>
        <w:rPr>
          <w:noProof/>
          <w:color w:val="000000"/>
          <w:sz w:val="22"/>
        </w:rPr>
      </w:pPr>
      <w:bookmarkStart w:id="2536" w:name="_ENREF_286"/>
      <w:r w:rsidRPr="004A784D">
        <w:rPr>
          <w:noProof/>
          <w:color w:val="000000"/>
          <w:sz w:val="22"/>
        </w:rPr>
        <w:t xml:space="preserve">NAKAMURA, Y. Bio-resource of human and animal-derived cell materials. </w:t>
      </w:r>
      <w:r w:rsidRPr="004A784D">
        <w:rPr>
          <w:i/>
          <w:noProof/>
          <w:color w:val="000000"/>
          <w:sz w:val="22"/>
        </w:rPr>
        <w:t>Exp Anim,</w:t>
      </w:r>
      <w:r w:rsidRPr="004A784D">
        <w:rPr>
          <w:noProof/>
          <w:color w:val="000000"/>
          <w:sz w:val="22"/>
        </w:rPr>
        <w:t xml:space="preserve"> 59</w:t>
      </w:r>
      <w:r w:rsidRPr="004A784D">
        <w:rPr>
          <w:b/>
          <w:noProof/>
          <w:color w:val="000000"/>
          <w:sz w:val="22"/>
        </w:rPr>
        <w:t>,</w:t>
      </w:r>
      <w:r w:rsidRPr="004A784D">
        <w:rPr>
          <w:noProof/>
          <w:color w:val="000000"/>
          <w:sz w:val="22"/>
        </w:rPr>
        <w:t xml:space="preserve"> 1-7.</w:t>
      </w:r>
      <w:bookmarkEnd w:id="2536"/>
    </w:p>
    <w:p w:rsidR="004A784D" w:rsidRPr="004A784D" w:rsidRDefault="004A784D" w:rsidP="004A784D">
      <w:pPr>
        <w:spacing w:after="240"/>
        <w:jc w:val="both"/>
        <w:rPr>
          <w:noProof/>
          <w:color w:val="000000"/>
          <w:sz w:val="22"/>
        </w:rPr>
      </w:pPr>
      <w:bookmarkStart w:id="2537" w:name="_ENREF_287"/>
      <w:r w:rsidRPr="004A784D">
        <w:rPr>
          <w:noProof/>
          <w:color w:val="000000"/>
          <w:sz w:val="22"/>
        </w:rPr>
        <w:t xml:space="preserve">NAKAMURA, Y. 2007. The BioBank Japan Project. </w:t>
      </w:r>
      <w:r w:rsidRPr="004A784D">
        <w:rPr>
          <w:i/>
          <w:noProof/>
          <w:color w:val="000000"/>
          <w:sz w:val="22"/>
        </w:rPr>
        <w:t>Clin Adv Hematol Oncol,</w:t>
      </w:r>
      <w:r w:rsidRPr="004A784D">
        <w:rPr>
          <w:noProof/>
          <w:color w:val="000000"/>
          <w:sz w:val="22"/>
        </w:rPr>
        <w:t xml:space="preserve"> 5</w:t>
      </w:r>
      <w:r w:rsidRPr="004A784D">
        <w:rPr>
          <w:b/>
          <w:noProof/>
          <w:color w:val="000000"/>
          <w:sz w:val="22"/>
        </w:rPr>
        <w:t>,</w:t>
      </w:r>
      <w:r w:rsidRPr="004A784D">
        <w:rPr>
          <w:noProof/>
          <w:color w:val="000000"/>
          <w:sz w:val="22"/>
        </w:rPr>
        <w:t xml:space="preserve"> 696-7.</w:t>
      </w:r>
      <w:bookmarkEnd w:id="2537"/>
    </w:p>
    <w:p w:rsidR="004A784D" w:rsidRPr="004A784D" w:rsidRDefault="004A784D" w:rsidP="004A784D">
      <w:pPr>
        <w:spacing w:after="240"/>
        <w:jc w:val="both"/>
        <w:rPr>
          <w:noProof/>
          <w:color w:val="000000"/>
          <w:sz w:val="22"/>
        </w:rPr>
      </w:pPr>
      <w:bookmarkStart w:id="2538" w:name="_ENREF_288"/>
      <w:r w:rsidRPr="004A784D">
        <w:rPr>
          <w:noProof/>
          <w:color w:val="000000"/>
          <w:sz w:val="22"/>
        </w:rPr>
        <w:t xml:space="preserve">NARIMATSU, H., SAWAKI, H., KUNO, A., KAJI, H., ITO, H. &amp; IKEHARA, Y. 2010. A strategy for discovery of cancer glyco-biomarkers in serum using newly developed technologies for glycoproteomics. </w:t>
      </w:r>
      <w:r w:rsidRPr="004A784D">
        <w:rPr>
          <w:i/>
          <w:noProof/>
          <w:color w:val="000000"/>
          <w:sz w:val="22"/>
        </w:rPr>
        <w:t>FEBS J,</w:t>
      </w:r>
      <w:r w:rsidRPr="004A784D">
        <w:rPr>
          <w:noProof/>
          <w:color w:val="000000"/>
          <w:sz w:val="22"/>
        </w:rPr>
        <w:t xml:space="preserve"> 277</w:t>
      </w:r>
      <w:r w:rsidRPr="004A784D">
        <w:rPr>
          <w:b/>
          <w:noProof/>
          <w:color w:val="000000"/>
          <w:sz w:val="22"/>
        </w:rPr>
        <w:t>,</w:t>
      </w:r>
      <w:r w:rsidRPr="004A784D">
        <w:rPr>
          <w:noProof/>
          <w:color w:val="000000"/>
          <w:sz w:val="22"/>
        </w:rPr>
        <w:t xml:space="preserve"> 95-105.</w:t>
      </w:r>
      <w:bookmarkEnd w:id="2538"/>
    </w:p>
    <w:p w:rsidR="004A784D" w:rsidRPr="004A784D" w:rsidRDefault="004A784D" w:rsidP="004A784D">
      <w:pPr>
        <w:spacing w:after="240"/>
        <w:jc w:val="both"/>
        <w:rPr>
          <w:noProof/>
          <w:color w:val="000000"/>
          <w:sz w:val="22"/>
        </w:rPr>
      </w:pPr>
      <w:bookmarkStart w:id="2539" w:name="_ENREF_289"/>
      <w:r w:rsidRPr="004A784D">
        <w:rPr>
          <w:noProof/>
          <w:color w:val="000000"/>
          <w:sz w:val="22"/>
        </w:rPr>
        <w:t xml:space="preserve">NEWBERRY, A., SHERWOOD, P., HRICIK, A., BRADLEY, S., KUO, J., CRAGO, E., HOFFMAN, L. A. &amp; GIVEN, B. A. 2010. Understanding recruitment and retention in neurological research. </w:t>
      </w:r>
      <w:r w:rsidRPr="004A784D">
        <w:rPr>
          <w:i/>
          <w:noProof/>
          <w:color w:val="000000"/>
          <w:sz w:val="22"/>
        </w:rPr>
        <w:t>J Neurosci Nurs,</w:t>
      </w:r>
      <w:r w:rsidRPr="004A784D">
        <w:rPr>
          <w:noProof/>
          <w:color w:val="000000"/>
          <w:sz w:val="22"/>
        </w:rPr>
        <w:t xml:space="preserve"> 42</w:t>
      </w:r>
      <w:r w:rsidRPr="004A784D">
        <w:rPr>
          <w:b/>
          <w:noProof/>
          <w:color w:val="000000"/>
          <w:sz w:val="22"/>
        </w:rPr>
        <w:t>,</w:t>
      </w:r>
      <w:r w:rsidRPr="004A784D">
        <w:rPr>
          <w:noProof/>
          <w:color w:val="000000"/>
          <w:sz w:val="22"/>
        </w:rPr>
        <w:t xml:space="preserve"> 47-57.</w:t>
      </w:r>
      <w:bookmarkEnd w:id="2539"/>
    </w:p>
    <w:p w:rsidR="004A784D" w:rsidRPr="004A784D" w:rsidRDefault="004A784D" w:rsidP="004A784D">
      <w:pPr>
        <w:spacing w:after="240"/>
        <w:jc w:val="both"/>
        <w:rPr>
          <w:noProof/>
          <w:color w:val="000000"/>
          <w:sz w:val="22"/>
        </w:rPr>
      </w:pPr>
      <w:bookmarkStart w:id="2540" w:name="_ENREF_290"/>
      <w:r w:rsidRPr="004A784D">
        <w:rPr>
          <w:noProof/>
          <w:color w:val="000000"/>
          <w:sz w:val="22"/>
        </w:rPr>
        <w:t xml:space="preserve">NICHOLSON, E. &amp; HOLYOAKE, T. 2009. The chronic myeloid leukemia stem cell. </w:t>
      </w:r>
      <w:r w:rsidRPr="004A784D">
        <w:rPr>
          <w:i/>
          <w:noProof/>
          <w:color w:val="000000"/>
          <w:sz w:val="22"/>
        </w:rPr>
        <w:t>Clin Lymphoma Myeloma,</w:t>
      </w:r>
      <w:r w:rsidRPr="004A784D">
        <w:rPr>
          <w:noProof/>
          <w:color w:val="000000"/>
          <w:sz w:val="22"/>
        </w:rPr>
        <w:t xml:space="preserve"> 9 Suppl 4</w:t>
      </w:r>
      <w:r w:rsidRPr="004A784D">
        <w:rPr>
          <w:b/>
          <w:noProof/>
          <w:color w:val="000000"/>
          <w:sz w:val="22"/>
        </w:rPr>
        <w:t>,</w:t>
      </w:r>
      <w:r w:rsidRPr="004A784D">
        <w:rPr>
          <w:noProof/>
          <w:color w:val="000000"/>
          <w:sz w:val="22"/>
        </w:rPr>
        <w:t xml:space="preserve"> S376-81.</w:t>
      </w:r>
      <w:bookmarkEnd w:id="2540"/>
    </w:p>
    <w:p w:rsidR="004A784D" w:rsidRPr="004A784D" w:rsidRDefault="004A784D" w:rsidP="004A784D">
      <w:pPr>
        <w:spacing w:after="240"/>
        <w:jc w:val="both"/>
        <w:rPr>
          <w:noProof/>
          <w:color w:val="000000"/>
          <w:sz w:val="22"/>
        </w:rPr>
      </w:pPr>
      <w:bookmarkStart w:id="2541" w:name="_ENREF_291"/>
      <w:r w:rsidRPr="004A784D">
        <w:rPr>
          <w:noProof/>
          <w:color w:val="000000"/>
          <w:sz w:val="22"/>
        </w:rPr>
        <w:t xml:space="preserve">NIEMI, K., TEIRILA, L., LAPPALAINEN, J., RAJAMAKI, K., BAUMANN, M. H., OORNI, K., WOLFF, H., KOVANEN, P. T., MATIKAINEN, S. &amp; EKLUND, K. K. 2011. Serum amyloid A activates the NLRP3 inflammasome via P2X7 receptor and a cathepsin B-sensitive pathway. </w:t>
      </w:r>
      <w:r w:rsidRPr="004A784D">
        <w:rPr>
          <w:i/>
          <w:noProof/>
          <w:color w:val="000000"/>
          <w:sz w:val="22"/>
        </w:rPr>
        <w:t>J Immunol,</w:t>
      </w:r>
      <w:r w:rsidRPr="004A784D">
        <w:rPr>
          <w:noProof/>
          <w:color w:val="000000"/>
          <w:sz w:val="22"/>
        </w:rPr>
        <w:t xml:space="preserve"> 186</w:t>
      </w:r>
      <w:r w:rsidRPr="004A784D">
        <w:rPr>
          <w:b/>
          <w:noProof/>
          <w:color w:val="000000"/>
          <w:sz w:val="22"/>
        </w:rPr>
        <w:t>,</w:t>
      </w:r>
      <w:r w:rsidRPr="004A784D">
        <w:rPr>
          <w:noProof/>
          <w:color w:val="000000"/>
          <w:sz w:val="22"/>
        </w:rPr>
        <w:t xml:space="preserve"> 6119-28.</w:t>
      </w:r>
      <w:bookmarkEnd w:id="2541"/>
    </w:p>
    <w:p w:rsidR="004A784D" w:rsidRPr="004A784D" w:rsidRDefault="004A784D" w:rsidP="004A784D">
      <w:pPr>
        <w:spacing w:after="240"/>
        <w:jc w:val="both"/>
        <w:rPr>
          <w:noProof/>
          <w:color w:val="000000"/>
          <w:sz w:val="22"/>
        </w:rPr>
      </w:pPr>
      <w:bookmarkStart w:id="2542" w:name="_ENREF_292"/>
      <w:r w:rsidRPr="004A784D">
        <w:rPr>
          <w:noProof/>
          <w:color w:val="000000"/>
          <w:sz w:val="22"/>
        </w:rPr>
        <w:t xml:space="preserve">NIPARUCK, P., SORAKHUNPIPITKUL, L., ATICHARTAKARN, V., CHUNCHARUNEE, S., UNGKANONT, A., AUNGCHAISUKSIRI, P., PUAVILAI, T. &amp; JOOTAR, S. 2010. Treatment outcome of thalidomide based regimens in newly diagnosed and relapsed/refractory non-transplant multiple myeloma patients: a single center experience from Thailand. </w:t>
      </w:r>
      <w:r w:rsidRPr="004A784D">
        <w:rPr>
          <w:i/>
          <w:noProof/>
          <w:color w:val="000000"/>
          <w:sz w:val="22"/>
        </w:rPr>
        <w:t>J Hematol Oncol,</w:t>
      </w:r>
      <w:r w:rsidRPr="004A784D">
        <w:rPr>
          <w:noProof/>
          <w:color w:val="000000"/>
          <w:sz w:val="22"/>
        </w:rPr>
        <w:t xml:space="preserve"> 3</w:t>
      </w:r>
      <w:r w:rsidRPr="004A784D">
        <w:rPr>
          <w:b/>
          <w:noProof/>
          <w:color w:val="000000"/>
          <w:sz w:val="22"/>
        </w:rPr>
        <w:t>,</w:t>
      </w:r>
      <w:r w:rsidRPr="004A784D">
        <w:rPr>
          <w:noProof/>
          <w:color w:val="000000"/>
          <w:sz w:val="22"/>
        </w:rPr>
        <w:t xml:space="preserve"> 1.</w:t>
      </w:r>
      <w:bookmarkEnd w:id="2542"/>
    </w:p>
    <w:p w:rsidR="004A784D" w:rsidRPr="004A784D" w:rsidRDefault="004A784D" w:rsidP="004A784D">
      <w:pPr>
        <w:spacing w:after="240"/>
        <w:jc w:val="both"/>
        <w:rPr>
          <w:noProof/>
          <w:color w:val="000000"/>
          <w:sz w:val="22"/>
        </w:rPr>
      </w:pPr>
      <w:bookmarkStart w:id="2543" w:name="_ENREF_293"/>
      <w:r w:rsidRPr="004A784D">
        <w:rPr>
          <w:noProof/>
          <w:color w:val="000000"/>
          <w:sz w:val="22"/>
        </w:rPr>
        <w:t xml:space="preserve">NSABIMANA, E., KISIDAYOVA, S., MACHEBOEUF, D., NEWBOLD, C. J. &amp; JOUANY, J. P. 2003. Two-step freezing procedure for cryopreservation of rumen ciliates, an effective tool for creation of a frozen rumen protozoa bank. </w:t>
      </w:r>
      <w:r w:rsidRPr="004A784D">
        <w:rPr>
          <w:i/>
          <w:noProof/>
          <w:color w:val="000000"/>
          <w:sz w:val="22"/>
        </w:rPr>
        <w:t>Appl Environ Microbiol,</w:t>
      </w:r>
      <w:r w:rsidRPr="004A784D">
        <w:rPr>
          <w:noProof/>
          <w:color w:val="000000"/>
          <w:sz w:val="22"/>
        </w:rPr>
        <w:t xml:space="preserve"> 69</w:t>
      </w:r>
      <w:r w:rsidRPr="004A784D">
        <w:rPr>
          <w:b/>
          <w:noProof/>
          <w:color w:val="000000"/>
          <w:sz w:val="22"/>
        </w:rPr>
        <w:t>,</w:t>
      </w:r>
      <w:r w:rsidRPr="004A784D">
        <w:rPr>
          <w:noProof/>
          <w:color w:val="000000"/>
          <w:sz w:val="22"/>
        </w:rPr>
        <w:t xml:space="preserve"> 3826-32.</w:t>
      </w:r>
      <w:bookmarkEnd w:id="2543"/>
    </w:p>
    <w:p w:rsidR="004A784D" w:rsidRPr="004A784D" w:rsidRDefault="004A784D" w:rsidP="004A784D">
      <w:pPr>
        <w:spacing w:after="240"/>
        <w:jc w:val="both"/>
        <w:rPr>
          <w:noProof/>
          <w:color w:val="000000"/>
          <w:sz w:val="22"/>
        </w:rPr>
      </w:pPr>
      <w:bookmarkStart w:id="2544" w:name="_ENREF_294"/>
      <w:r w:rsidRPr="004A784D">
        <w:rPr>
          <w:noProof/>
          <w:color w:val="000000"/>
          <w:sz w:val="22"/>
        </w:rPr>
        <w:t xml:space="preserve">O'DWYER, M. &amp; ATALLAH, E. 2009. Practical considerations for the management of patients in the tyrosine kinase inhibitor era. </w:t>
      </w:r>
      <w:r w:rsidRPr="004A784D">
        <w:rPr>
          <w:i/>
          <w:noProof/>
          <w:color w:val="000000"/>
          <w:sz w:val="22"/>
        </w:rPr>
        <w:t>Semin Hematol,</w:t>
      </w:r>
      <w:r w:rsidRPr="004A784D">
        <w:rPr>
          <w:noProof/>
          <w:color w:val="000000"/>
          <w:sz w:val="22"/>
        </w:rPr>
        <w:t xml:space="preserve"> 46</w:t>
      </w:r>
      <w:r w:rsidRPr="004A784D">
        <w:rPr>
          <w:b/>
          <w:noProof/>
          <w:color w:val="000000"/>
          <w:sz w:val="22"/>
        </w:rPr>
        <w:t>,</w:t>
      </w:r>
      <w:r w:rsidRPr="004A784D">
        <w:rPr>
          <w:noProof/>
          <w:color w:val="000000"/>
          <w:sz w:val="22"/>
        </w:rPr>
        <w:t xml:space="preserve"> S16-21.</w:t>
      </w:r>
      <w:bookmarkEnd w:id="2544"/>
    </w:p>
    <w:p w:rsidR="004A784D" w:rsidRPr="004A784D" w:rsidRDefault="004A784D" w:rsidP="004A784D">
      <w:pPr>
        <w:spacing w:after="240"/>
        <w:jc w:val="both"/>
        <w:rPr>
          <w:noProof/>
          <w:color w:val="000000"/>
          <w:sz w:val="22"/>
        </w:rPr>
      </w:pPr>
      <w:bookmarkStart w:id="2545" w:name="_ENREF_295"/>
      <w:r w:rsidRPr="004A784D">
        <w:rPr>
          <w:noProof/>
          <w:color w:val="000000"/>
          <w:sz w:val="22"/>
        </w:rPr>
        <w:t xml:space="preserve">O'SHEA, D., GILES, C., TERPOS, E., PERZ, J., POLITOU, M., SANA, V., NARESH, K., LAMPERT, I., SAMSON, D., NARAT, S., KANFER, E., OLAVARRIA, E., APPERLEY, J. F. &amp; RAHEMTULLA, A. 2006. Predictive factors for survival in myeloma patients who undergo autologous stem cell transplantation: a single-centre experience in 211 patients. </w:t>
      </w:r>
      <w:r w:rsidRPr="004A784D">
        <w:rPr>
          <w:i/>
          <w:noProof/>
          <w:color w:val="000000"/>
          <w:sz w:val="22"/>
        </w:rPr>
        <w:t>Bone Marrow Transplant,</w:t>
      </w:r>
      <w:r w:rsidRPr="004A784D">
        <w:rPr>
          <w:noProof/>
          <w:color w:val="000000"/>
          <w:sz w:val="22"/>
        </w:rPr>
        <w:t xml:space="preserve"> 37</w:t>
      </w:r>
      <w:r w:rsidRPr="004A784D">
        <w:rPr>
          <w:b/>
          <w:noProof/>
          <w:color w:val="000000"/>
          <w:sz w:val="22"/>
        </w:rPr>
        <w:t>,</w:t>
      </w:r>
      <w:r w:rsidRPr="004A784D">
        <w:rPr>
          <w:noProof/>
          <w:color w:val="000000"/>
          <w:sz w:val="22"/>
        </w:rPr>
        <w:t xml:space="preserve"> 731-7.</w:t>
      </w:r>
      <w:bookmarkEnd w:id="2545"/>
    </w:p>
    <w:p w:rsidR="004A784D" w:rsidRPr="004A784D" w:rsidRDefault="004A784D" w:rsidP="004A784D">
      <w:pPr>
        <w:spacing w:after="240"/>
        <w:jc w:val="both"/>
        <w:rPr>
          <w:noProof/>
          <w:color w:val="000000"/>
          <w:sz w:val="22"/>
        </w:rPr>
      </w:pPr>
      <w:bookmarkStart w:id="2546" w:name="_ENREF_296"/>
      <w:r w:rsidRPr="004A784D">
        <w:rPr>
          <w:noProof/>
          <w:color w:val="000000"/>
          <w:sz w:val="22"/>
        </w:rPr>
        <w:t xml:space="preserve">OFFIDANI, M., CORVATTA, L., POLLONI, C., PIERSANTELLI, M. N., GALIENI, P., VISANI, G., ALESIANI, F., CATARINI, M., BRUNORI, M., BURATTINI, M., CENTURIONI, R., FERRANTI, M., GIULIODORI, L., CANDELA, M., MELE, A., MARCONI, M. &amp; LEONI, P. 2008. Serum C-reactive protein at diagnosis and response to therapy is the most powerful factor predicting outcome of multiple myeloma treated with thalidomide/ anthracycline-based therapy. </w:t>
      </w:r>
      <w:r w:rsidRPr="004A784D">
        <w:rPr>
          <w:i/>
          <w:noProof/>
          <w:color w:val="000000"/>
          <w:sz w:val="22"/>
        </w:rPr>
        <w:t>Clin Lymphoma Myeloma,</w:t>
      </w:r>
      <w:r w:rsidRPr="004A784D">
        <w:rPr>
          <w:noProof/>
          <w:color w:val="000000"/>
          <w:sz w:val="22"/>
        </w:rPr>
        <w:t xml:space="preserve"> 8</w:t>
      </w:r>
      <w:r w:rsidRPr="004A784D">
        <w:rPr>
          <w:b/>
          <w:noProof/>
          <w:color w:val="000000"/>
          <w:sz w:val="22"/>
        </w:rPr>
        <w:t>,</w:t>
      </w:r>
      <w:r w:rsidRPr="004A784D">
        <w:rPr>
          <w:noProof/>
          <w:color w:val="000000"/>
          <w:sz w:val="22"/>
        </w:rPr>
        <w:t xml:space="preserve"> 294-9.</w:t>
      </w:r>
      <w:bookmarkEnd w:id="2546"/>
    </w:p>
    <w:p w:rsidR="004A784D" w:rsidRPr="004A784D" w:rsidRDefault="004A784D" w:rsidP="004A784D">
      <w:pPr>
        <w:spacing w:after="240"/>
        <w:jc w:val="both"/>
        <w:rPr>
          <w:noProof/>
          <w:color w:val="000000"/>
          <w:sz w:val="22"/>
        </w:rPr>
      </w:pPr>
      <w:bookmarkStart w:id="2547" w:name="_ENREF_297"/>
      <w:r w:rsidRPr="004A784D">
        <w:rPr>
          <w:noProof/>
          <w:color w:val="000000"/>
          <w:sz w:val="22"/>
        </w:rPr>
        <w:t xml:space="preserve">OFFIDANI, M., LEONI, P., CORVATTA, L., POLLONI, C., GENTILI, S., SAVINI, A., ALESIANI, F., BRUNORI, M., CATARINI, M., VISANI, G., SAMORI, A., BURATTINI, </w:t>
      </w:r>
      <w:r w:rsidRPr="004A784D">
        <w:rPr>
          <w:noProof/>
          <w:color w:val="000000"/>
          <w:sz w:val="22"/>
        </w:rPr>
        <w:lastRenderedPageBreak/>
        <w:t xml:space="preserve">M., CENTURIONI, R., MONTANARI, M., FRATICELLI, P., RUGGIERI, M., FALCIONI, S. &amp; GALIENI, P. Thadd Plus High Dose Therapy and Autologous Stem Cell Transplantation Does Not Appear Superior to Thadd Plus Maintenance in Elderly Patients with De Novo Multiple Myeloma. </w:t>
      </w:r>
      <w:r w:rsidRPr="004A784D">
        <w:rPr>
          <w:i/>
          <w:noProof/>
          <w:color w:val="000000"/>
          <w:sz w:val="22"/>
        </w:rPr>
        <w:t>Eur J Haematol</w:t>
      </w:r>
      <w:r w:rsidRPr="004A784D">
        <w:rPr>
          <w:noProof/>
          <w:color w:val="000000"/>
          <w:sz w:val="22"/>
        </w:rPr>
        <w:t>.</w:t>
      </w:r>
      <w:bookmarkEnd w:id="2547"/>
    </w:p>
    <w:p w:rsidR="004A784D" w:rsidRPr="004A784D" w:rsidRDefault="004A784D" w:rsidP="004A784D">
      <w:pPr>
        <w:spacing w:after="240"/>
        <w:jc w:val="both"/>
        <w:rPr>
          <w:noProof/>
          <w:color w:val="000000"/>
          <w:sz w:val="22"/>
        </w:rPr>
      </w:pPr>
      <w:bookmarkStart w:id="2548" w:name="_ENREF_298"/>
      <w:r w:rsidRPr="004A784D">
        <w:rPr>
          <w:noProof/>
          <w:color w:val="000000"/>
          <w:sz w:val="22"/>
        </w:rPr>
        <w:t xml:space="preserve">OHKURA, H. 2004. [Clinical usefulness of circulating tumor markers]. </w:t>
      </w:r>
      <w:r w:rsidRPr="004A784D">
        <w:rPr>
          <w:i/>
          <w:noProof/>
          <w:color w:val="000000"/>
          <w:sz w:val="22"/>
        </w:rPr>
        <w:t>Gan To Kagaku Ryoho,</w:t>
      </w:r>
      <w:r w:rsidRPr="004A784D">
        <w:rPr>
          <w:noProof/>
          <w:color w:val="000000"/>
          <w:sz w:val="22"/>
        </w:rPr>
        <w:t xml:space="preserve"> 31</w:t>
      </w:r>
      <w:r w:rsidRPr="004A784D">
        <w:rPr>
          <w:b/>
          <w:noProof/>
          <w:color w:val="000000"/>
          <w:sz w:val="22"/>
        </w:rPr>
        <w:t>,</w:t>
      </w:r>
      <w:r w:rsidRPr="004A784D">
        <w:rPr>
          <w:noProof/>
          <w:color w:val="000000"/>
          <w:sz w:val="22"/>
        </w:rPr>
        <w:t xml:space="preserve"> 1131-4.</w:t>
      </w:r>
      <w:bookmarkEnd w:id="2548"/>
    </w:p>
    <w:p w:rsidR="004A784D" w:rsidRPr="004A784D" w:rsidRDefault="004A784D" w:rsidP="004A784D">
      <w:pPr>
        <w:spacing w:after="240"/>
        <w:jc w:val="both"/>
        <w:rPr>
          <w:noProof/>
          <w:color w:val="000000"/>
          <w:sz w:val="22"/>
        </w:rPr>
      </w:pPr>
      <w:bookmarkStart w:id="2549" w:name="_ENREF_299"/>
      <w:r w:rsidRPr="004A784D">
        <w:rPr>
          <w:noProof/>
          <w:color w:val="000000"/>
          <w:sz w:val="22"/>
        </w:rPr>
        <w:t xml:space="preserve">OLIVEIRA, A. M., MARIA, D. A., METZGER, M., LINARDI, C., GIORGI, R. R., MOURA, F., MARTINEZ, G. A., BYDLOWSKI, S. P. &amp; NOVAK, E. M. 2009. Thalidomide treatment down-regulates SDF-1alpha and CXCR4 expression in multiple myeloma patients. </w:t>
      </w:r>
      <w:r w:rsidRPr="004A784D">
        <w:rPr>
          <w:i/>
          <w:noProof/>
          <w:color w:val="000000"/>
          <w:sz w:val="22"/>
        </w:rPr>
        <w:t>Leuk Res,</w:t>
      </w:r>
      <w:r w:rsidRPr="004A784D">
        <w:rPr>
          <w:noProof/>
          <w:color w:val="000000"/>
          <w:sz w:val="22"/>
        </w:rPr>
        <w:t xml:space="preserve"> 33</w:t>
      </w:r>
      <w:r w:rsidRPr="004A784D">
        <w:rPr>
          <w:b/>
          <w:noProof/>
          <w:color w:val="000000"/>
          <w:sz w:val="22"/>
        </w:rPr>
        <w:t>,</w:t>
      </w:r>
      <w:r w:rsidRPr="004A784D">
        <w:rPr>
          <w:noProof/>
          <w:color w:val="000000"/>
          <w:sz w:val="22"/>
        </w:rPr>
        <w:t xml:space="preserve"> 970-3.</w:t>
      </w:r>
      <w:bookmarkEnd w:id="2549"/>
    </w:p>
    <w:p w:rsidR="004A784D" w:rsidRPr="004A784D" w:rsidRDefault="004A784D" w:rsidP="004A784D">
      <w:pPr>
        <w:spacing w:after="240"/>
        <w:jc w:val="both"/>
        <w:rPr>
          <w:noProof/>
          <w:color w:val="000000"/>
          <w:sz w:val="22"/>
        </w:rPr>
      </w:pPr>
      <w:bookmarkStart w:id="2550" w:name="_ENREF_300"/>
      <w:r w:rsidRPr="004A784D">
        <w:rPr>
          <w:noProof/>
          <w:color w:val="000000"/>
          <w:sz w:val="22"/>
        </w:rPr>
        <w:t xml:space="preserve">OLLIER, W., SPROSEN, T. &amp; PEAKMAN, T. 2005. UK Biobank: from concept to reality. </w:t>
      </w:r>
      <w:r w:rsidRPr="004A784D">
        <w:rPr>
          <w:i/>
          <w:noProof/>
          <w:color w:val="000000"/>
          <w:sz w:val="22"/>
        </w:rPr>
        <w:t>Pharmacogenomics,</w:t>
      </w:r>
      <w:r w:rsidRPr="004A784D">
        <w:rPr>
          <w:noProof/>
          <w:color w:val="000000"/>
          <w:sz w:val="22"/>
        </w:rPr>
        <w:t xml:space="preserve"> 6</w:t>
      </w:r>
      <w:r w:rsidRPr="004A784D">
        <w:rPr>
          <w:b/>
          <w:noProof/>
          <w:color w:val="000000"/>
          <w:sz w:val="22"/>
        </w:rPr>
        <w:t>,</w:t>
      </w:r>
      <w:r w:rsidRPr="004A784D">
        <w:rPr>
          <w:noProof/>
          <w:color w:val="000000"/>
          <w:sz w:val="22"/>
        </w:rPr>
        <w:t xml:space="preserve"> 639-46.</w:t>
      </w:r>
      <w:bookmarkEnd w:id="2550"/>
    </w:p>
    <w:p w:rsidR="004A784D" w:rsidRPr="004A784D" w:rsidRDefault="004A784D" w:rsidP="004A784D">
      <w:pPr>
        <w:spacing w:after="240"/>
        <w:jc w:val="both"/>
        <w:rPr>
          <w:noProof/>
          <w:color w:val="000000"/>
          <w:sz w:val="22"/>
        </w:rPr>
      </w:pPr>
      <w:bookmarkStart w:id="2551" w:name="_ENREF_301"/>
      <w:r w:rsidRPr="004A784D">
        <w:rPr>
          <w:noProof/>
          <w:color w:val="000000"/>
          <w:sz w:val="22"/>
        </w:rPr>
        <w:t xml:space="preserve">OLOFSSON, L. E., OLSSON, B., LYSTIG, T., JACOBSON, P., JERNAS, M., SJOHOLM, K., GUMMESSON, A., SJOSTROM, L., ERIKSSON, P., HAMSTEN, A., HALE, L. P., THELLE, D. S., CARLSSON, B. &amp; CARLSSON, L. M. Preliminary report: Zn-alpha2-glycoprotein genotype and serum levels are associated with serum lipids. </w:t>
      </w:r>
      <w:r w:rsidRPr="004A784D">
        <w:rPr>
          <w:i/>
          <w:noProof/>
          <w:color w:val="000000"/>
          <w:sz w:val="22"/>
        </w:rPr>
        <w:t>Metabolism</w:t>
      </w:r>
      <w:r w:rsidRPr="004A784D">
        <w:rPr>
          <w:noProof/>
          <w:color w:val="000000"/>
          <w:sz w:val="22"/>
        </w:rPr>
        <w:t>.</w:t>
      </w:r>
      <w:bookmarkEnd w:id="2551"/>
    </w:p>
    <w:p w:rsidR="004A784D" w:rsidRPr="004A784D" w:rsidRDefault="004A784D" w:rsidP="004A784D">
      <w:pPr>
        <w:spacing w:after="240"/>
        <w:jc w:val="both"/>
        <w:rPr>
          <w:noProof/>
          <w:color w:val="000000"/>
          <w:sz w:val="22"/>
        </w:rPr>
      </w:pPr>
      <w:bookmarkStart w:id="2552" w:name="_ENREF_302"/>
      <w:r w:rsidRPr="004A784D">
        <w:rPr>
          <w:noProof/>
          <w:color w:val="000000"/>
          <w:sz w:val="22"/>
        </w:rPr>
        <w:t xml:space="preserve">ONG, F., HERMANS, J., NOORDIJK, E. M. &amp; KLUIN-NELEMANS, J. C. 1995. Is the Durie and Salmon diagnostic classification system for plasma cell dyscrasias still the best choice? Application of three classification systems to a large population-based registry of paraproteinemia and multiple myeloma. </w:t>
      </w:r>
      <w:r w:rsidRPr="004A784D">
        <w:rPr>
          <w:i/>
          <w:noProof/>
          <w:color w:val="000000"/>
          <w:sz w:val="22"/>
        </w:rPr>
        <w:t>Ann Hematol,</w:t>
      </w:r>
      <w:r w:rsidRPr="004A784D">
        <w:rPr>
          <w:noProof/>
          <w:color w:val="000000"/>
          <w:sz w:val="22"/>
        </w:rPr>
        <w:t xml:space="preserve"> 70</w:t>
      </w:r>
      <w:r w:rsidRPr="004A784D">
        <w:rPr>
          <w:b/>
          <w:noProof/>
          <w:color w:val="000000"/>
          <w:sz w:val="22"/>
        </w:rPr>
        <w:t>,</w:t>
      </w:r>
      <w:r w:rsidRPr="004A784D">
        <w:rPr>
          <w:noProof/>
          <w:color w:val="000000"/>
          <w:sz w:val="22"/>
        </w:rPr>
        <w:t xml:space="preserve"> 19-24.</w:t>
      </w:r>
      <w:bookmarkEnd w:id="2552"/>
    </w:p>
    <w:p w:rsidR="004A784D" w:rsidRPr="004A784D" w:rsidRDefault="004A784D" w:rsidP="004A784D">
      <w:pPr>
        <w:spacing w:after="240"/>
        <w:jc w:val="both"/>
        <w:rPr>
          <w:noProof/>
          <w:color w:val="000000"/>
          <w:sz w:val="22"/>
        </w:rPr>
      </w:pPr>
      <w:bookmarkStart w:id="2553" w:name="_ENREF_303"/>
      <w:r w:rsidRPr="004A784D">
        <w:rPr>
          <w:noProof/>
          <w:color w:val="000000"/>
          <w:sz w:val="22"/>
        </w:rPr>
        <w:t xml:space="preserve">ORMOND, K. E., CIRINO, A. L., HELENOWSKI, I. B., CHISHOLM, R. L. &amp; WOLF, W. A. 2009. Assessing the understanding of biobank participants. </w:t>
      </w:r>
      <w:r w:rsidRPr="004A784D">
        <w:rPr>
          <w:i/>
          <w:noProof/>
          <w:color w:val="000000"/>
          <w:sz w:val="22"/>
        </w:rPr>
        <w:t>Am J Med Genet A,</w:t>
      </w:r>
      <w:r w:rsidRPr="004A784D">
        <w:rPr>
          <w:noProof/>
          <w:color w:val="000000"/>
          <w:sz w:val="22"/>
        </w:rPr>
        <w:t xml:space="preserve"> 149A</w:t>
      </w:r>
      <w:r w:rsidRPr="004A784D">
        <w:rPr>
          <w:b/>
          <w:noProof/>
          <w:color w:val="000000"/>
          <w:sz w:val="22"/>
        </w:rPr>
        <w:t>,</w:t>
      </w:r>
      <w:r w:rsidRPr="004A784D">
        <w:rPr>
          <w:noProof/>
          <w:color w:val="000000"/>
          <w:sz w:val="22"/>
        </w:rPr>
        <w:t xml:space="preserve"> 188-98.</w:t>
      </w:r>
      <w:bookmarkEnd w:id="2553"/>
    </w:p>
    <w:p w:rsidR="004A784D" w:rsidRPr="004A784D" w:rsidRDefault="004A784D" w:rsidP="004A784D">
      <w:pPr>
        <w:spacing w:after="240"/>
        <w:jc w:val="both"/>
        <w:rPr>
          <w:noProof/>
          <w:color w:val="000000"/>
          <w:sz w:val="22"/>
        </w:rPr>
      </w:pPr>
      <w:bookmarkStart w:id="2554" w:name="_ENREF_304"/>
      <w:r w:rsidRPr="004A784D">
        <w:rPr>
          <w:noProof/>
          <w:color w:val="000000"/>
          <w:sz w:val="22"/>
        </w:rPr>
        <w:t xml:space="preserve">ORTEGA, F., GONZALEZ, M., MORO, M. J., GASCON, A., DUARTE, I., MARTIN, M., HERNANDEZ, J., JIMENEZ-GALINDO, R., PORTERO, J. A., SANZ, M. &amp; ET AL. 1992. [Prognostic effect of beta 2-microglobulin in multiple myeloma]. </w:t>
      </w:r>
      <w:r w:rsidRPr="004A784D">
        <w:rPr>
          <w:i/>
          <w:noProof/>
          <w:color w:val="000000"/>
          <w:sz w:val="22"/>
        </w:rPr>
        <w:t>Med Clin (Barc),</w:t>
      </w:r>
      <w:r w:rsidRPr="004A784D">
        <w:rPr>
          <w:noProof/>
          <w:color w:val="000000"/>
          <w:sz w:val="22"/>
        </w:rPr>
        <w:t xml:space="preserve"> 99</w:t>
      </w:r>
      <w:r w:rsidRPr="004A784D">
        <w:rPr>
          <w:b/>
          <w:noProof/>
          <w:color w:val="000000"/>
          <w:sz w:val="22"/>
        </w:rPr>
        <w:t>,</w:t>
      </w:r>
      <w:r w:rsidRPr="004A784D">
        <w:rPr>
          <w:noProof/>
          <w:color w:val="000000"/>
          <w:sz w:val="22"/>
        </w:rPr>
        <w:t xml:space="preserve"> 645-8.</w:t>
      </w:r>
      <w:bookmarkEnd w:id="2554"/>
    </w:p>
    <w:p w:rsidR="004A784D" w:rsidRPr="004A784D" w:rsidRDefault="004A784D" w:rsidP="004A784D">
      <w:pPr>
        <w:spacing w:after="240"/>
        <w:jc w:val="both"/>
        <w:rPr>
          <w:noProof/>
          <w:color w:val="000000"/>
          <w:sz w:val="22"/>
        </w:rPr>
      </w:pPr>
      <w:bookmarkStart w:id="2555" w:name="_ENREF_305"/>
      <w:r w:rsidRPr="004A784D">
        <w:rPr>
          <w:noProof/>
          <w:color w:val="000000"/>
          <w:sz w:val="22"/>
        </w:rPr>
        <w:t xml:space="preserve">OSTROFF, R., FOREMAN, T., KEENEY, T. R., STRATFORD, S., WALKER, J. J. &amp; ZICHI, D. 2010. The stability of the circulating human proteome to variations in sample collection and handling procedures measured with an aptamer-based proteomics array. </w:t>
      </w:r>
      <w:r w:rsidRPr="004A784D">
        <w:rPr>
          <w:i/>
          <w:noProof/>
          <w:color w:val="000000"/>
          <w:sz w:val="22"/>
        </w:rPr>
        <w:t>J Proteomics,</w:t>
      </w:r>
      <w:r w:rsidRPr="004A784D">
        <w:rPr>
          <w:noProof/>
          <w:color w:val="000000"/>
          <w:sz w:val="22"/>
        </w:rPr>
        <w:t xml:space="preserve"> 73</w:t>
      </w:r>
      <w:r w:rsidRPr="004A784D">
        <w:rPr>
          <w:b/>
          <w:noProof/>
          <w:color w:val="000000"/>
          <w:sz w:val="22"/>
        </w:rPr>
        <w:t>,</w:t>
      </w:r>
      <w:r w:rsidRPr="004A784D">
        <w:rPr>
          <w:noProof/>
          <w:color w:val="000000"/>
          <w:sz w:val="22"/>
        </w:rPr>
        <w:t xml:space="preserve"> 649-66.</w:t>
      </w:r>
      <w:bookmarkEnd w:id="2555"/>
    </w:p>
    <w:p w:rsidR="004A784D" w:rsidRPr="004A784D" w:rsidRDefault="004A784D" w:rsidP="004A784D">
      <w:pPr>
        <w:spacing w:after="240"/>
        <w:jc w:val="both"/>
        <w:rPr>
          <w:noProof/>
          <w:color w:val="000000"/>
          <w:sz w:val="22"/>
        </w:rPr>
      </w:pPr>
      <w:bookmarkStart w:id="2556" w:name="_ENREF_306"/>
      <w:r w:rsidRPr="004A784D">
        <w:rPr>
          <w:noProof/>
          <w:color w:val="000000"/>
          <w:sz w:val="22"/>
        </w:rPr>
        <w:t xml:space="preserve">OZAKI, S. 2009. [New treatment strategies for multiple myeloma]. </w:t>
      </w:r>
      <w:r w:rsidRPr="004A784D">
        <w:rPr>
          <w:i/>
          <w:noProof/>
          <w:color w:val="000000"/>
          <w:sz w:val="22"/>
        </w:rPr>
        <w:t>Rinsho Ketsueki,</w:t>
      </w:r>
      <w:r w:rsidRPr="004A784D">
        <w:rPr>
          <w:noProof/>
          <w:color w:val="000000"/>
          <w:sz w:val="22"/>
        </w:rPr>
        <w:t xml:space="preserve"> 50</w:t>
      </w:r>
      <w:r w:rsidRPr="004A784D">
        <w:rPr>
          <w:b/>
          <w:noProof/>
          <w:color w:val="000000"/>
          <w:sz w:val="22"/>
        </w:rPr>
        <w:t>,</w:t>
      </w:r>
      <w:r w:rsidRPr="004A784D">
        <w:rPr>
          <w:noProof/>
          <w:color w:val="000000"/>
          <w:sz w:val="22"/>
        </w:rPr>
        <w:t xml:space="preserve"> 1506-17.</w:t>
      </w:r>
      <w:bookmarkEnd w:id="2556"/>
    </w:p>
    <w:p w:rsidR="004A784D" w:rsidRPr="004A784D" w:rsidRDefault="004A784D" w:rsidP="004A784D">
      <w:pPr>
        <w:spacing w:after="240"/>
        <w:jc w:val="both"/>
        <w:rPr>
          <w:noProof/>
          <w:color w:val="000000"/>
          <w:sz w:val="22"/>
        </w:rPr>
      </w:pPr>
      <w:bookmarkStart w:id="2557" w:name="_ENREF_307"/>
      <w:r w:rsidRPr="004A784D">
        <w:rPr>
          <w:noProof/>
          <w:color w:val="000000"/>
          <w:sz w:val="22"/>
        </w:rPr>
        <w:t xml:space="preserve">OZAKI, S., HARADA, T., FUJII, S., NAKAMURA, S., MIKI, H., NAKANO, A., KAGAWA, K., TAKEUCHI, K., ABE, M. &amp; MATSUMOTO, T. 2011. Transient inflammatory reaction during lenalidomide plus reduced-dose dexamethasone therapy in two patients with relapsed multiple myeloma. </w:t>
      </w:r>
      <w:r w:rsidRPr="004A784D">
        <w:rPr>
          <w:i/>
          <w:noProof/>
          <w:color w:val="000000"/>
          <w:sz w:val="22"/>
        </w:rPr>
        <w:t>Int J Hematol,</w:t>
      </w:r>
      <w:r w:rsidRPr="004A784D">
        <w:rPr>
          <w:noProof/>
          <w:color w:val="000000"/>
          <w:sz w:val="22"/>
        </w:rPr>
        <w:t xml:space="preserve"> 93</w:t>
      </w:r>
      <w:r w:rsidRPr="004A784D">
        <w:rPr>
          <w:b/>
          <w:noProof/>
          <w:color w:val="000000"/>
          <w:sz w:val="22"/>
        </w:rPr>
        <w:t>,</w:t>
      </w:r>
      <w:r w:rsidRPr="004A784D">
        <w:rPr>
          <w:noProof/>
          <w:color w:val="000000"/>
          <w:sz w:val="22"/>
        </w:rPr>
        <w:t xml:space="preserve"> 257-9.</w:t>
      </w:r>
      <w:bookmarkEnd w:id="2557"/>
    </w:p>
    <w:p w:rsidR="004A784D" w:rsidRPr="004A784D" w:rsidRDefault="004A784D" w:rsidP="004A784D">
      <w:pPr>
        <w:spacing w:after="240"/>
        <w:jc w:val="both"/>
        <w:rPr>
          <w:noProof/>
          <w:color w:val="000000"/>
          <w:sz w:val="22"/>
        </w:rPr>
      </w:pPr>
      <w:bookmarkStart w:id="2558" w:name="_ENREF_308"/>
      <w:r w:rsidRPr="004A784D">
        <w:rPr>
          <w:noProof/>
          <w:color w:val="000000"/>
          <w:sz w:val="22"/>
        </w:rPr>
        <w:t xml:space="preserve">PALMER, L. J. 2007. UK Biobank: bank on it. </w:t>
      </w:r>
      <w:r w:rsidRPr="004A784D">
        <w:rPr>
          <w:i/>
          <w:noProof/>
          <w:color w:val="000000"/>
          <w:sz w:val="22"/>
        </w:rPr>
        <w:t>Lancet,</w:t>
      </w:r>
      <w:r w:rsidRPr="004A784D">
        <w:rPr>
          <w:noProof/>
          <w:color w:val="000000"/>
          <w:sz w:val="22"/>
        </w:rPr>
        <w:t xml:space="preserve"> 369</w:t>
      </w:r>
      <w:r w:rsidRPr="004A784D">
        <w:rPr>
          <w:b/>
          <w:noProof/>
          <w:color w:val="000000"/>
          <w:sz w:val="22"/>
        </w:rPr>
        <w:t>,</w:t>
      </w:r>
      <w:r w:rsidRPr="004A784D">
        <w:rPr>
          <w:noProof/>
          <w:color w:val="000000"/>
          <w:sz w:val="22"/>
        </w:rPr>
        <w:t xml:space="preserve"> 1980-2.</w:t>
      </w:r>
      <w:bookmarkEnd w:id="2558"/>
    </w:p>
    <w:p w:rsidR="004A784D" w:rsidRPr="004A784D" w:rsidRDefault="004A784D" w:rsidP="004A784D">
      <w:pPr>
        <w:spacing w:after="240"/>
        <w:jc w:val="both"/>
        <w:rPr>
          <w:noProof/>
          <w:color w:val="000000"/>
          <w:sz w:val="22"/>
        </w:rPr>
      </w:pPr>
      <w:bookmarkStart w:id="2559" w:name="_ENREF_309"/>
      <w:r w:rsidRPr="004A784D">
        <w:rPr>
          <w:noProof/>
          <w:color w:val="000000"/>
          <w:sz w:val="22"/>
        </w:rPr>
        <w:t xml:space="preserve">PALUMBO, A. &amp; BOCCADORO, M. 2007. A new standard of care for elderly patients with myeloma. </w:t>
      </w:r>
      <w:r w:rsidRPr="004A784D">
        <w:rPr>
          <w:i/>
          <w:noProof/>
          <w:color w:val="000000"/>
          <w:sz w:val="22"/>
        </w:rPr>
        <w:t>Lancet,</w:t>
      </w:r>
      <w:r w:rsidRPr="004A784D">
        <w:rPr>
          <w:noProof/>
          <w:color w:val="000000"/>
          <w:sz w:val="22"/>
        </w:rPr>
        <w:t xml:space="preserve"> 370</w:t>
      </w:r>
      <w:r w:rsidRPr="004A784D">
        <w:rPr>
          <w:b/>
          <w:noProof/>
          <w:color w:val="000000"/>
          <w:sz w:val="22"/>
        </w:rPr>
        <w:t>,</w:t>
      </w:r>
      <w:r w:rsidRPr="004A784D">
        <w:rPr>
          <w:noProof/>
          <w:color w:val="000000"/>
          <w:sz w:val="22"/>
        </w:rPr>
        <w:t xml:space="preserve"> 1191-2.</w:t>
      </w:r>
      <w:bookmarkEnd w:id="2559"/>
    </w:p>
    <w:p w:rsidR="004A784D" w:rsidRPr="004A784D" w:rsidRDefault="004A784D" w:rsidP="004A784D">
      <w:pPr>
        <w:spacing w:after="240"/>
        <w:jc w:val="both"/>
        <w:rPr>
          <w:noProof/>
          <w:color w:val="000000"/>
          <w:sz w:val="22"/>
        </w:rPr>
      </w:pPr>
      <w:bookmarkStart w:id="2560" w:name="_ENREF_310"/>
      <w:r w:rsidRPr="004A784D">
        <w:rPr>
          <w:noProof/>
          <w:color w:val="000000"/>
          <w:sz w:val="22"/>
        </w:rPr>
        <w:t xml:space="preserve">PALUMBO, A., BRINGHEN, S., LIBERATI, A. M., CARAVITA, T., FALCONE, A., CALLEA, V., MONTANARO, M., RIA, R., CAPALDI, A., ZAMBELLO, R., BENEVOLO, G., DERUDAS, D., DORE, F., CAVALLO, F., GAY, F., FALCO, P., </w:t>
      </w:r>
      <w:r w:rsidRPr="004A784D">
        <w:rPr>
          <w:noProof/>
          <w:color w:val="000000"/>
          <w:sz w:val="22"/>
        </w:rPr>
        <w:lastRenderedPageBreak/>
        <w:t xml:space="preserve">CICCONE, G., MUSTO, P., CAVO, M. &amp; BOCCADORO, M. 2008a. Oral melphalan, prednisone, and thalidomide in elderly patients with multiple myeloma: updated results of a randomized controlled trial. </w:t>
      </w:r>
      <w:r w:rsidRPr="004A784D">
        <w:rPr>
          <w:i/>
          <w:noProof/>
          <w:color w:val="000000"/>
          <w:sz w:val="22"/>
        </w:rPr>
        <w:t>Blood,</w:t>
      </w:r>
      <w:r w:rsidRPr="004A784D">
        <w:rPr>
          <w:noProof/>
          <w:color w:val="000000"/>
          <w:sz w:val="22"/>
        </w:rPr>
        <w:t xml:space="preserve"> 112</w:t>
      </w:r>
      <w:r w:rsidRPr="004A784D">
        <w:rPr>
          <w:b/>
          <w:noProof/>
          <w:color w:val="000000"/>
          <w:sz w:val="22"/>
        </w:rPr>
        <w:t>,</w:t>
      </w:r>
      <w:r w:rsidRPr="004A784D">
        <w:rPr>
          <w:noProof/>
          <w:color w:val="000000"/>
          <w:sz w:val="22"/>
        </w:rPr>
        <w:t xml:space="preserve"> 3107-14.</w:t>
      </w:r>
      <w:bookmarkEnd w:id="2560"/>
    </w:p>
    <w:p w:rsidR="004A784D" w:rsidRPr="004A784D" w:rsidRDefault="004A784D" w:rsidP="004A784D">
      <w:pPr>
        <w:spacing w:after="240"/>
        <w:jc w:val="both"/>
        <w:rPr>
          <w:noProof/>
          <w:color w:val="000000"/>
          <w:sz w:val="22"/>
        </w:rPr>
      </w:pPr>
      <w:bookmarkStart w:id="2561" w:name="_ENREF_311"/>
      <w:r w:rsidRPr="004A784D">
        <w:rPr>
          <w:noProof/>
          <w:color w:val="000000"/>
          <w:sz w:val="22"/>
        </w:rPr>
        <w:t xml:space="preserve">PALUMBO, A., BRINGHEN, S., LUDWIG, H., DIMOPOULOS, M. A., BLADE, J., MATEOS, M. V., ROSINOL, L., BOCCADORO, M., CAVO, M., LOKHORST, H., ZWEEGMAN, S., TERPOS, E., DAVIES, F., DRIESSEN, C., GIMSING, P., GRAMATZKI, M., HAJEK, R., JOHNSEN, H. E., LEAL DA COSTA, F., SEZER, O., SPENCER, A., BEKSAC, M., MORGAN, G., EINSELE, H., SAN MIGUEL, J. F. &amp; SONNEVELD, P. 2011a. Personalized therapy in multiple myeloma according to patient age and vulnerability: a report of the European Myeloma Network (EMN). </w:t>
      </w:r>
      <w:r w:rsidRPr="004A784D">
        <w:rPr>
          <w:i/>
          <w:noProof/>
          <w:color w:val="000000"/>
          <w:sz w:val="22"/>
        </w:rPr>
        <w:t>Blood,</w:t>
      </w:r>
      <w:r w:rsidRPr="004A784D">
        <w:rPr>
          <w:noProof/>
          <w:color w:val="000000"/>
          <w:sz w:val="22"/>
        </w:rPr>
        <w:t xml:space="preserve"> 118</w:t>
      </w:r>
      <w:r w:rsidRPr="004A784D">
        <w:rPr>
          <w:b/>
          <w:noProof/>
          <w:color w:val="000000"/>
          <w:sz w:val="22"/>
        </w:rPr>
        <w:t>,</w:t>
      </w:r>
      <w:r w:rsidRPr="004A784D">
        <w:rPr>
          <w:noProof/>
          <w:color w:val="000000"/>
          <w:sz w:val="22"/>
        </w:rPr>
        <w:t xml:space="preserve"> 4519-29.</w:t>
      </w:r>
      <w:bookmarkEnd w:id="2561"/>
    </w:p>
    <w:p w:rsidR="004A784D" w:rsidRPr="004A784D" w:rsidRDefault="004A784D" w:rsidP="004A784D">
      <w:pPr>
        <w:spacing w:after="240"/>
        <w:jc w:val="both"/>
        <w:rPr>
          <w:noProof/>
          <w:color w:val="000000"/>
          <w:sz w:val="22"/>
        </w:rPr>
      </w:pPr>
      <w:bookmarkStart w:id="2562" w:name="_ENREF_312"/>
      <w:r w:rsidRPr="004A784D">
        <w:rPr>
          <w:noProof/>
          <w:color w:val="000000"/>
          <w:sz w:val="22"/>
        </w:rPr>
        <w:t xml:space="preserve">PALUMBO, A., BRINGHEN, S., LUDWIG, H., DIMOPOULOS, M. A., BLADE, J., MATEOS, M. V., ROSINOL, L., BOCCADORO, M., CAVO, M., LOKHORST, H., ZWEEGMAN, S., TERPOS, E., DAVIES, F., DRIESSEN, C., GIMSING, P., GRAMATZKI, M., HAJEK, R., JOHNSEN, H. E., LEAL DA COSTA, F., SEZER, O., SPENCER, A., BEKSAC, M., MORGAN, G., EINSELE, H., SAN MIGUEL, J. F. &amp; SONNEVELD, P. 2011b. Personalized therapy in multiple myeloma according to patient age and vulnerability: a report of the European Myeloma Network (EMN). </w:t>
      </w:r>
      <w:r w:rsidRPr="004A784D">
        <w:rPr>
          <w:i/>
          <w:noProof/>
          <w:color w:val="000000"/>
          <w:sz w:val="22"/>
        </w:rPr>
        <w:t>Blood</w:t>
      </w:r>
      <w:r w:rsidRPr="004A784D">
        <w:rPr>
          <w:noProof/>
          <w:color w:val="000000"/>
          <w:sz w:val="22"/>
        </w:rPr>
        <w:t>.</w:t>
      </w:r>
      <w:bookmarkEnd w:id="2562"/>
    </w:p>
    <w:p w:rsidR="004A784D" w:rsidRPr="004A784D" w:rsidRDefault="004A784D" w:rsidP="004A784D">
      <w:pPr>
        <w:spacing w:after="240"/>
        <w:jc w:val="both"/>
        <w:rPr>
          <w:noProof/>
          <w:color w:val="000000"/>
          <w:sz w:val="22"/>
        </w:rPr>
      </w:pPr>
      <w:bookmarkStart w:id="2563" w:name="_ENREF_313"/>
      <w:r w:rsidRPr="004A784D">
        <w:rPr>
          <w:noProof/>
          <w:color w:val="000000"/>
          <w:sz w:val="22"/>
        </w:rPr>
        <w:t xml:space="preserve">PALUMBO, A., FACON, T., SONNEVELD, P., BLADE, J., OFFIDANI, M., GAY, F., MOREAU, P., WAAGE, A., SPENCER, A., LUDWIG, H., BOCCADORO, M. &amp; HAROUSSEAU, J. L. 2008b. Thalidomide for treatment of multiple myeloma: 10 years later. </w:t>
      </w:r>
      <w:r w:rsidRPr="004A784D">
        <w:rPr>
          <w:i/>
          <w:noProof/>
          <w:color w:val="000000"/>
          <w:sz w:val="22"/>
        </w:rPr>
        <w:t>Blood,</w:t>
      </w:r>
      <w:r w:rsidRPr="004A784D">
        <w:rPr>
          <w:noProof/>
          <w:color w:val="000000"/>
          <w:sz w:val="22"/>
        </w:rPr>
        <w:t xml:space="preserve"> 111</w:t>
      </w:r>
      <w:r w:rsidRPr="004A784D">
        <w:rPr>
          <w:b/>
          <w:noProof/>
          <w:color w:val="000000"/>
          <w:sz w:val="22"/>
        </w:rPr>
        <w:t>,</w:t>
      </w:r>
      <w:r w:rsidRPr="004A784D">
        <w:rPr>
          <w:noProof/>
          <w:color w:val="000000"/>
          <w:sz w:val="22"/>
        </w:rPr>
        <w:t xml:space="preserve"> 3968-77.</w:t>
      </w:r>
      <w:bookmarkEnd w:id="2563"/>
    </w:p>
    <w:p w:rsidR="004A784D" w:rsidRPr="004A784D" w:rsidRDefault="004A784D" w:rsidP="004A784D">
      <w:pPr>
        <w:spacing w:after="240"/>
        <w:jc w:val="both"/>
        <w:rPr>
          <w:noProof/>
          <w:color w:val="000000"/>
          <w:sz w:val="22"/>
        </w:rPr>
      </w:pPr>
      <w:bookmarkStart w:id="2564" w:name="_ENREF_314"/>
      <w:r w:rsidRPr="004A784D">
        <w:rPr>
          <w:noProof/>
          <w:color w:val="000000"/>
          <w:sz w:val="22"/>
        </w:rPr>
        <w:t xml:space="preserve">PALUMBO, A., LAROCCA, A., GENUARDI, M., KOTWICA, K., GAY, F., ROSSI, D., BENEVOLO, G., MAGAROTTO, V., CAVALLO, F., BRINGHEN, S., RUS, C., MASINI, L., IACOBELLI, M., GAIDANO, G., MITSIADES, C., ANDERSON, K., BOCCADORO, M. &amp; RICHARDSON, P. Melphalan, prednisone, thalidomide and defibrotide in relapsed/refractory multiple myeloma: results of multicenter phase I/II trial. </w:t>
      </w:r>
      <w:r w:rsidRPr="004A784D">
        <w:rPr>
          <w:i/>
          <w:noProof/>
          <w:color w:val="000000"/>
          <w:sz w:val="22"/>
        </w:rPr>
        <w:t>Haematologica</w:t>
      </w:r>
      <w:r w:rsidRPr="004A784D">
        <w:rPr>
          <w:noProof/>
          <w:color w:val="000000"/>
          <w:sz w:val="22"/>
        </w:rPr>
        <w:t>.</w:t>
      </w:r>
      <w:bookmarkEnd w:id="2564"/>
    </w:p>
    <w:p w:rsidR="004A784D" w:rsidRPr="004A784D" w:rsidRDefault="004A784D" w:rsidP="004A784D">
      <w:pPr>
        <w:spacing w:after="240"/>
        <w:jc w:val="both"/>
        <w:rPr>
          <w:noProof/>
          <w:color w:val="000000"/>
          <w:sz w:val="22"/>
        </w:rPr>
      </w:pPr>
      <w:bookmarkStart w:id="2565" w:name="_ENREF_315"/>
      <w:r w:rsidRPr="004A784D">
        <w:rPr>
          <w:noProof/>
          <w:color w:val="000000"/>
          <w:sz w:val="22"/>
        </w:rPr>
        <w:t xml:space="preserve">PARKER, B. J., GUNTER, S. &amp; BEDO, J. 2007. Stratification bias in low signal microarray studies. </w:t>
      </w:r>
      <w:r w:rsidRPr="004A784D">
        <w:rPr>
          <w:i/>
          <w:noProof/>
          <w:color w:val="000000"/>
          <w:sz w:val="22"/>
        </w:rPr>
        <w:t>BMC Bioinformatics,</w:t>
      </w:r>
      <w:r w:rsidRPr="004A784D">
        <w:rPr>
          <w:noProof/>
          <w:color w:val="000000"/>
          <w:sz w:val="22"/>
        </w:rPr>
        <w:t xml:space="preserve"> 8</w:t>
      </w:r>
      <w:r w:rsidRPr="004A784D">
        <w:rPr>
          <w:b/>
          <w:noProof/>
          <w:color w:val="000000"/>
          <w:sz w:val="22"/>
        </w:rPr>
        <w:t>,</w:t>
      </w:r>
      <w:r w:rsidRPr="004A784D">
        <w:rPr>
          <w:noProof/>
          <w:color w:val="000000"/>
          <w:sz w:val="22"/>
        </w:rPr>
        <w:t xml:space="preserve"> 326.</w:t>
      </w:r>
      <w:bookmarkEnd w:id="2565"/>
    </w:p>
    <w:p w:rsidR="004A784D" w:rsidRPr="004A784D" w:rsidRDefault="004A784D" w:rsidP="004A784D">
      <w:pPr>
        <w:spacing w:after="240"/>
        <w:jc w:val="both"/>
        <w:rPr>
          <w:noProof/>
          <w:color w:val="000000"/>
          <w:sz w:val="22"/>
        </w:rPr>
      </w:pPr>
      <w:bookmarkStart w:id="2566" w:name="_ENREF_316"/>
      <w:r w:rsidRPr="004A784D">
        <w:rPr>
          <w:noProof/>
          <w:color w:val="000000"/>
          <w:sz w:val="22"/>
        </w:rPr>
        <w:t xml:space="preserve">PATEL, V., HOOD, B. L., MOLINOLO, A. A., LEE, N. H., CONRADS, T. P., BRAISTED, J. C., KRIZMAN, D. B., VEENSTRA, T. D. &amp; GUTKIND, J. S. 2008. Proteomic analysis of laser-captured paraffin-embedded tissues: a molecular portrait of head and neck cancer progression. </w:t>
      </w:r>
      <w:r w:rsidRPr="004A784D">
        <w:rPr>
          <w:i/>
          <w:noProof/>
          <w:color w:val="000000"/>
          <w:sz w:val="22"/>
        </w:rPr>
        <w:t>Clin Cancer Res,</w:t>
      </w:r>
      <w:r w:rsidRPr="004A784D">
        <w:rPr>
          <w:noProof/>
          <w:color w:val="000000"/>
          <w:sz w:val="22"/>
        </w:rPr>
        <w:t xml:space="preserve"> 14</w:t>
      </w:r>
      <w:r w:rsidRPr="004A784D">
        <w:rPr>
          <w:b/>
          <w:noProof/>
          <w:color w:val="000000"/>
          <w:sz w:val="22"/>
        </w:rPr>
        <w:t>,</w:t>
      </w:r>
      <w:r w:rsidRPr="004A784D">
        <w:rPr>
          <w:noProof/>
          <w:color w:val="000000"/>
          <w:sz w:val="22"/>
        </w:rPr>
        <w:t xml:space="preserve"> 1002-14.</w:t>
      </w:r>
      <w:bookmarkEnd w:id="2566"/>
    </w:p>
    <w:p w:rsidR="004A784D" w:rsidRPr="004A784D" w:rsidRDefault="004A784D" w:rsidP="004A784D">
      <w:pPr>
        <w:spacing w:after="240"/>
        <w:jc w:val="both"/>
        <w:rPr>
          <w:noProof/>
          <w:color w:val="000000"/>
          <w:sz w:val="22"/>
        </w:rPr>
      </w:pPr>
      <w:bookmarkStart w:id="2567" w:name="_ENREF_317"/>
      <w:r w:rsidRPr="004A784D">
        <w:rPr>
          <w:noProof/>
          <w:color w:val="000000"/>
          <w:sz w:val="22"/>
        </w:rPr>
        <w:t xml:space="preserve">PATRICK, H. E. &amp; BOWCOCK, S. J. 2010. Ultra low dose thalidomide in myeloma revisited. </w:t>
      </w:r>
      <w:r w:rsidRPr="004A784D">
        <w:rPr>
          <w:i/>
          <w:noProof/>
          <w:color w:val="000000"/>
          <w:sz w:val="22"/>
        </w:rPr>
        <w:t>Br J Haematol,</w:t>
      </w:r>
      <w:r w:rsidRPr="004A784D">
        <w:rPr>
          <w:noProof/>
          <w:color w:val="000000"/>
          <w:sz w:val="22"/>
        </w:rPr>
        <w:t xml:space="preserve"> 150</w:t>
      </w:r>
      <w:r w:rsidRPr="004A784D">
        <w:rPr>
          <w:b/>
          <w:noProof/>
          <w:color w:val="000000"/>
          <w:sz w:val="22"/>
        </w:rPr>
        <w:t>,</w:t>
      </w:r>
      <w:r w:rsidRPr="004A784D">
        <w:rPr>
          <w:noProof/>
          <w:color w:val="000000"/>
          <w:sz w:val="22"/>
        </w:rPr>
        <w:t xml:space="preserve"> 232-4.</w:t>
      </w:r>
      <w:bookmarkEnd w:id="2567"/>
    </w:p>
    <w:p w:rsidR="004A784D" w:rsidRPr="004A784D" w:rsidRDefault="004A784D" w:rsidP="004A784D">
      <w:pPr>
        <w:spacing w:after="240"/>
        <w:jc w:val="both"/>
        <w:rPr>
          <w:noProof/>
          <w:color w:val="000000"/>
          <w:sz w:val="22"/>
        </w:rPr>
      </w:pPr>
      <w:bookmarkStart w:id="2568" w:name="_ENREF_318"/>
      <w:r w:rsidRPr="004A784D">
        <w:rPr>
          <w:noProof/>
          <w:color w:val="000000"/>
          <w:sz w:val="22"/>
        </w:rPr>
        <w:t xml:space="preserve">PAVLOVSKY, C., KANTARJIAN, H. &amp; CORTES, J. E. 2009. First-line therapy for chronic myeloid leukemia: Past, present, and future. </w:t>
      </w:r>
      <w:r w:rsidRPr="004A784D">
        <w:rPr>
          <w:i/>
          <w:noProof/>
          <w:color w:val="000000"/>
          <w:sz w:val="22"/>
        </w:rPr>
        <w:t>Am J Hematol,</w:t>
      </w:r>
      <w:r w:rsidRPr="004A784D">
        <w:rPr>
          <w:noProof/>
          <w:color w:val="000000"/>
          <w:sz w:val="22"/>
        </w:rPr>
        <w:t xml:space="preserve"> 84</w:t>
      </w:r>
      <w:r w:rsidRPr="004A784D">
        <w:rPr>
          <w:b/>
          <w:noProof/>
          <w:color w:val="000000"/>
          <w:sz w:val="22"/>
        </w:rPr>
        <w:t>,</w:t>
      </w:r>
      <w:r w:rsidRPr="004A784D">
        <w:rPr>
          <w:noProof/>
          <w:color w:val="000000"/>
          <w:sz w:val="22"/>
        </w:rPr>
        <w:t xml:space="preserve"> 287-93.</w:t>
      </w:r>
      <w:bookmarkEnd w:id="2568"/>
    </w:p>
    <w:p w:rsidR="004A784D" w:rsidRPr="004A784D" w:rsidRDefault="004A784D" w:rsidP="004A784D">
      <w:pPr>
        <w:spacing w:after="240"/>
        <w:jc w:val="both"/>
        <w:rPr>
          <w:noProof/>
          <w:color w:val="000000"/>
          <w:sz w:val="22"/>
        </w:rPr>
      </w:pPr>
      <w:bookmarkStart w:id="2569" w:name="_ENREF_319"/>
      <w:r w:rsidRPr="004A784D">
        <w:rPr>
          <w:noProof/>
          <w:color w:val="000000"/>
          <w:sz w:val="22"/>
        </w:rPr>
        <w:t xml:space="preserve">PEGG, D. E. 2006. The preservation of tissues for transplantation. </w:t>
      </w:r>
      <w:r w:rsidRPr="004A784D">
        <w:rPr>
          <w:i/>
          <w:noProof/>
          <w:color w:val="000000"/>
          <w:sz w:val="22"/>
        </w:rPr>
        <w:t>Cell Tissue Bank,</w:t>
      </w:r>
      <w:r w:rsidRPr="004A784D">
        <w:rPr>
          <w:noProof/>
          <w:color w:val="000000"/>
          <w:sz w:val="22"/>
        </w:rPr>
        <w:t xml:space="preserve"> 7</w:t>
      </w:r>
      <w:r w:rsidRPr="004A784D">
        <w:rPr>
          <w:b/>
          <w:noProof/>
          <w:color w:val="000000"/>
          <w:sz w:val="22"/>
        </w:rPr>
        <w:t>,</w:t>
      </w:r>
      <w:r w:rsidRPr="004A784D">
        <w:rPr>
          <w:noProof/>
          <w:color w:val="000000"/>
          <w:sz w:val="22"/>
        </w:rPr>
        <w:t xml:space="preserve"> 349-58.</w:t>
      </w:r>
      <w:bookmarkEnd w:id="2569"/>
    </w:p>
    <w:p w:rsidR="004A784D" w:rsidRPr="004A784D" w:rsidRDefault="004A784D" w:rsidP="004A784D">
      <w:pPr>
        <w:spacing w:after="240"/>
        <w:jc w:val="both"/>
        <w:rPr>
          <w:noProof/>
          <w:color w:val="000000"/>
          <w:sz w:val="22"/>
        </w:rPr>
      </w:pPr>
      <w:bookmarkStart w:id="2570" w:name="_ENREF_320"/>
      <w:r w:rsidRPr="004A784D">
        <w:rPr>
          <w:noProof/>
          <w:color w:val="000000"/>
          <w:sz w:val="22"/>
        </w:rPr>
        <w:t xml:space="preserve">PEJCIC, I., VRBIC, S., FILIPOVIC, S., SCEKIC, M., PETKOVIC, I., PEJCIC, L. &amp; DJENIC, N. 2010. [Significance of serum tumor markers monitoring metastases in carcinomas of unknown primary site]. </w:t>
      </w:r>
      <w:r w:rsidRPr="004A784D">
        <w:rPr>
          <w:i/>
          <w:noProof/>
          <w:color w:val="000000"/>
          <w:sz w:val="22"/>
        </w:rPr>
        <w:t>Vojnosanit Pregl,</w:t>
      </w:r>
      <w:r w:rsidRPr="004A784D">
        <w:rPr>
          <w:noProof/>
          <w:color w:val="000000"/>
          <w:sz w:val="22"/>
        </w:rPr>
        <w:t xml:space="preserve"> 67</w:t>
      </w:r>
      <w:r w:rsidRPr="004A784D">
        <w:rPr>
          <w:b/>
          <w:noProof/>
          <w:color w:val="000000"/>
          <w:sz w:val="22"/>
        </w:rPr>
        <w:t>,</w:t>
      </w:r>
      <w:r w:rsidRPr="004A784D">
        <w:rPr>
          <w:noProof/>
          <w:color w:val="000000"/>
          <w:sz w:val="22"/>
        </w:rPr>
        <w:t xml:space="preserve"> 723-31.</w:t>
      </w:r>
      <w:bookmarkEnd w:id="2570"/>
    </w:p>
    <w:p w:rsidR="004A784D" w:rsidRPr="004A784D" w:rsidRDefault="004A784D" w:rsidP="004A784D">
      <w:pPr>
        <w:spacing w:after="240"/>
        <w:jc w:val="both"/>
        <w:rPr>
          <w:noProof/>
          <w:color w:val="000000"/>
          <w:sz w:val="22"/>
        </w:rPr>
      </w:pPr>
      <w:bookmarkStart w:id="2571" w:name="_ENREF_321"/>
      <w:r w:rsidRPr="004A784D">
        <w:rPr>
          <w:noProof/>
          <w:color w:val="000000"/>
          <w:sz w:val="22"/>
        </w:rPr>
        <w:t xml:space="preserve">PEPE, M. S., GU, J. W. &amp; MORRIS, D. E. 2010. The potential of genes and other markers to inform about risk. </w:t>
      </w:r>
      <w:r w:rsidRPr="004A784D">
        <w:rPr>
          <w:i/>
          <w:noProof/>
          <w:color w:val="000000"/>
          <w:sz w:val="22"/>
        </w:rPr>
        <w:t>Cancer Epidemiol Biomarkers Prev,</w:t>
      </w:r>
      <w:r w:rsidRPr="004A784D">
        <w:rPr>
          <w:noProof/>
          <w:color w:val="000000"/>
          <w:sz w:val="22"/>
        </w:rPr>
        <w:t xml:space="preserve"> 19</w:t>
      </w:r>
      <w:r w:rsidRPr="004A784D">
        <w:rPr>
          <w:b/>
          <w:noProof/>
          <w:color w:val="000000"/>
          <w:sz w:val="22"/>
        </w:rPr>
        <w:t>,</w:t>
      </w:r>
      <w:r w:rsidRPr="004A784D">
        <w:rPr>
          <w:noProof/>
          <w:color w:val="000000"/>
          <w:sz w:val="22"/>
        </w:rPr>
        <w:t xml:space="preserve"> 655-65.</w:t>
      </w:r>
      <w:bookmarkEnd w:id="2571"/>
    </w:p>
    <w:p w:rsidR="004A784D" w:rsidRPr="004A784D" w:rsidRDefault="004A784D" w:rsidP="004A784D">
      <w:pPr>
        <w:spacing w:after="240"/>
        <w:jc w:val="both"/>
        <w:rPr>
          <w:noProof/>
          <w:color w:val="000000"/>
          <w:sz w:val="22"/>
        </w:rPr>
      </w:pPr>
      <w:bookmarkStart w:id="2572" w:name="_ENREF_322"/>
      <w:r w:rsidRPr="004A784D">
        <w:rPr>
          <w:noProof/>
          <w:color w:val="000000"/>
          <w:sz w:val="22"/>
        </w:rPr>
        <w:lastRenderedPageBreak/>
        <w:t xml:space="preserve">PETRICOIN, E. F., BELLUCO, C., ARAUJO, R. P. &amp; LIOTTA, L. A. 2006. The blood peptidome: a higher dimension of information content for cancer biomarker discovery. </w:t>
      </w:r>
      <w:r w:rsidRPr="004A784D">
        <w:rPr>
          <w:i/>
          <w:noProof/>
          <w:color w:val="000000"/>
          <w:sz w:val="22"/>
        </w:rPr>
        <w:t>Nat Rev Cancer,</w:t>
      </w:r>
      <w:r w:rsidRPr="004A784D">
        <w:rPr>
          <w:noProof/>
          <w:color w:val="000000"/>
          <w:sz w:val="22"/>
        </w:rPr>
        <w:t xml:space="preserve"> 6</w:t>
      </w:r>
      <w:r w:rsidRPr="004A784D">
        <w:rPr>
          <w:b/>
          <w:noProof/>
          <w:color w:val="000000"/>
          <w:sz w:val="22"/>
        </w:rPr>
        <w:t>,</w:t>
      </w:r>
      <w:r w:rsidRPr="004A784D">
        <w:rPr>
          <w:noProof/>
          <w:color w:val="000000"/>
          <w:sz w:val="22"/>
        </w:rPr>
        <w:t xml:space="preserve"> 961-7.</w:t>
      </w:r>
      <w:bookmarkEnd w:id="2572"/>
    </w:p>
    <w:p w:rsidR="004A784D" w:rsidRPr="004A784D" w:rsidRDefault="004A784D" w:rsidP="004A784D">
      <w:pPr>
        <w:spacing w:after="240"/>
        <w:jc w:val="both"/>
        <w:rPr>
          <w:noProof/>
          <w:color w:val="000000"/>
          <w:sz w:val="22"/>
        </w:rPr>
      </w:pPr>
      <w:bookmarkStart w:id="2573" w:name="_ENREF_323"/>
      <w:r w:rsidRPr="004A784D">
        <w:rPr>
          <w:noProof/>
          <w:color w:val="000000"/>
          <w:sz w:val="22"/>
        </w:rPr>
        <w:t xml:space="preserve">PINEDA-ROMAN, M. &amp; TRICOT, G. 2007. High-dose therapy in patients with plasma cell dyscrasias and renal dysfunction. </w:t>
      </w:r>
      <w:r w:rsidRPr="004A784D">
        <w:rPr>
          <w:i/>
          <w:noProof/>
          <w:color w:val="000000"/>
          <w:sz w:val="22"/>
        </w:rPr>
        <w:t>Contrib Nephrol,</w:t>
      </w:r>
      <w:r w:rsidRPr="004A784D">
        <w:rPr>
          <w:noProof/>
          <w:color w:val="000000"/>
          <w:sz w:val="22"/>
        </w:rPr>
        <w:t xml:space="preserve"> 153</w:t>
      </w:r>
      <w:r w:rsidRPr="004A784D">
        <w:rPr>
          <w:b/>
          <w:noProof/>
          <w:color w:val="000000"/>
          <w:sz w:val="22"/>
        </w:rPr>
        <w:t>,</w:t>
      </w:r>
      <w:r w:rsidRPr="004A784D">
        <w:rPr>
          <w:noProof/>
          <w:color w:val="000000"/>
          <w:sz w:val="22"/>
        </w:rPr>
        <w:t xml:space="preserve"> 182-94.</w:t>
      </w:r>
      <w:bookmarkEnd w:id="2573"/>
    </w:p>
    <w:p w:rsidR="004A784D" w:rsidRPr="004A784D" w:rsidRDefault="004A784D" w:rsidP="004A784D">
      <w:pPr>
        <w:spacing w:after="240"/>
        <w:jc w:val="both"/>
        <w:rPr>
          <w:noProof/>
          <w:color w:val="000000"/>
          <w:sz w:val="22"/>
        </w:rPr>
      </w:pPr>
      <w:bookmarkStart w:id="2574" w:name="_ENREF_324"/>
      <w:r w:rsidRPr="004A784D">
        <w:rPr>
          <w:noProof/>
          <w:color w:val="000000"/>
          <w:sz w:val="22"/>
        </w:rPr>
        <w:t xml:space="preserve">POIRIER, F., PONTET, M., LABAS, V., LE CAER, J. P., SGHIOUAR-IMAM, N., RAPHAEL, M., CARON, M. &amp; JOUBERT-CARON, R. 2001. Two-dimensional database of a Burkitt lymphoma cell line (DG 75) proteins: protein pattern changes following treatment with 5'-azycytidine. </w:t>
      </w:r>
      <w:r w:rsidRPr="004A784D">
        <w:rPr>
          <w:i/>
          <w:noProof/>
          <w:color w:val="000000"/>
          <w:sz w:val="22"/>
        </w:rPr>
        <w:t>Electrophoresis,</w:t>
      </w:r>
      <w:r w:rsidRPr="004A784D">
        <w:rPr>
          <w:noProof/>
          <w:color w:val="000000"/>
          <w:sz w:val="22"/>
        </w:rPr>
        <w:t xml:space="preserve"> 22</w:t>
      </w:r>
      <w:r w:rsidRPr="004A784D">
        <w:rPr>
          <w:b/>
          <w:noProof/>
          <w:color w:val="000000"/>
          <w:sz w:val="22"/>
        </w:rPr>
        <w:t>,</w:t>
      </w:r>
      <w:r w:rsidRPr="004A784D">
        <w:rPr>
          <w:noProof/>
          <w:color w:val="000000"/>
          <w:sz w:val="22"/>
        </w:rPr>
        <w:t xml:space="preserve"> 1867-77.</w:t>
      </w:r>
      <w:bookmarkEnd w:id="2574"/>
    </w:p>
    <w:p w:rsidR="004A784D" w:rsidRPr="004A784D" w:rsidRDefault="004A784D" w:rsidP="004A784D">
      <w:pPr>
        <w:spacing w:after="240"/>
        <w:jc w:val="both"/>
        <w:rPr>
          <w:noProof/>
          <w:color w:val="000000"/>
          <w:sz w:val="22"/>
        </w:rPr>
      </w:pPr>
      <w:bookmarkStart w:id="2575" w:name="_ENREF_325"/>
      <w:r w:rsidRPr="004A784D">
        <w:rPr>
          <w:noProof/>
          <w:color w:val="000000"/>
          <w:sz w:val="22"/>
        </w:rPr>
        <w:t xml:space="preserve">POLANSKI, M. &amp; ANDERSON, N. L. 2007. A list of candidate cancer biomarkers for targeted proteomics. </w:t>
      </w:r>
      <w:r w:rsidRPr="004A784D">
        <w:rPr>
          <w:i/>
          <w:noProof/>
          <w:color w:val="000000"/>
          <w:sz w:val="22"/>
        </w:rPr>
        <w:t>Biomark Insights,</w:t>
      </w:r>
      <w:r w:rsidRPr="004A784D">
        <w:rPr>
          <w:noProof/>
          <w:color w:val="000000"/>
          <w:sz w:val="22"/>
        </w:rPr>
        <w:t xml:space="preserve"> 1</w:t>
      </w:r>
      <w:r w:rsidRPr="004A784D">
        <w:rPr>
          <w:b/>
          <w:noProof/>
          <w:color w:val="000000"/>
          <w:sz w:val="22"/>
        </w:rPr>
        <w:t>,</w:t>
      </w:r>
      <w:r w:rsidRPr="004A784D">
        <w:rPr>
          <w:noProof/>
          <w:color w:val="000000"/>
          <w:sz w:val="22"/>
        </w:rPr>
        <w:t xml:space="preserve"> 1-48.</w:t>
      </w:r>
      <w:bookmarkEnd w:id="2575"/>
    </w:p>
    <w:p w:rsidR="004A784D" w:rsidRPr="004A784D" w:rsidRDefault="004A784D" w:rsidP="004A784D">
      <w:pPr>
        <w:spacing w:after="240"/>
        <w:jc w:val="both"/>
        <w:rPr>
          <w:noProof/>
          <w:color w:val="000000"/>
          <w:sz w:val="22"/>
        </w:rPr>
      </w:pPr>
      <w:bookmarkStart w:id="2576" w:name="_ENREF_326"/>
      <w:r w:rsidRPr="004A784D">
        <w:rPr>
          <w:noProof/>
          <w:color w:val="000000"/>
          <w:sz w:val="22"/>
        </w:rPr>
        <w:t xml:space="preserve">POLSON, A. G. &amp; SLIWKOWSKI, M. X. 2009. Toward an effective targeted chemotherapy for multiple myeloma. </w:t>
      </w:r>
      <w:r w:rsidRPr="004A784D">
        <w:rPr>
          <w:i/>
          <w:noProof/>
          <w:color w:val="000000"/>
          <w:sz w:val="22"/>
        </w:rPr>
        <w:t>Clin Cancer Res,</w:t>
      </w:r>
      <w:r w:rsidRPr="004A784D">
        <w:rPr>
          <w:noProof/>
          <w:color w:val="000000"/>
          <w:sz w:val="22"/>
        </w:rPr>
        <w:t xml:space="preserve"> 15</w:t>
      </w:r>
      <w:r w:rsidRPr="004A784D">
        <w:rPr>
          <w:b/>
          <w:noProof/>
          <w:color w:val="000000"/>
          <w:sz w:val="22"/>
        </w:rPr>
        <w:t>,</w:t>
      </w:r>
      <w:r w:rsidRPr="004A784D">
        <w:rPr>
          <w:noProof/>
          <w:color w:val="000000"/>
          <w:sz w:val="22"/>
        </w:rPr>
        <w:t xml:space="preserve"> 3906-7.</w:t>
      </w:r>
      <w:bookmarkEnd w:id="2576"/>
    </w:p>
    <w:p w:rsidR="004A784D" w:rsidRPr="004A784D" w:rsidRDefault="004A784D" w:rsidP="004A784D">
      <w:pPr>
        <w:spacing w:after="240"/>
        <w:jc w:val="both"/>
        <w:rPr>
          <w:noProof/>
          <w:color w:val="000000"/>
          <w:sz w:val="22"/>
        </w:rPr>
      </w:pPr>
      <w:bookmarkStart w:id="2577" w:name="_ENREF_327"/>
      <w:r w:rsidRPr="004A784D">
        <w:rPr>
          <w:noProof/>
          <w:color w:val="000000"/>
          <w:sz w:val="22"/>
        </w:rPr>
        <w:t xml:space="preserve">QIAN, W. J., JACOBS, J. M., LIU, T., CAMP, D. G., 2ND &amp; SMITH, R. D. 2006. Advances and challenges in liquid chromatography-mass spectrometry-based proteomics profiling for clinical applications. </w:t>
      </w:r>
      <w:r w:rsidRPr="004A784D">
        <w:rPr>
          <w:i/>
          <w:noProof/>
          <w:color w:val="000000"/>
          <w:sz w:val="22"/>
        </w:rPr>
        <w:t>Mol Cell Proteomics,</w:t>
      </w:r>
      <w:r w:rsidRPr="004A784D">
        <w:rPr>
          <w:noProof/>
          <w:color w:val="000000"/>
          <w:sz w:val="22"/>
        </w:rPr>
        <w:t xml:space="preserve"> 5</w:t>
      </w:r>
      <w:r w:rsidRPr="004A784D">
        <w:rPr>
          <w:b/>
          <w:noProof/>
          <w:color w:val="000000"/>
          <w:sz w:val="22"/>
        </w:rPr>
        <w:t>,</w:t>
      </w:r>
      <w:r w:rsidRPr="004A784D">
        <w:rPr>
          <w:noProof/>
          <w:color w:val="000000"/>
          <w:sz w:val="22"/>
        </w:rPr>
        <w:t xml:space="preserve"> 1727-44.</w:t>
      </w:r>
      <w:bookmarkEnd w:id="2577"/>
    </w:p>
    <w:p w:rsidR="004A784D" w:rsidRPr="004A784D" w:rsidRDefault="004A784D" w:rsidP="004A784D">
      <w:pPr>
        <w:spacing w:after="240"/>
        <w:jc w:val="both"/>
        <w:rPr>
          <w:noProof/>
          <w:color w:val="000000"/>
          <w:sz w:val="22"/>
        </w:rPr>
      </w:pPr>
      <w:bookmarkStart w:id="2578" w:name="_ENREF_328"/>
      <w:r w:rsidRPr="004A784D">
        <w:rPr>
          <w:noProof/>
          <w:color w:val="000000"/>
          <w:sz w:val="22"/>
        </w:rPr>
        <w:t xml:space="preserve">QIAN, W. J., KALETA, D. T., PETRITIS, B. O., JIANG, H., LIU, T., ZHANG, X., MOTTAZ, H. M., VARNUM, S. M., CAMP, D. G., 2ND, HUANG, L., FANG, X., ZHANG, W. W. &amp; SMITH, R. D. 2008. Enhanced detection of low abundance human plasma proteins using a tandem IgY12-SuperMix immunoaffinity separation strategy. </w:t>
      </w:r>
      <w:r w:rsidRPr="004A784D">
        <w:rPr>
          <w:i/>
          <w:noProof/>
          <w:color w:val="000000"/>
          <w:sz w:val="22"/>
        </w:rPr>
        <w:t>Mol Cell Proteomics,</w:t>
      </w:r>
      <w:r w:rsidRPr="004A784D">
        <w:rPr>
          <w:noProof/>
          <w:color w:val="000000"/>
          <w:sz w:val="22"/>
        </w:rPr>
        <w:t xml:space="preserve"> 7</w:t>
      </w:r>
      <w:r w:rsidRPr="004A784D">
        <w:rPr>
          <w:b/>
          <w:noProof/>
          <w:color w:val="000000"/>
          <w:sz w:val="22"/>
        </w:rPr>
        <w:t>,</w:t>
      </w:r>
      <w:r w:rsidRPr="004A784D">
        <w:rPr>
          <w:noProof/>
          <w:color w:val="000000"/>
          <w:sz w:val="22"/>
        </w:rPr>
        <w:t xml:space="preserve"> 1963-73.</w:t>
      </w:r>
      <w:bookmarkEnd w:id="2578"/>
    </w:p>
    <w:p w:rsidR="004A784D" w:rsidRPr="004A784D" w:rsidRDefault="004A784D" w:rsidP="004A784D">
      <w:pPr>
        <w:spacing w:after="240"/>
        <w:jc w:val="both"/>
        <w:rPr>
          <w:noProof/>
          <w:color w:val="000000"/>
          <w:sz w:val="22"/>
        </w:rPr>
      </w:pPr>
      <w:bookmarkStart w:id="2579" w:name="_ENREF_329"/>
      <w:r w:rsidRPr="004A784D">
        <w:rPr>
          <w:noProof/>
          <w:color w:val="000000"/>
          <w:sz w:val="22"/>
        </w:rPr>
        <w:t xml:space="preserve">RAAB, M. S., PODAR, K., BREITKREUTZ, I., RICHARDSON, P. G. &amp; ANDERSON, K. C. 2009. Multiple myeloma. </w:t>
      </w:r>
      <w:r w:rsidRPr="004A784D">
        <w:rPr>
          <w:i/>
          <w:noProof/>
          <w:color w:val="000000"/>
          <w:sz w:val="22"/>
        </w:rPr>
        <w:t>Lancet,</w:t>
      </w:r>
      <w:r w:rsidRPr="004A784D">
        <w:rPr>
          <w:noProof/>
          <w:color w:val="000000"/>
          <w:sz w:val="22"/>
        </w:rPr>
        <w:t xml:space="preserve"> 374</w:t>
      </w:r>
      <w:r w:rsidRPr="004A784D">
        <w:rPr>
          <w:b/>
          <w:noProof/>
          <w:color w:val="000000"/>
          <w:sz w:val="22"/>
        </w:rPr>
        <w:t>,</w:t>
      </w:r>
      <w:r w:rsidRPr="004A784D">
        <w:rPr>
          <w:noProof/>
          <w:color w:val="000000"/>
          <w:sz w:val="22"/>
        </w:rPr>
        <w:t xml:space="preserve"> 324-39.</w:t>
      </w:r>
      <w:bookmarkEnd w:id="2579"/>
    </w:p>
    <w:p w:rsidR="004A784D" w:rsidRPr="004A784D" w:rsidRDefault="004A784D" w:rsidP="004A784D">
      <w:pPr>
        <w:spacing w:after="240"/>
        <w:jc w:val="both"/>
        <w:rPr>
          <w:noProof/>
          <w:color w:val="000000"/>
          <w:sz w:val="22"/>
        </w:rPr>
      </w:pPr>
      <w:bookmarkStart w:id="2580" w:name="_ENREF_330"/>
      <w:r w:rsidRPr="004A784D">
        <w:rPr>
          <w:noProof/>
          <w:color w:val="000000"/>
          <w:sz w:val="22"/>
        </w:rPr>
        <w:t xml:space="preserve">RAFIEE, P., STEIN, D. J., NELSON, V. M., OTTERSON, M. F., SHAKER, R. &amp; BINION, D. G. 2010. Thalidomide inhibits inflammatory and angiogenic activation of human intestinal microvascular endothelial cells (HIMEC). </w:t>
      </w:r>
      <w:r w:rsidRPr="004A784D">
        <w:rPr>
          <w:i/>
          <w:noProof/>
          <w:color w:val="000000"/>
          <w:sz w:val="22"/>
        </w:rPr>
        <w:t>Am J Physiol Gastrointest Liver Physiol,</w:t>
      </w:r>
      <w:r w:rsidRPr="004A784D">
        <w:rPr>
          <w:noProof/>
          <w:color w:val="000000"/>
          <w:sz w:val="22"/>
        </w:rPr>
        <w:t xml:space="preserve"> 298</w:t>
      </w:r>
      <w:r w:rsidRPr="004A784D">
        <w:rPr>
          <w:b/>
          <w:noProof/>
          <w:color w:val="000000"/>
          <w:sz w:val="22"/>
        </w:rPr>
        <w:t>,</w:t>
      </w:r>
      <w:r w:rsidRPr="004A784D">
        <w:rPr>
          <w:noProof/>
          <w:color w:val="000000"/>
          <w:sz w:val="22"/>
        </w:rPr>
        <w:t xml:space="preserve"> G167-76.</w:t>
      </w:r>
      <w:bookmarkEnd w:id="2580"/>
    </w:p>
    <w:p w:rsidR="004A784D" w:rsidRPr="004A784D" w:rsidRDefault="004A784D" w:rsidP="004A784D">
      <w:pPr>
        <w:spacing w:after="240"/>
        <w:jc w:val="both"/>
        <w:rPr>
          <w:noProof/>
          <w:color w:val="000000"/>
          <w:sz w:val="22"/>
        </w:rPr>
      </w:pPr>
      <w:bookmarkStart w:id="2581" w:name="_ENREF_331"/>
      <w:r w:rsidRPr="004A784D">
        <w:rPr>
          <w:noProof/>
          <w:color w:val="000000"/>
          <w:sz w:val="22"/>
        </w:rPr>
        <w:t xml:space="preserve">RAJE, N., KUMAR, S., HIDESHIMA, T., ISHITSUKA, K., CHAUHAN, D., MITSIADES, C., PODAR, K., LE GOUILL, S., RICHARDSON, P., MUNSHI, N. C., STIRLING, D. I., ANTIN, J. H. &amp; ANDERSON, K. C. 2004. Combination of the mTOR inhibitor rapamycin and CC-5013 has synergistic activity in multiple myeloma. </w:t>
      </w:r>
      <w:r w:rsidRPr="004A784D">
        <w:rPr>
          <w:i/>
          <w:noProof/>
          <w:color w:val="000000"/>
          <w:sz w:val="22"/>
        </w:rPr>
        <w:t>Blood,</w:t>
      </w:r>
      <w:r w:rsidRPr="004A784D">
        <w:rPr>
          <w:noProof/>
          <w:color w:val="000000"/>
          <w:sz w:val="22"/>
        </w:rPr>
        <w:t xml:space="preserve"> 104</w:t>
      </w:r>
      <w:r w:rsidRPr="004A784D">
        <w:rPr>
          <w:b/>
          <w:noProof/>
          <w:color w:val="000000"/>
          <w:sz w:val="22"/>
        </w:rPr>
        <w:t>,</w:t>
      </w:r>
      <w:r w:rsidRPr="004A784D">
        <w:rPr>
          <w:noProof/>
          <w:color w:val="000000"/>
          <w:sz w:val="22"/>
        </w:rPr>
        <w:t xml:space="preserve"> 4188-93.</w:t>
      </w:r>
      <w:bookmarkEnd w:id="2581"/>
    </w:p>
    <w:p w:rsidR="004A784D" w:rsidRPr="004A784D" w:rsidRDefault="004A784D" w:rsidP="004A784D">
      <w:pPr>
        <w:spacing w:after="240"/>
        <w:jc w:val="both"/>
        <w:rPr>
          <w:noProof/>
          <w:color w:val="000000"/>
          <w:sz w:val="22"/>
        </w:rPr>
      </w:pPr>
      <w:bookmarkStart w:id="2582" w:name="_ENREF_332"/>
      <w:r w:rsidRPr="004A784D">
        <w:rPr>
          <w:noProof/>
          <w:color w:val="000000"/>
          <w:sz w:val="22"/>
        </w:rPr>
        <w:t xml:space="preserve">RAJKUMAR, S. V., BLOOD, E., VESOLE, D., FONSECA, R. &amp; GREIPP, P. R. 2006. Phase III clinical trial of thalidomide plus dexamethasone compared with dexamethasone alone in newly diagnosed multiple myeloma: a clinical trial coordinated by the Eastern Cooperative Oncology Group. </w:t>
      </w:r>
      <w:r w:rsidRPr="004A784D">
        <w:rPr>
          <w:i/>
          <w:noProof/>
          <w:color w:val="000000"/>
          <w:sz w:val="22"/>
        </w:rPr>
        <w:t>J Clin Oncol,</w:t>
      </w:r>
      <w:r w:rsidRPr="004A784D">
        <w:rPr>
          <w:noProof/>
          <w:color w:val="000000"/>
          <w:sz w:val="22"/>
        </w:rPr>
        <w:t xml:space="preserve"> 24</w:t>
      </w:r>
      <w:r w:rsidRPr="004A784D">
        <w:rPr>
          <w:b/>
          <w:noProof/>
          <w:color w:val="000000"/>
          <w:sz w:val="22"/>
        </w:rPr>
        <w:t>,</w:t>
      </w:r>
      <w:r w:rsidRPr="004A784D">
        <w:rPr>
          <w:noProof/>
          <w:color w:val="000000"/>
          <w:sz w:val="22"/>
        </w:rPr>
        <w:t xml:space="preserve"> 431-6.</w:t>
      </w:r>
      <w:bookmarkEnd w:id="2582"/>
    </w:p>
    <w:p w:rsidR="004A784D" w:rsidRPr="004A784D" w:rsidRDefault="004A784D" w:rsidP="004A784D">
      <w:pPr>
        <w:spacing w:after="240"/>
        <w:jc w:val="both"/>
        <w:rPr>
          <w:noProof/>
          <w:color w:val="000000"/>
          <w:sz w:val="22"/>
        </w:rPr>
      </w:pPr>
      <w:bookmarkStart w:id="2583" w:name="_ENREF_333"/>
      <w:r w:rsidRPr="004A784D">
        <w:rPr>
          <w:noProof/>
          <w:color w:val="000000"/>
          <w:sz w:val="22"/>
        </w:rPr>
        <w:t xml:space="preserve">RAJKUMAR, S. V. &amp; BUADI, F. 2007. Multiple myeloma: new staging systems for diagnosis, prognosis and response evaluation. </w:t>
      </w:r>
      <w:r w:rsidRPr="004A784D">
        <w:rPr>
          <w:i/>
          <w:noProof/>
          <w:color w:val="000000"/>
          <w:sz w:val="22"/>
        </w:rPr>
        <w:t>Best Pract Res Clin Haematol,</w:t>
      </w:r>
      <w:r w:rsidRPr="004A784D">
        <w:rPr>
          <w:noProof/>
          <w:color w:val="000000"/>
          <w:sz w:val="22"/>
        </w:rPr>
        <w:t xml:space="preserve"> 20</w:t>
      </w:r>
      <w:r w:rsidRPr="004A784D">
        <w:rPr>
          <w:b/>
          <w:noProof/>
          <w:color w:val="000000"/>
          <w:sz w:val="22"/>
        </w:rPr>
        <w:t>,</w:t>
      </w:r>
      <w:r w:rsidRPr="004A784D">
        <w:rPr>
          <w:noProof/>
          <w:color w:val="000000"/>
          <w:sz w:val="22"/>
        </w:rPr>
        <w:t xml:space="preserve"> 665-80.</w:t>
      </w:r>
      <w:bookmarkEnd w:id="2583"/>
    </w:p>
    <w:p w:rsidR="004A784D" w:rsidRPr="004A784D" w:rsidRDefault="004A784D" w:rsidP="004A784D">
      <w:pPr>
        <w:spacing w:after="240"/>
        <w:jc w:val="both"/>
        <w:rPr>
          <w:noProof/>
          <w:color w:val="000000"/>
          <w:sz w:val="22"/>
        </w:rPr>
      </w:pPr>
      <w:bookmarkStart w:id="2584" w:name="_ENREF_334"/>
      <w:r w:rsidRPr="004A784D">
        <w:rPr>
          <w:noProof/>
          <w:color w:val="000000"/>
          <w:sz w:val="22"/>
        </w:rPr>
        <w:t xml:space="preserve">RAJKUMAR, S. V., FONSECA, R., DISPENZIERI, A., LACY, M. Q., LUST, J. A., WITZIG, T. E., KYLE, R. A., GERTZ, M. A. &amp; GREIPP, P. R. 2000. Thalidomide in the treatment of relapsed multiple myeloma. </w:t>
      </w:r>
      <w:r w:rsidRPr="004A784D">
        <w:rPr>
          <w:i/>
          <w:noProof/>
          <w:color w:val="000000"/>
          <w:sz w:val="22"/>
        </w:rPr>
        <w:t>Mayo Clin Proc,</w:t>
      </w:r>
      <w:r w:rsidRPr="004A784D">
        <w:rPr>
          <w:noProof/>
          <w:color w:val="000000"/>
          <w:sz w:val="22"/>
        </w:rPr>
        <w:t xml:space="preserve"> 75</w:t>
      </w:r>
      <w:r w:rsidRPr="004A784D">
        <w:rPr>
          <w:b/>
          <w:noProof/>
          <w:color w:val="000000"/>
          <w:sz w:val="22"/>
        </w:rPr>
        <w:t>,</w:t>
      </w:r>
      <w:r w:rsidRPr="004A784D">
        <w:rPr>
          <w:noProof/>
          <w:color w:val="000000"/>
          <w:sz w:val="22"/>
        </w:rPr>
        <w:t xml:space="preserve"> 897-901.</w:t>
      </w:r>
      <w:bookmarkEnd w:id="2584"/>
    </w:p>
    <w:p w:rsidR="004A784D" w:rsidRPr="004A784D" w:rsidRDefault="004A784D" w:rsidP="004A784D">
      <w:pPr>
        <w:spacing w:after="240"/>
        <w:jc w:val="both"/>
        <w:rPr>
          <w:noProof/>
          <w:color w:val="000000"/>
          <w:sz w:val="22"/>
        </w:rPr>
      </w:pPr>
      <w:bookmarkStart w:id="2585" w:name="_ENREF_335"/>
      <w:r w:rsidRPr="004A784D">
        <w:rPr>
          <w:noProof/>
          <w:color w:val="000000"/>
          <w:sz w:val="22"/>
        </w:rPr>
        <w:t xml:space="preserve">RAJPAL, R., DOWLING, P., MEILLER, J., CLARKE, C., MURPHY, W. G., O'CONNOR, R., KELL, M., MITSIADES, C., RICHARDSON, P., ANDERSON, K. C., CLYNES, M. &amp; O'GORMAN, P. 2011. A novel panel of protein biomarkers for predicting response to </w:t>
      </w:r>
      <w:r w:rsidRPr="004A784D">
        <w:rPr>
          <w:noProof/>
          <w:color w:val="000000"/>
          <w:sz w:val="22"/>
        </w:rPr>
        <w:lastRenderedPageBreak/>
        <w:t xml:space="preserve">thalidomide-based therapy in newly diagnosed multiple myeloma patients. </w:t>
      </w:r>
      <w:r w:rsidRPr="004A784D">
        <w:rPr>
          <w:i/>
          <w:noProof/>
          <w:color w:val="000000"/>
          <w:sz w:val="22"/>
        </w:rPr>
        <w:t>Proteomics,</w:t>
      </w:r>
      <w:r w:rsidRPr="004A784D">
        <w:rPr>
          <w:noProof/>
          <w:color w:val="000000"/>
          <w:sz w:val="22"/>
        </w:rPr>
        <w:t xml:space="preserve"> 11</w:t>
      </w:r>
      <w:r w:rsidRPr="004A784D">
        <w:rPr>
          <w:b/>
          <w:noProof/>
          <w:color w:val="000000"/>
          <w:sz w:val="22"/>
        </w:rPr>
        <w:t>,</w:t>
      </w:r>
      <w:r w:rsidRPr="004A784D">
        <w:rPr>
          <w:noProof/>
          <w:color w:val="000000"/>
          <w:sz w:val="22"/>
        </w:rPr>
        <w:t xml:space="preserve"> 1391-402.</w:t>
      </w:r>
      <w:bookmarkEnd w:id="2585"/>
    </w:p>
    <w:p w:rsidR="004A784D" w:rsidRPr="004A784D" w:rsidRDefault="004A784D" w:rsidP="004A784D">
      <w:pPr>
        <w:spacing w:after="240"/>
        <w:jc w:val="both"/>
        <w:rPr>
          <w:noProof/>
          <w:color w:val="000000"/>
          <w:sz w:val="22"/>
        </w:rPr>
      </w:pPr>
      <w:bookmarkStart w:id="2586" w:name="_ENREF_336"/>
      <w:r w:rsidRPr="004A784D">
        <w:rPr>
          <w:noProof/>
          <w:color w:val="000000"/>
          <w:sz w:val="22"/>
        </w:rPr>
        <w:t xml:space="preserve">RAKHA, E. A., EL-SHEIKH, S. E., KANDIL, M. A., EL-SAYED, M. E., GREEN, A. R. &amp; ELLIS, I. O. 2008. Expression of BRCA1 protein in breast cancer and its prognostic significance. </w:t>
      </w:r>
      <w:r w:rsidRPr="004A784D">
        <w:rPr>
          <w:i/>
          <w:noProof/>
          <w:color w:val="000000"/>
          <w:sz w:val="22"/>
        </w:rPr>
        <w:t>Hum Pathol,</w:t>
      </w:r>
      <w:r w:rsidRPr="004A784D">
        <w:rPr>
          <w:noProof/>
          <w:color w:val="000000"/>
          <w:sz w:val="22"/>
        </w:rPr>
        <w:t xml:space="preserve"> 39</w:t>
      </w:r>
      <w:r w:rsidRPr="004A784D">
        <w:rPr>
          <w:b/>
          <w:noProof/>
          <w:color w:val="000000"/>
          <w:sz w:val="22"/>
        </w:rPr>
        <w:t>,</w:t>
      </w:r>
      <w:r w:rsidRPr="004A784D">
        <w:rPr>
          <w:noProof/>
          <w:color w:val="000000"/>
          <w:sz w:val="22"/>
        </w:rPr>
        <w:t xml:space="preserve"> 857-65.</w:t>
      </w:r>
      <w:bookmarkEnd w:id="2586"/>
    </w:p>
    <w:p w:rsidR="004A784D" w:rsidRPr="004A784D" w:rsidRDefault="004A784D" w:rsidP="004A784D">
      <w:pPr>
        <w:spacing w:after="240"/>
        <w:jc w:val="both"/>
        <w:rPr>
          <w:noProof/>
          <w:color w:val="000000"/>
          <w:sz w:val="22"/>
        </w:rPr>
      </w:pPr>
      <w:bookmarkStart w:id="2587" w:name="_ENREF_337"/>
      <w:r w:rsidRPr="004A784D">
        <w:rPr>
          <w:noProof/>
          <w:color w:val="000000"/>
          <w:sz w:val="22"/>
        </w:rPr>
        <w:t xml:space="preserve">RANSOHOFF, D. F. 2005. Lessons from controversy: Ovarian cancer screening and serum proteomics. </w:t>
      </w:r>
      <w:r w:rsidRPr="004A784D">
        <w:rPr>
          <w:i/>
          <w:noProof/>
          <w:color w:val="000000"/>
          <w:sz w:val="22"/>
        </w:rPr>
        <w:t>Journal of the National Cancer Institute,</w:t>
      </w:r>
      <w:r w:rsidRPr="004A784D">
        <w:rPr>
          <w:noProof/>
          <w:color w:val="000000"/>
          <w:sz w:val="22"/>
        </w:rPr>
        <w:t xml:space="preserve"> 97</w:t>
      </w:r>
      <w:r w:rsidRPr="004A784D">
        <w:rPr>
          <w:b/>
          <w:noProof/>
          <w:color w:val="000000"/>
          <w:sz w:val="22"/>
        </w:rPr>
        <w:t>,</w:t>
      </w:r>
      <w:r w:rsidRPr="004A784D">
        <w:rPr>
          <w:noProof/>
          <w:color w:val="000000"/>
          <w:sz w:val="22"/>
        </w:rPr>
        <w:t xml:space="preserve"> 315-319.</w:t>
      </w:r>
      <w:bookmarkEnd w:id="2587"/>
    </w:p>
    <w:p w:rsidR="004A784D" w:rsidRPr="004A784D" w:rsidRDefault="004A784D" w:rsidP="004A784D">
      <w:pPr>
        <w:spacing w:after="240"/>
        <w:jc w:val="both"/>
        <w:rPr>
          <w:noProof/>
          <w:color w:val="000000"/>
          <w:sz w:val="22"/>
        </w:rPr>
      </w:pPr>
      <w:bookmarkStart w:id="2588" w:name="_ENREF_338"/>
      <w:r w:rsidRPr="004A784D">
        <w:rPr>
          <w:noProof/>
          <w:color w:val="000000"/>
          <w:sz w:val="22"/>
        </w:rPr>
        <w:t xml:space="preserve">RAVID, R. 2008. Standard Operating Procedures, ethical and legal regulations in BTB (Brain/Tissue/Bio) banking: what is still missing? </w:t>
      </w:r>
      <w:r w:rsidRPr="004A784D">
        <w:rPr>
          <w:i/>
          <w:noProof/>
          <w:color w:val="000000"/>
          <w:sz w:val="22"/>
        </w:rPr>
        <w:t>Cell Tissue Bank,</w:t>
      </w:r>
      <w:r w:rsidRPr="004A784D">
        <w:rPr>
          <w:noProof/>
          <w:color w:val="000000"/>
          <w:sz w:val="22"/>
        </w:rPr>
        <w:t xml:space="preserve"> 9</w:t>
      </w:r>
      <w:r w:rsidRPr="004A784D">
        <w:rPr>
          <w:b/>
          <w:noProof/>
          <w:color w:val="000000"/>
          <w:sz w:val="22"/>
        </w:rPr>
        <w:t>,</w:t>
      </w:r>
      <w:r w:rsidRPr="004A784D">
        <w:rPr>
          <w:noProof/>
          <w:color w:val="000000"/>
          <w:sz w:val="22"/>
        </w:rPr>
        <w:t xml:space="preserve"> 121-37.</w:t>
      </w:r>
      <w:bookmarkEnd w:id="2588"/>
    </w:p>
    <w:p w:rsidR="004A784D" w:rsidRPr="004A784D" w:rsidRDefault="004A784D" w:rsidP="004A784D">
      <w:pPr>
        <w:spacing w:after="240"/>
        <w:jc w:val="both"/>
        <w:rPr>
          <w:noProof/>
          <w:color w:val="000000"/>
          <w:sz w:val="22"/>
        </w:rPr>
      </w:pPr>
      <w:bookmarkStart w:id="2589" w:name="_ENREF_339"/>
      <w:r w:rsidRPr="004A784D">
        <w:rPr>
          <w:noProof/>
          <w:color w:val="000000"/>
          <w:sz w:val="22"/>
        </w:rPr>
        <w:t xml:space="preserve">RAY, S., REDDY, P. J., JAIN, R., GOLLAPALLI, K., MOIYADI, A. &amp; SRIVASTAVA, S. 2011. Proteomic technologies for the identification of disease biomarkers in serum: advances and challenges ahead. </w:t>
      </w:r>
      <w:r w:rsidRPr="004A784D">
        <w:rPr>
          <w:i/>
          <w:noProof/>
          <w:color w:val="000000"/>
          <w:sz w:val="22"/>
        </w:rPr>
        <w:t>Proteomics,</w:t>
      </w:r>
      <w:r w:rsidRPr="004A784D">
        <w:rPr>
          <w:noProof/>
          <w:color w:val="000000"/>
          <w:sz w:val="22"/>
        </w:rPr>
        <w:t xml:space="preserve"> 11</w:t>
      </w:r>
      <w:r w:rsidRPr="004A784D">
        <w:rPr>
          <w:b/>
          <w:noProof/>
          <w:color w:val="000000"/>
          <w:sz w:val="22"/>
        </w:rPr>
        <w:t>,</w:t>
      </w:r>
      <w:r w:rsidRPr="004A784D">
        <w:rPr>
          <w:noProof/>
          <w:color w:val="000000"/>
          <w:sz w:val="22"/>
        </w:rPr>
        <w:t xml:space="preserve"> 2139-61.</w:t>
      </w:r>
      <w:bookmarkEnd w:id="2589"/>
    </w:p>
    <w:p w:rsidR="004A784D" w:rsidRPr="004A784D" w:rsidRDefault="004A784D" w:rsidP="004A784D">
      <w:pPr>
        <w:spacing w:after="240"/>
        <w:jc w:val="both"/>
        <w:rPr>
          <w:noProof/>
          <w:color w:val="000000"/>
          <w:sz w:val="22"/>
        </w:rPr>
      </w:pPr>
      <w:bookmarkStart w:id="2590" w:name="_ENREF_340"/>
      <w:r w:rsidRPr="004A784D">
        <w:rPr>
          <w:noProof/>
          <w:color w:val="000000"/>
          <w:sz w:val="22"/>
        </w:rPr>
        <w:t xml:space="preserve">READING, R. F., ELLIS, R. &amp; FLEETWOOD, A. 1990. Plasma albumin and total protein in preterm babies from birth to eight weeks. </w:t>
      </w:r>
      <w:r w:rsidRPr="004A784D">
        <w:rPr>
          <w:i/>
          <w:noProof/>
          <w:color w:val="000000"/>
          <w:sz w:val="22"/>
        </w:rPr>
        <w:t>Early Hum Dev,</w:t>
      </w:r>
      <w:r w:rsidRPr="004A784D">
        <w:rPr>
          <w:noProof/>
          <w:color w:val="000000"/>
          <w:sz w:val="22"/>
        </w:rPr>
        <w:t xml:space="preserve"> 22</w:t>
      </w:r>
      <w:r w:rsidRPr="004A784D">
        <w:rPr>
          <w:b/>
          <w:noProof/>
          <w:color w:val="000000"/>
          <w:sz w:val="22"/>
        </w:rPr>
        <w:t>,</w:t>
      </w:r>
      <w:r w:rsidRPr="004A784D">
        <w:rPr>
          <w:noProof/>
          <w:color w:val="000000"/>
          <w:sz w:val="22"/>
        </w:rPr>
        <w:t xml:space="preserve"> 81-7.</w:t>
      </w:r>
      <w:bookmarkEnd w:id="2590"/>
    </w:p>
    <w:p w:rsidR="004A784D" w:rsidRPr="004A784D" w:rsidRDefault="004A784D" w:rsidP="004A784D">
      <w:pPr>
        <w:spacing w:after="240"/>
        <w:jc w:val="both"/>
        <w:rPr>
          <w:noProof/>
          <w:color w:val="000000"/>
          <w:sz w:val="22"/>
        </w:rPr>
      </w:pPr>
      <w:bookmarkStart w:id="2591" w:name="_ENREF_341"/>
      <w:r w:rsidRPr="004A784D">
        <w:rPr>
          <w:noProof/>
          <w:color w:val="000000"/>
          <w:sz w:val="22"/>
        </w:rPr>
        <w:t xml:space="preserve">REECE, D. E. 2009. Recent trends in the management of newly diagnosed multiple myeloma. </w:t>
      </w:r>
      <w:r w:rsidRPr="004A784D">
        <w:rPr>
          <w:i/>
          <w:noProof/>
          <w:color w:val="000000"/>
          <w:sz w:val="22"/>
        </w:rPr>
        <w:t>Curr Opin Hematol,</w:t>
      </w:r>
      <w:r w:rsidRPr="004A784D">
        <w:rPr>
          <w:noProof/>
          <w:color w:val="000000"/>
          <w:sz w:val="22"/>
        </w:rPr>
        <w:t xml:space="preserve"> 16</w:t>
      </w:r>
      <w:r w:rsidRPr="004A784D">
        <w:rPr>
          <w:b/>
          <w:noProof/>
          <w:color w:val="000000"/>
          <w:sz w:val="22"/>
        </w:rPr>
        <w:t>,</w:t>
      </w:r>
      <w:r w:rsidRPr="004A784D">
        <w:rPr>
          <w:noProof/>
          <w:color w:val="000000"/>
          <w:sz w:val="22"/>
        </w:rPr>
        <w:t xml:space="preserve"> 306-12.</w:t>
      </w:r>
      <w:bookmarkEnd w:id="2591"/>
    </w:p>
    <w:p w:rsidR="004A784D" w:rsidRPr="004A784D" w:rsidRDefault="004A784D" w:rsidP="004A784D">
      <w:pPr>
        <w:spacing w:after="240"/>
        <w:jc w:val="both"/>
        <w:rPr>
          <w:noProof/>
          <w:color w:val="000000"/>
          <w:sz w:val="22"/>
        </w:rPr>
      </w:pPr>
      <w:bookmarkStart w:id="2592" w:name="_ENREF_342"/>
      <w:r w:rsidRPr="004A784D">
        <w:rPr>
          <w:noProof/>
          <w:color w:val="000000"/>
          <w:sz w:val="22"/>
        </w:rPr>
        <w:t xml:space="preserve">RETROSI, G., SEBIRE, N. J., BISHAY, M., KIELY, E. M., ANDERSON, J., DE COPPI, P., RESCA, E., RAMPLING, D., BIER, N., MILLS, K., EATON, S. &amp; PIERRO, A. 2011. Brain lipid-binding protein: a marker of differentiation in neuroblastic tumors. </w:t>
      </w:r>
      <w:r w:rsidRPr="004A784D">
        <w:rPr>
          <w:i/>
          <w:noProof/>
          <w:color w:val="000000"/>
          <w:sz w:val="22"/>
        </w:rPr>
        <w:t>J Pediatr Surg,</w:t>
      </w:r>
      <w:r w:rsidRPr="004A784D">
        <w:rPr>
          <w:noProof/>
          <w:color w:val="000000"/>
          <w:sz w:val="22"/>
        </w:rPr>
        <w:t xml:space="preserve"> 46</w:t>
      </w:r>
      <w:r w:rsidRPr="004A784D">
        <w:rPr>
          <w:b/>
          <w:noProof/>
          <w:color w:val="000000"/>
          <w:sz w:val="22"/>
        </w:rPr>
        <w:t>,</w:t>
      </w:r>
      <w:r w:rsidRPr="004A784D">
        <w:rPr>
          <w:noProof/>
          <w:color w:val="000000"/>
          <w:sz w:val="22"/>
        </w:rPr>
        <w:t xml:space="preserve"> 1197-200.</w:t>
      </w:r>
      <w:bookmarkEnd w:id="2592"/>
    </w:p>
    <w:p w:rsidR="004A784D" w:rsidRPr="004A784D" w:rsidRDefault="004A784D" w:rsidP="004A784D">
      <w:pPr>
        <w:spacing w:after="240"/>
        <w:jc w:val="both"/>
        <w:rPr>
          <w:noProof/>
          <w:color w:val="000000"/>
          <w:sz w:val="22"/>
        </w:rPr>
      </w:pPr>
      <w:bookmarkStart w:id="2593" w:name="_ENREF_343"/>
      <w:r w:rsidRPr="004A784D">
        <w:rPr>
          <w:noProof/>
          <w:color w:val="000000"/>
          <w:sz w:val="22"/>
        </w:rPr>
        <w:t xml:space="preserve">RICHARDSON, P., SCHLOSSMAN, R., JAGANNATH, S., ALSINA, M., DESIKAN, R., BLOOD, E., WELLER, E., MITSIADES, C., HIDESHIMA, T., DAVIES, F., DOSS, D., FREEMAN, A., BOSCH, J., PATIN, J., KNIGHT, R., ZELDIS, J., DALTON, W. &amp; ANDERSON, K. 2004. Thalidomide for patients with relapsed multiple myeloma after high-dose chemotherapy and stem cell transplantation: results of an open-label multicenter phase 2 study of efficacy, toxicity, and biological activity. </w:t>
      </w:r>
      <w:r w:rsidRPr="004A784D">
        <w:rPr>
          <w:i/>
          <w:noProof/>
          <w:color w:val="000000"/>
          <w:sz w:val="22"/>
        </w:rPr>
        <w:t>Mayo Clin Proc,</w:t>
      </w:r>
      <w:r w:rsidRPr="004A784D">
        <w:rPr>
          <w:noProof/>
          <w:color w:val="000000"/>
          <w:sz w:val="22"/>
        </w:rPr>
        <w:t xml:space="preserve"> 79</w:t>
      </w:r>
      <w:r w:rsidRPr="004A784D">
        <w:rPr>
          <w:b/>
          <w:noProof/>
          <w:color w:val="000000"/>
          <w:sz w:val="22"/>
        </w:rPr>
        <w:t>,</w:t>
      </w:r>
      <w:r w:rsidRPr="004A784D">
        <w:rPr>
          <w:noProof/>
          <w:color w:val="000000"/>
          <w:sz w:val="22"/>
        </w:rPr>
        <w:t xml:space="preserve"> 875-82.</w:t>
      </w:r>
      <w:bookmarkEnd w:id="2593"/>
    </w:p>
    <w:p w:rsidR="004A784D" w:rsidRPr="004A784D" w:rsidRDefault="004A784D" w:rsidP="004A784D">
      <w:pPr>
        <w:spacing w:after="240"/>
        <w:jc w:val="both"/>
        <w:rPr>
          <w:noProof/>
          <w:color w:val="000000"/>
          <w:sz w:val="22"/>
        </w:rPr>
      </w:pPr>
      <w:bookmarkStart w:id="2594" w:name="_ENREF_344"/>
      <w:r w:rsidRPr="004A784D">
        <w:rPr>
          <w:noProof/>
          <w:color w:val="000000"/>
          <w:sz w:val="22"/>
        </w:rPr>
        <w:t xml:space="preserve">RICHARDSON, P. G., LAUBACH, J. P., SCHLOSSMAN, R. L., MITSIADES, C. &amp; ANDERSON, K. 2010. Complications of multiple myeloma therapy, part 1: risk reduction and management of peripheral neuropathy and asthenia. </w:t>
      </w:r>
      <w:r w:rsidRPr="004A784D">
        <w:rPr>
          <w:i/>
          <w:noProof/>
          <w:color w:val="000000"/>
          <w:sz w:val="22"/>
        </w:rPr>
        <w:t>J Natl Compr Canc Netw,</w:t>
      </w:r>
      <w:r w:rsidRPr="004A784D">
        <w:rPr>
          <w:noProof/>
          <w:color w:val="000000"/>
          <w:sz w:val="22"/>
        </w:rPr>
        <w:t xml:space="preserve"> 8 Suppl 1</w:t>
      </w:r>
      <w:r w:rsidRPr="004A784D">
        <w:rPr>
          <w:b/>
          <w:noProof/>
          <w:color w:val="000000"/>
          <w:sz w:val="22"/>
        </w:rPr>
        <w:t>,</w:t>
      </w:r>
      <w:r w:rsidRPr="004A784D">
        <w:rPr>
          <w:noProof/>
          <w:color w:val="000000"/>
          <w:sz w:val="22"/>
        </w:rPr>
        <w:t xml:space="preserve"> S4-S12.</w:t>
      </w:r>
      <w:bookmarkEnd w:id="2594"/>
    </w:p>
    <w:p w:rsidR="004A784D" w:rsidRPr="004A784D" w:rsidRDefault="004A784D" w:rsidP="004A784D">
      <w:pPr>
        <w:spacing w:after="240"/>
        <w:jc w:val="both"/>
        <w:rPr>
          <w:noProof/>
          <w:color w:val="000000"/>
          <w:sz w:val="22"/>
        </w:rPr>
      </w:pPr>
      <w:bookmarkStart w:id="2595" w:name="_ENREF_345"/>
      <w:r w:rsidRPr="004A784D">
        <w:rPr>
          <w:noProof/>
          <w:color w:val="000000"/>
          <w:sz w:val="22"/>
        </w:rPr>
        <w:t xml:space="preserve">RICHARDSON, P. G., SCHLOSSMAN, R., HIDESHIMA, T. &amp; ANDERSON, K. C. 2005. New treatments for multiple myeloma. </w:t>
      </w:r>
      <w:r w:rsidRPr="004A784D">
        <w:rPr>
          <w:i/>
          <w:noProof/>
          <w:color w:val="000000"/>
          <w:sz w:val="22"/>
        </w:rPr>
        <w:t>Oncology (Williston Park),</w:t>
      </w:r>
      <w:r w:rsidRPr="004A784D">
        <w:rPr>
          <w:noProof/>
          <w:color w:val="000000"/>
          <w:sz w:val="22"/>
        </w:rPr>
        <w:t xml:space="preserve"> 19</w:t>
      </w:r>
      <w:r w:rsidRPr="004A784D">
        <w:rPr>
          <w:b/>
          <w:noProof/>
          <w:color w:val="000000"/>
          <w:sz w:val="22"/>
        </w:rPr>
        <w:t>,</w:t>
      </w:r>
      <w:r w:rsidRPr="004A784D">
        <w:rPr>
          <w:noProof/>
          <w:color w:val="000000"/>
          <w:sz w:val="22"/>
        </w:rPr>
        <w:t xml:space="preserve"> 1781-92; discussion 1792, 1795-7.</w:t>
      </w:r>
      <w:bookmarkEnd w:id="2595"/>
    </w:p>
    <w:p w:rsidR="004A784D" w:rsidRPr="004A784D" w:rsidRDefault="004A784D" w:rsidP="004A784D">
      <w:pPr>
        <w:spacing w:after="240"/>
        <w:jc w:val="both"/>
        <w:rPr>
          <w:noProof/>
          <w:color w:val="000000"/>
          <w:sz w:val="22"/>
        </w:rPr>
      </w:pPr>
      <w:bookmarkStart w:id="2596" w:name="_ENREF_346"/>
      <w:r w:rsidRPr="004A784D">
        <w:rPr>
          <w:noProof/>
          <w:color w:val="000000"/>
          <w:sz w:val="22"/>
        </w:rPr>
        <w:t xml:space="preserve">RICHES, J. C. &amp; GRIBBEN, J. G. 2009. Interesting times in the diagnosis and treatment of CLL. </w:t>
      </w:r>
      <w:r w:rsidRPr="004A784D">
        <w:rPr>
          <w:i/>
          <w:noProof/>
          <w:color w:val="000000"/>
          <w:sz w:val="22"/>
        </w:rPr>
        <w:t>Oncology (Williston Park),</w:t>
      </w:r>
      <w:r w:rsidRPr="004A784D">
        <w:rPr>
          <w:noProof/>
          <w:color w:val="000000"/>
          <w:sz w:val="22"/>
        </w:rPr>
        <w:t xml:space="preserve"> 23</w:t>
      </w:r>
      <w:r w:rsidRPr="004A784D">
        <w:rPr>
          <w:b/>
          <w:noProof/>
          <w:color w:val="000000"/>
          <w:sz w:val="22"/>
        </w:rPr>
        <w:t>,</w:t>
      </w:r>
      <w:r w:rsidRPr="004A784D">
        <w:rPr>
          <w:noProof/>
          <w:color w:val="000000"/>
          <w:sz w:val="22"/>
        </w:rPr>
        <w:t xml:space="preserve"> 1043, 1046.</w:t>
      </w:r>
      <w:bookmarkEnd w:id="2596"/>
    </w:p>
    <w:p w:rsidR="004A784D" w:rsidRPr="004A784D" w:rsidRDefault="004A784D" w:rsidP="004A784D">
      <w:pPr>
        <w:spacing w:after="240"/>
        <w:jc w:val="both"/>
        <w:rPr>
          <w:noProof/>
          <w:color w:val="000000"/>
          <w:sz w:val="22"/>
        </w:rPr>
      </w:pPr>
      <w:bookmarkStart w:id="2597" w:name="_ENREF_347"/>
      <w:r w:rsidRPr="004A784D">
        <w:rPr>
          <w:noProof/>
          <w:color w:val="000000"/>
          <w:sz w:val="22"/>
        </w:rPr>
        <w:t xml:space="preserve">ROA, E. I. &amp; ARTIGAS, A. C. 2008. [A pilot experience with a tumor bank]. </w:t>
      </w:r>
      <w:r w:rsidRPr="004A784D">
        <w:rPr>
          <w:i/>
          <w:noProof/>
          <w:color w:val="000000"/>
          <w:sz w:val="22"/>
        </w:rPr>
        <w:t>Rev Med Chil,</w:t>
      </w:r>
      <w:r w:rsidRPr="004A784D">
        <w:rPr>
          <w:noProof/>
          <w:color w:val="000000"/>
          <w:sz w:val="22"/>
        </w:rPr>
        <w:t xml:space="preserve"> 136</w:t>
      </w:r>
      <w:r w:rsidRPr="004A784D">
        <w:rPr>
          <w:b/>
          <w:noProof/>
          <w:color w:val="000000"/>
          <w:sz w:val="22"/>
        </w:rPr>
        <w:t>,</w:t>
      </w:r>
      <w:r w:rsidRPr="004A784D">
        <w:rPr>
          <w:noProof/>
          <w:color w:val="000000"/>
          <w:sz w:val="22"/>
        </w:rPr>
        <w:t xml:space="preserve"> 733-40.</w:t>
      </w:r>
      <w:bookmarkEnd w:id="2597"/>
    </w:p>
    <w:p w:rsidR="004A784D" w:rsidRPr="004A784D" w:rsidRDefault="004A784D" w:rsidP="004A784D">
      <w:pPr>
        <w:spacing w:after="240"/>
        <w:jc w:val="both"/>
        <w:rPr>
          <w:noProof/>
          <w:color w:val="000000"/>
          <w:sz w:val="22"/>
        </w:rPr>
      </w:pPr>
      <w:bookmarkStart w:id="2598" w:name="_ENREF_348"/>
      <w:r w:rsidRPr="004A784D">
        <w:rPr>
          <w:noProof/>
          <w:color w:val="000000"/>
          <w:sz w:val="22"/>
        </w:rPr>
        <w:t xml:space="preserve">ROBERT, G., DESCAZEAUD, A., NICOLAIEW, N., TERRY, S., SIRAB, N., VACHEROT, F., MAILLE, P., ALLORY, Y. &amp; DE LA TAILLE, A. 2009. Inflammation in benign prostatic hyperplasia: a 282 patients' immunohistochemical analysis. </w:t>
      </w:r>
      <w:r w:rsidRPr="004A784D">
        <w:rPr>
          <w:i/>
          <w:noProof/>
          <w:color w:val="000000"/>
          <w:sz w:val="22"/>
        </w:rPr>
        <w:t>Prostate,</w:t>
      </w:r>
      <w:r w:rsidRPr="004A784D">
        <w:rPr>
          <w:noProof/>
          <w:color w:val="000000"/>
          <w:sz w:val="22"/>
        </w:rPr>
        <w:t xml:space="preserve"> 69</w:t>
      </w:r>
      <w:r w:rsidRPr="004A784D">
        <w:rPr>
          <w:b/>
          <w:noProof/>
          <w:color w:val="000000"/>
          <w:sz w:val="22"/>
        </w:rPr>
        <w:t>,</w:t>
      </w:r>
      <w:r w:rsidRPr="004A784D">
        <w:rPr>
          <w:noProof/>
          <w:color w:val="000000"/>
          <w:sz w:val="22"/>
        </w:rPr>
        <w:t xml:space="preserve"> 1774-80.</w:t>
      </w:r>
      <w:bookmarkEnd w:id="2598"/>
    </w:p>
    <w:p w:rsidR="004A784D" w:rsidRPr="004A784D" w:rsidRDefault="004A784D" w:rsidP="004A784D">
      <w:pPr>
        <w:spacing w:after="240"/>
        <w:jc w:val="both"/>
        <w:rPr>
          <w:noProof/>
          <w:color w:val="000000"/>
          <w:sz w:val="22"/>
        </w:rPr>
      </w:pPr>
      <w:bookmarkStart w:id="2599" w:name="_ENREF_349"/>
      <w:r w:rsidRPr="004A784D">
        <w:rPr>
          <w:noProof/>
          <w:color w:val="000000"/>
          <w:sz w:val="22"/>
        </w:rPr>
        <w:lastRenderedPageBreak/>
        <w:t xml:space="preserve">RODLAND, K. D. 2004. Proteomics and cancer diagnosis: the potential of mass spectrometry. </w:t>
      </w:r>
      <w:r w:rsidRPr="004A784D">
        <w:rPr>
          <w:i/>
          <w:noProof/>
          <w:color w:val="000000"/>
          <w:sz w:val="22"/>
        </w:rPr>
        <w:t>Clin Biochem,</w:t>
      </w:r>
      <w:r w:rsidRPr="004A784D">
        <w:rPr>
          <w:noProof/>
          <w:color w:val="000000"/>
          <w:sz w:val="22"/>
        </w:rPr>
        <w:t xml:space="preserve"> 37</w:t>
      </w:r>
      <w:r w:rsidRPr="004A784D">
        <w:rPr>
          <w:b/>
          <w:noProof/>
          <w:color w:val="000000"/>
          <w:sz w:val="22"/>
        </w:rPr>
        <w:t>,</w:t>
      </w:r>
      <w:r w:rsidRPr="004A784D">
        <w:rPr>
          <w:noProof/>
          <w:color w:val="000000"/>
          <w:sz w:val="22"/>
        </w:rPr>
        <w:t xml:space="preserve"> 579-83.</w:t>
      </w:r>
      <w:bookmarkEnd w:id="2599"/>
    </w:p>
    <w:p w:rsidR="004A784D" w:rsidRPr="004A784D" w:rsidRDefault="004A784D" w:rsidP="004A784D">
      <w:pPr>
        <w:spacing w:after="240"/>
        <w:jc w:val="both"/>
        <w:rPr>
          <w:noProof/>
          <w:color w:val="000000"/>
          <w:sz w:val="22"/>
        </w:rPr>
      </w:pPr>
      <w:bookmarkStart w:id="2600" w:name="_ENREF_350"/>
      <w:r w:rsidRPr="004A784D">
        <w:rPr>
          <w:noProof/>
          <w:color w:val="000000"/>
          <w:sz w:val="22"/>
        </w:rPr>
        <w:t xml:space="preserve">ROMAGNOLI, M., SEVENO, C., WUILLEME-TOUMI, S., AMIOT, M., BATAILLE, R., MINVIELLE, S. &amp; BARILLE-NION, S. 2009. The imbalance between Survivin and Bim mediates tumour growth and correlates with poor survival in patients with multiple myeloma. </w:t>
      </w:r>
      <w:r w:rsidRPr="004A784D">
        <w:rPr>
          <w:i/>
          <w:noProof/>
          <w:color w:val="000000"/>
          <w:sz w:val="22"/>
        </w:rPr>
        <w:t>Br J Haematol,</w:t>
      </w:r>
      <w:r w:rsidRPr="004A784D">
        <w:rPr>
          <w:noProof/>
          <w:color w:val="000000"/>
          <w:sz w:val="22"/>
        </w:rPr>
        <w:t xml:space="preserve"> 145</w:t>
      </w:r>
      <w:r w:rsidRPr="004A784D">
        <w:rPr>
          <w:b/>
          <w:noProof/>
          <w:color w:val="000000"/>
          <w:sz w:val="22"/>
        </w:rPr>
        <w:t>,</w:t>
      </w:r>
      <w:r w:rsidRPr="004A784D">
        <w:rPr>
          <w:noProof/>
          <w:color w:val="000000"/>
          <w:sz w:val="22"/>
        </w:rPr>
        <w:t xml:space="preserve"> 180-9.</w:t>
      </w:r>
      <w:bookmarkEnd w:id="2600"/>
    </w:p>
    <w:p w:rsidR="004A784D" w:rsidRPr="004A784D" w:rsidRDefault="004A784D" w:rsidP="004A784D">
      <w:pPr>
        <w:spacing w:after="240"/>
        <w:jc w:val="both"/>
        <w:rPr>
          <w:noProof/>
          <w:color w:val="000000"/>
          <w:sz w:val="22"/>
        </w:rPr>
      </w:pPr>
      <w:bookmarkStart w:id="2601" w:name="_ENREF_351"/>
      <w:r w:rsidRPr="004A784D">
        <w:rPr>
          <w:noProof/>
          <w:color w:val="000000"/>
          <w:sz w:val="22"/>
        </w:rPr>
        <w:t xml:space="preserve">ROMPP, A., DEKKER, L., TABAN, I., JENSTER, G., BOOGERD, W., BONFRER, H., SPENGLER, B., HEEREN, R., SMITT, P. S. &amp; LUIDER, T. M. 2007. Identification of leptomeningeal metastasis-related proteins in cerebrospinal fluid of patients with breast cancer by a combination of MALDI-TOF, MALDI-FTICR and nanoLC-FTICR MS. </w:t>
      </w:r>
      <w:r w:rsidRPr="004A784D">
        <w:rPr>
          <w:i/>
          <w:noProof/>
          <w:color w:val="000000"/>
          <w:sz w:val="22"/>
        </w:rPr>
        <w:t>Proteomics,</w:t>
      </w:r>
      <w:r w:rsidRPr="004A784D">
        <w:rPr>
          <w:noProof/>
          <w:color w:val="000000"/>
          <w:sz w:val="22"/>
        </w:rPr>
        <w:t xml:space="preserve"> 7</w:t>
      </w:r>
      <w:r w:rsidRPr="004A784D">
        <w:rPr>
          <w:b/>
          <w:noProof/>
          <w:color w:val="000000"/>
          <w:sz w:val="22"/>
        </w:rPr>
        <w:t>,</w:t>
      </w:r>
      <w:r w:rsidRPr="004A784D">
        <w:rPr>
          <w:noProof/>
          <w:color w:val="000000"/>
          <w:sz w:val="22"/>
        </w:rPr>
        <w:t xml:space="preserve"> 474-81.</w:t>
      </w:r>
      <w:bookmarkEnd w:id="2601"/>
    </w:p>
    <w:p w:rsidR="004A784D" w:rsidRPr="004A784D" w:rsidRDefault="004A784D" w:rsidP="004A784D">
      <w:pPr>
        <w:spacing w:after="240"/>
        <w:jc w:val="both"/>
        <w:rPr>
          <w:noProof/>
          <w:color w:val="000000"/>
          <w:sz w:val="22"/>
        </w:rPr>
      </w:pPr>
      <w:bookmarkStart w:id="2602" w:name="_ENREF_352"/>
      <w:r w:rsidRPr="004A784D">
        <w:rPr>
          <w:noProof/>
          <w:color w:val="000000"/>
          <w:sz w:val="22"/>
        </w:rPr>
        <w:t xml:space="preserve">RONCI, M., BONANNO, E., COLANTONI, A., PIERONI, L., DI ILIO, C., SPAGNOLI, L. G., FEDERICI, G. &amp; URBANI, A. 2008. Protein unlocking procedures of formalin-fixed paraffin-embedded tissues: application to MALDI-TOF imaging MS investigations. </w:t>
      </w:r>
      <w:r w:rsidRPr="004A784D">
        <w:rPr>
          <w:i/>
          <w:noProof/>
          <w:color w:val="000000"/>
          <w:sz w:val="22"/>
        </w:rPr>
        <w:t>Proteomics,</w:t>
      </w:r>
      <w:r w:rsidRPr="004A784D">
        <w:rPr>
          <w:noProof/>
          <w:color w:val="000000"/>
          <w:sz w:val="22"/>
        </w:rPr>
        <w:t xml:space="preserve"> 8</w:t>
      </w:r>
      <w:r w:rsidRPr="004A784D">
        <w:rPr>
          <w:b/>
          <w:noProof/>
          <w:color w:val="000000"/>
          <w:sz w:val="22"/>
        </w:rPr>
        <w:t>,</w:t>
      </w:r>
      <w:r w:rsidRPr="004A784D">
        <w:rPr>
          <w:noProof/>
          <w:color w:val="000000"/>
          <w:sz w:val="22"/>
        </w:rPr>
        <w:t xml:space="preserve"> 3702-14.</w:t>
      </w:r>
      <w:bookmarkEnd w:id="2602"/>
    </w:p>
    <w:p w:rsidR="004A784D" w:rsidRPr="004A784D" w:rsidRDefault="004A784D" w:rsidP="004A784D">
      <w:pPr>
        <w:spacing w:after="240"/>
        <w:jc w:val="both"/>
        <w:rPr>
          <w:noProof/>
          <w:color w:val="000000"/>
          <w:sz w:val="22"/>
        </w:rPr>
      </w:pPr>
      <w:bookmarkStart w:id="2603" w:name="_ENREF_353"/>
      <w:r w:rsidRPr="004A784D">
        <w:rPr>
          <w:noProof/>
          <w:color w:val="000000"/>
          <w:sz w:val="22"/>
        </w:rPr>
        <w:t xml:space="preserve">ROSS, J. S. 2011. Biomarker-based selection of therapy for colorectal cancer. </w:t>
      </w:r>
      <w:r w:rsidRPr="004A784D">
        <w:rPr>
          <w:i/>
          <w:noProof/>
          <w:color w:val="000000"/>
          <w:sz w:val="22"/>
        </w:rPr>
        <w:t>Biomark Med,</w:t>
      </w:r>
      <w:r w:rsidRPr="004A784D">
        <w:rPr>
          <w:noProof/>
          <w:color w:val="000000"/>
          <w:sz w:val="22"/>
        </w:rPr>
        <w:t xml:space="preserve"> 5</w:t>
      </w:r>
      <w:r w:rsidRPr="004A784D">
        <w:rPr>
          <w:b/>
          <w:noProof/>
          <w:color w:val="000000"/>
          <w:sz w:val="22"/>
        </w:rPr>
        <w:t>,</w:t>
      </w:r>
      <w:r w:rsidRPr="004A784D">
        <w:rPr>
          <w:noProof/>
          <w:color w:val="000000"/>
          <w:sz w:val="22"/>
        </w:rPr>
        <w:t xml:space="preserve"> 319-32.</w:t>
      </w:r>
      <w:bookmarkEnd w:id="2603"/>
    </w:p>
    <w:p w:rsidR="004A784D" w:rsidRPr="004A784D" w:rsidRDefault="004A784D" w:rsidP="004A784D">
      <w:pPr>
        <w:spacing w:after="240"/>
        <w:jc w:val="both"/>
        <w:rPr>
          <w:noProof/>
          <w:color w:val="000000"/>
          <w:sz w:val="22"/>
        </w:rPr>
      </w:pPr>
      <w:bookmarkStart w:id="2604" w:name="_ENREF_354"/>
      <w:r w:rsidRPr="004A784D">
        <w:rPr>
          <w:noProof/>
          <w:color w:val="000000"/>
          <w:sz w:val="22"/>
        </w:rPr>
        <w:t xml:space="preserve">ROSSI, D., FANGAZIO, M., DE PAOLI, L., PUMA, A., RICCOMAGNO, P., PINTO, V., ZIGROSSI, P., RAMPONI, A., MONGA, G. &amp; GAIDANO, G. Beta-2-microglobulin is an independent predictor of progression in asymptomatic multiple myeloma. </w:t>
      </w:r>
      <w:r w:rsidRPr="004A784D">
        <w:rPr>
          <w:i/>
          <w:noProof/>
          <w:color w:val="000000"/>
          <w:sz w:val="22"/>
        </w:rPr>
        <w:t>Cancer</w:t>
      </w:r>
      <w:r w:rsidRPr="004A784D">
        <w:rPr>
          <w:noProof/>
          <w:color w:val="000000"/>
          <w:sz w:val="22"/>
        </w:rPr>
        <w:t>.</w:t>
      </w:r>
      <w:bookmarkEnd w:id="2604"/>
    </w:p>
    <w:p w:rsidR="004A784D" w:rsidRPr="004A784D" w:rsidRDefault="004A784D" w:rsidP="004A784D">
      <w:pPr>
        <w:spacing w:after="240"/>
        <w:jc w:val="both"/>
        <w:rPr>
          <w:noProof/>
          <w:color w:val="000000"/>
          <w:sz w:val="22"/>
        </w:rPr>
      </w:pPr>
      <w:bookmarkStart w:id="2605" w:name="_ENREF_355"/>
      <w:r w:rsidRPr="004A784D">
        <w:rPr>
          <w:noProof/>
          <w:color w:val="000000"/>
          <w:sz w:val="22"/>
        </w:rPr>
        <w:t xml:space="preserve">ROSSI, D., FANGAZIO, M., DE PAOLI, L., PUMA, A., RICCOMAGNO, P., PINTO, V., ZIGROSSI, P., RAMPONI, A., MONGA, G. &amp; GAIDANO, G. 2010. Beta-2-microglobulin is an independent predictor of progression in asymptomatic multiple myeloma. </w:t>
      </w:r>
      <w:r w:rsidRPr="004A784D">
        <w:rPr>
          <w:i/>
          <w:noProof/>
          <w:color w:val="000000"/>
          <w:sz w:val="22"/>
        </w:rPr>
        <w:t>Cancer,</w:t>
      </w:r>
      <w:r w:rsidRPr="004A784D">
        <w:rPr>
          <w:noProof/>
          <w:color w:val="000000"/>
          <w:sz w:val="22"/>
        </w:rPr>
        <w:t xml:space="preserve"> 116</w:t>
      </w:r>
      <w:r w:rsidRPr="004A784D">
        <w:rPr>
          <w:b/>
          <w:noProof/>
          <w:color w:val="000000"/>
          <w:sz w:val="22"/>
        </w:rPr>
        <w:t>,</w:t>
      </w:r>
      <w:r w:rsidRPr="004A784D">
        <w:rPr>
          <w:noProof/>
          <w:color w:val="000000"/>
          <w:sz w:val="22"/>
        </w:rPr>
        <w:t xml:space="preserve"> 2188-200.</w:t>
      </w:r>
      <w:bookmarkEnd w:id="2605"/>
    </w:p>
    <w:p w:rsidR="004A784D" w:rsidRPr="004A784D" w:rsidRDefault="004A784D" w:rsidP="004A784D">
      <w:pPr>
        <w:spacing w:after="240"/>
        <w:jc w:val="both"/>
        <w:rPr>
          <w:noProof/>
          <w:color w:val="000000"/>
          <w:sz w:val="22"/>
        </w:rPr>
      </w:pPr>
      <w:bookmarkStart w:id="2606" w:name="_ENREF_356"/>
      <w:r w:rsidRPr="004A784D">
        <w:rPr>
          <w:noProof/>
          <w:color w:val="000000"/>
          <w:sz w:val="22"/>
        </w:rPr>
        <w:t xml:space="preserve">ROY, S., JOSEPHSON, S. A., FRIDLYAND, J., KARCH, J., KADOCH, C., KARRIM, J., DAMON, L., TRESELER, P., KUNWAR, S., SHUMAN, M. A., JONES, T., BECKER, C. H., SCHULMAN, H. &amp; RUBENSTEIN, J. L. 2008. Protein biomarker identification in the CSF of patients with CNS lymphoma. </w:t>
      </w:r>
      <w:r w:rsidRPr="004A784D">
        <w:rPr>
          <w:i/>
          <w:noProof/>
          <w:color w:val="000000"/>
          <w:sz w:val="22"/>
        </w:rPr>
        <w:t>J Clin Oncol,</w:t>
      </w:r>
      <w:r w:rsidRPr="004A784D">
        <w:rPr>
          <w:noProof/>
          <w:color w:val="000000"/>
          <w:sz w:val="22"/>
        </w:rPr>
        <w:t xml:space="preserve"> 26</w:t>
      </w:r>
      <w:r w:rsidRPr="004A784D">
        <w:rPr>
          <w:b/>
          <w:noProof/>
          <w:color w:val="000000"/>
          <w:sz w:val="22"/>
        </w:rPr>
        <w:t>,</w:t>
      </w:r>
      <w:r w:rsidRPr="004A784D">
        <w:rPr>
          <w:noProof/>
          <w:color w:val="000000"/>
          <w:sz w:val="22"/>
        </w:rPr>
        <w:t xml:space="preserve"> 96-105.</w:t>
      </w:r>
      <w:bookmarkEnd w:id="2606"/>
    </w:p>
    <w:p w:rsidR="004A784D" w:rsidRPr="004A784D" w:rsidRDefault="004A784D" w:rsidP="004A784D">
      <w:pPr>
        <w:spacing w:after="240"/>
        <w:jc w:val="both"/>
        <w:rPr>
          <w:noProof/>
          <w:color w:val="000000"/>
          <w:sz w:val="22"/>
        </w:rPr>
      </w:pPr>
      <w:bookmarkStart w:id="2607" w:name="_ENREF_357"/>
      <w:r w:rsidRPr="004A784D">
        <w:rPr>
          <w:noProof/>
          <w:color w:val="000000"/>
          <w:sz w:val="22"/>
        </w:rPr>
        <w:t xml:space="preserve">RUEPP, S. U., TONGE, R. P., SHAW, J., WALLIS, N. &amp; POGNAN, F. 2002. Genomics and proteomics analysis of acetaminophen toxicity in mouse liver. </w:t>
      </w:r>
      <w:r w:rsidRPr="004A784D">
        <w:rPr>
          <w:i/>
          <w:noProof/>
          <w:color w:val="000000"/>
          <w:sz w:val="22"/>
        </w:rPr>
        <w:t>Toxicol Sci,</w:t>
      </w:r>
      <w:r w:rsidRPr="004A784D">
        <w:rPr>
          <w:noProof/>
          <w:color w:val="000000"/>
          <w:sz w:val="22"/>
        </w:rPr>
        <w:t xml:space="preserve"> 65</w:t>
      </w:r>
      <w:r w:rsidRPr="004A784D">
        <w:rPr>
          <w:b/>
          <w:noProof/>
          <w:color w:val="000000"/>
          <w:sz w:val="22"/>
        </w:rPr>
        <w:t>,</w:t>
      </w:r>
      <w:r w:rsidRPr="004A784D">
        <w:rPr>
          <w:noProof/>
          <w:color w:val="000000"/>
          <w:sz w:val="22"/>
        </w:rPr>
        <w:t xml:space="preserve"> 135-50.</w:t>
      </w:r>
      <w:bookmarkEnd w:id="2607"/>
    </w:p>
    <w:p w:rsidR="004A784D" w:rsidRPr="004A784D" w:rsidRDefault="004A784D" w:rsidP="004A784D">
      <w:pPr>
        <w:spacing w:after="240"/>
        <w:jc w:val="both"/>
        <w:rPr>
          <w:noProof/>
          <w:color w:val="000000"/>
          <w:sz w:val="22"/>
        </w:rPr>
      </w:pPr>
      <w:bookmarkStart w:id="2608" w:name="_ENREF_358"/>
      <w:r w:rsidRPr="004A784D">
        <w:rPr>
          <w:noProof/>
          <w:color w:val="000000"/>
          <w:sz w:val="22"/>
        </w:rPr>
        <w:t xml:space="preserve">RUSSELL, S. T. &amp; TISDALE, M. J. 2005. The role of glucocorticoids in the induction of zinc-alpha2-glycoprotein expression in adipose tissue in cancer cachexia. </w:t>
      </w:r>
      <w:r w:rsidRPr="004A784D">
        <w:rPr>
          <w:i/>
          <w:noProof/>
          <w:color w:val="000000"/>
          <w:sz w:val="22"/>
        </w:rPr>
        <w:t>Br J Cancer,</w:t>
      </w:r>
      <w:r w:rsidRPr="004A784D">
        <w:rPr>
          <w:noProof/>
          <w:color w:val="000000"/>
          <w:sz w:val="22"/>
        </w:rPr>
        <w:t xml:space="preserve"> 92</w:t>
      </w:r>
      <w:r w:rsidRPr="004A784D">
        <w:rPr>
          <w:b/>
          <w:noProof/>
          <w:color w:val="000000"/>
          <w:sz w:val="22"/>
        </w:rPr>
        <w:t>,</w:t>
      </w:r>
      <w:r w:rsidRPr="004A784D">
        <w:rPr>
          <w:noProof/>
          <w:color w:val="000000"/>
          <w:sz w:val="22"/>
        </w:rPr>
        <w:t xml:space="preserve"> 876-81.</w:t>
      </w:r>
      <w:bookmarkEnd w:id="2608"/>
    </w:p>
    <w:p w:rsidR="004A784D" w:rsidRPr="004A784D" w:rsidRDefault="004A784D" w:rsidP="004A784D">
      <w:pPr>
        <w:spacing w:after="240"/>
        <w:jc w:val="both"/>
        <w:rPr>
          <w:noProof/>
          <w:color w:val="000000"/>
          <w:sz w:val="22"/>
        </w:rPr>
      </w:pPr>
      <w:bookmarkStart w:id="2609" w:name="_ENREF_359"/>
      <w:r w:rsidRPr="004A784D">
        <w:rPr>
          <w:noProof/>
          <w:color w:val="000000"/>
          <w:sz w:val="22"/>
        </w:rPr>
        <w:t xml:space="preserve">RUSTAD, P., SIMONSSON, P., FELDING, P. &amp; PEDERSEN, M. 2004. Nordic Reference Interval Project Bio-bank and Database (NOBIDA): a source for future estimation and retrospective evaluation of reference intervals. </w:t>
      </w:r>
      <w:r w:rsidRPr="004A784D">
        <w:rPr>
          <w:i/>
          <w:noProof/>
          <w:color w:val="000000"/>
          <w:sz w:val="22"/>
        </w:rPr>
        <w:t>Scand J Clin Lab Invest,</w:t>
      </w:r>
      <w:r w:rsidRPr="004A784D">
        <w:rPr>
          <w:noProof/>
          <w:color w:val="000000"/>
          <w:sz w:val="22"/>
        </w:rPr>
        <w:t xml:space="preserve"> 64</w:t>
      </w:r>
      <w:r w:rsidRPr="004A784D">
        <w:rPr>
          <w:b/>
          <w:noProof/>
          <w:color w:val="000000"/>
          <w:sz w:val="22"/>
        </w:rPr>
        <w:t>,</w:t>
      </w:r>
      <w:r w:rsidRPr="004A784D">
        <w:rPr>
          <w:noProof/>
          <w:color w:val="000000"/>
          <w:sz w:val="22"/>
        </w:rPr>
        <w:t xml:space="preserve"> 431-8.</w:t>
      </w:r>
      <w:bookmarkEnd w:id="2609"/>
    </w:p>
    <w:p w:rsidR="004A784D" w:rsidRPr="004A784D" w:rsidRDefault="004A784D" w:rsidP="004A784D">
      <w:pPr>
        <w:spacing w:after="240"/>
        <w:jc w:val="both"/>
        <w:rPr>
          <w:noProof/>
          <w:color w:val="000000"/>
          <w:sz w:val="22"/>
        </w:rPr>
      </w:pPr>
      <w:bookmarkStart w:id="2610" w:name="_ENREF_360"/>
      <w:r w:rsidRPr="004A784D">
        <w:rPr>
          <w:noProof/>
          <w:color w:val="000000"/>
          <w:sz w:val="22"/>
        </w:rPr>
        <w:t xml:space="preserve">RYU, J. K. &amp; MCLARNON, J. G. 2008. Thalidomide inhibition of perturbed vasculature and glial-derived tumor necrosis factor-alpha in an animal model of inflamed Alzheimer's disease brain. </w:t>
      </w:r>
      <w:r w:rsidRPr="004A784D">
        <w:rPr>
          <w:i/>
          <w:noProof/>
          <w:color w:val="000000"/>
          <w:sz w:val="22"/>
        </w:rPr>
        <w:t>Neurobiol Dis,</w:t>
      </w:r>
      <w:r w:rsidRPr="004A784D">
        <w:rPr>
          <w:noProof/>
          <w:color w:val="000000"/>
          <w:sz w:val="22"/>
        </w:rPr>
        <w:t xml:space="preserve"> 29</w:t>
      </w:r>
      <w:r w:rsidRPr="004A784D">
        <w:rPr>
          <w:b/>
          <w:noProof/>
          <w:color w:val="000000"/>
          <w:sz w:val="22"/>
        </w:rPr>
        <w:t>,</w:t>
      </w:r>
      <w:r w:rsidRPr="004A784D">
        <w:rPr>
          <w:noProof/>
          <w:color w:val="000000"/>
          <w:sz w:val="22"/>
        </w:rPr>
        <w:t xml:space="preserve"> 254-66.</w:t>
      </w:r>
      <w:bookmarkEnd w:id="2610"/>
    </w:p>
    <w:p w:rsidR="004A784D" w:rsidRPr="004A784D" w:rsidRDefault="004A784D" w:rsidP="004A784D">
      <w:pPr>
        <w:spacing w:after="240"/>
        <w:jc w:val="both"/>
        <w:rPr>
          <w:noProof/>
          <w:color w:val="000000"/>
          <w:sz w:val="22"/>
        </w:rPr>
      </w:pPr>
      <w:bookmarkStart w:id="2611" w:name="_ENREF_361"/>
      <w:r w:rsidRPr="004A784D">
        <w:rPr>
          <w:noProof/>
          <w:color w:val="000000"/>
          <w:sz w:val="22"/>
        </w:rPr>
        <w:t xml:space="preserve">SAAD, A. A., SHARMA, M. &amp; HIGA, G. M. 2009. Treatment of multiple myeloma in the targeted therapy era. </w:t>
      </w:r>
      <w:r w:rsidRPr="004A784D">
        <w:rPr>
          <w:i/>
          <w:noProof/>
          <w:color w:val="000000"/>
          <w:sz w:val="22"/>
        </w:rPr>
        <w:t>Ann Pharmacother,</w:t>
      </w:r>
      <w:r w:rsidRPr="004A784D">
        <w:rPr>
          <w:noProof/>
          <w:color w:val="000000"/>
          <w:sz w:val="22"/>
        </w:rPr>
        <w:t xml:space="preserve"> 43</w:t>
      </w:r>
      <w:r w:rsidRPr="004A784D">
        <w:rPr>
          <w:b/>
          <w:noProof/>
          <w:color w:val="000000"/>
          <w:sz w:val="22"/>
        </w:rPr>
        <w:t>,</w:t>
      </w:r>
      <w:r w:rsidRPr="004A784D">
        <w:rPr>
          <w:noProof/>
          <w:color w:val="000000"/>
          <w:sz w:val="22"/>
        </w:rPr>
        <w:t xml:space="preserve"> 329-38.</w:t>
      </w:r>
      <w:bookmarkEnd w:id="2611"/>
    </w:p>
    <w:p w:rsidR="004A784D" w:rsidRPr="004A784D" w:rsidRDefault="004A784D" w:rsidP="004A784D">
      <w:pPr>
        <w:spacing w:after="240"/>
        <w:jc w:val="both"/>
        <w:rPr>
          <w:noProof/>
          <w:color w:val="000000"/>
          <w:sz w:val="22"/>
        </w:rPr>
      </w:pPr>
      <w:bookmarkStart w:id="2612" w:name="_ENREF_362"/>
      <w:r w:rsidRPr="004A784D">
        <w:rPr>
          <w:noProof/>
          <w:color w:val="000000"/>
          <w:sz w:val="22"/>
        </w:rPr>
        <w:t xml:space="preserve">SADYM, A., LAGUNIN, A., FILIMONOV, D. &amp; POROIKOV, V. 2003. Prediction of biological activity spectra via the Internet. </w:t>
      </w:r>
      <w:r w:rsidRPr="004A784D">
        <w:rPr>
          <w:i/>
          <w:noProof/>
          <w:color w:val="000000"/>
          <w:sz w:val="22"/>
        </w:rPr>
        <w:t>SAR QSAR Environ Res,</w:t>
      </w:r>
      <w:r w:rsidRPr="004A784D">
        <w:rPr>
          <w:noProof/>
          <w:color w:val="000000"/>
          <w:sz w:val="22"/>
        </w:rPr>
        <w:t xml:space="preserve"> 14</w:t>
      </w:r>
      <w:r w:rsidRPr="004A784D">
        <w:rPr>
          <w:b/>
          <w:noProof/>
          <w:color w:val="000000"/>
          <w:sz w:val="22"/>
        </w:rPr>
        <w:t>,</w:t>
      </w:r>
      <w:r w:rsidRPr="004A784D">
        <w:rPr>
          <w:noProof/>
          <w:color w:val="000000"/>
          <w:sz w:val="22"/>
        </w:rPr>
        <w:t xml:space="preserve"> 339-47.</w:t>
      </w:r>
      <w:bookmarkEnd w:id="2612"/>
    </w:p>
    <w:p w:rsidR="004A784D" w:rsidRPr="004A784D" w:rsidRDefault="004A784D" w:rsidP="004A784D">
      <w:pPr>
        <w:spacing w:after="240"/>
        <w:jc w:val="both"/>
        <w:rPr>
          <w:noProof/>
          <w:color w:val="000000"/>
          <w:sz w:val="22"/>
        </w:rPr>
      </w:pPr>
      <w:bookmarkStart w:id="2613" w:name="_ENREF_363"/>
      <w:r w:rsidRPr="004A784D">
        <w:rPr>
          <w:noProof/>
          <w:color w:val="000000"/>
          <w:sz w:val="22"/>
        </w:rPr>
        <w:lastRenderedPageBreak/>
        <w:t xml:space="preserve">SALEH, N., OLAUSSON, A., NILSSON, T., HANSSON, L. O. &amp; TORNVALL, P. 2003. Comparison of effects of a thrombin-based femoral artery closure device with those of a mechanical compression device on serum C-reactive protein and amyloid A after percutaneous coronary intervention. </w:t>
      </w:r>
      <w:r w:rsidRPr="004A784D">
        <w:rPr>
          <w:i/>
          <w:noProof/>
          <w:color w:val="000000"/>
          <w:sz w:val="22"/>
        </w:rPr>
        <w:t>Am J Cardiol,</w:t>
      </w:r>
      <w:r w:rsidRPr="004A784D">
        <w:rPr>
          <w:noProof/>
          <w:color w:val="000000"/>
          <w:sz w:val="22"/>
        </w:rPr>
        <w:t xml:space="preserve"> 92</w:t>
      </w:r>
      <w:r w:rsidRPr="004A784D">
        <w:rPr>
          <w:b/>
          <w:noProof/>
          <w:color w:val="000000"/>
          <w:sz w:val="22"/>
        </w:rPr>
        <w:t>,</w:t>
      </w:r>
      <w:r w:rsidRPr="004A784D">
        <w:rPr>
          <w:noProof/>
          <w:color w:val="000000"/>
          <w:sz w:val="22"/>
        </w:rPr>
        <w:t xml:space="preserve"> 324-7.</w:t>
      </w:r>
      <w:bookmarkEnd w:id="2613"/>
    </w:p>
    <w:p w:rsidR="004A784D" w:rsidRPr="004A784D" w:rsidRDefault="004A784D" w:rsidP="004A784D">
      <w:pPr>
        <w:spacing w:after="240"/>
        <w:jc w:val="both"/>
        <w:rPr>
          <w:noProof/>
          <w:color w:val="000000"/>
          <w:sz w:val="22"/>
        </w:rPr>
      </w:pPr>
      <w:bookmarkStart w:id="2614" w:name="_ENREF_364"/>
      <w:r w:rsidRPr="004A784D">
        <w:rPr>
          <w:noProof/>
          <w:color w:val="000000"/>
          <w:sz w:val="22"/>
        </w:rPr>
        <w:t xml:space="preserve">SALMON, S. E. &amp; DURIE, B. G. 1975. Cellular kinetics in multiple myeloma. A new approach to staging and treatment. </w:t>
      </w:r>
      <w:r w:rsidRPr="004A784D">
        <w:rPr>
          <w:i/>
          <w:noProof/>
          <w:color w:val="000000"/>
          <w:sz w:val="22"/>
        </w:rPr>
        <w:t>Arch Intern Med,</w:t>
      </w:r>
      <w:r w:rsidRPr="004A784D">
        <w:rPr>
          <w:noProof/>
          <w:color w:val="000000"/>
          <w:sz w:val="22"/>
        </w:rPr>
        <w:t xml:space="preserve"> 135</w:t>
      </w:r>
      <w:r w:rsidRPr="004A784D">
        <w:rPr>
          <w:b/>
          <w:noProof/>
          <w:color w:val="000000"/>
          <w:sz w:val="22"/>
        </w:rPr>
        <w:t>,</w:t>
      </w:r>
      <w:r w:rsidRPr="004A784D">
        <w:rPr>
          <w:noProof/>
          <w:color w:val="000000"/>
          <w:sz w:val="22"/>
        </w:rPr>
        <w:t xml:space="preserve"> 131-8.</w:t>
      </w:r>
      <w:bookmarkEnd w:id="2614"/>
    </w:p>
    <w:p w:rsidR="004A784D" w:rsidRPr="004A784D" w:rsidRDefault="004A784D" w:rsidP="004A784D">
      <w:pPr>
        <w:spacing w:after="240"/>
        <w:jc w:val="both"/>
        <w:rPr>
          <w:noProof/>
          <w:color w:val="000000"/>
          <w:sz w:val="22"/>
        </w:rPr>
      </w:pPr>
      <w:bookmarkStart w:id="2615" w:name="_ENREF_365"/>
      <w:r w:rsidRPr="004A784D">
        <w:rPr>
          <w:noProof/>
          <w:color w:val="000000"/>
          <w:sz w:val="22"/>
        </w:rPr>
        <w:t xml:space="preserve">SAN MIGUEL, J. F. &amp; GARCIA-SANZ, R. 2005. Prognostic features of multiple myeloma. </w:t>
      </w:r>
      <w:r w:rsidRPr="004A784D">
        <w:rPr>
          <w:i/>
          <w:noProof/>
          <w:color w:val="000000"/>
          <w:sz w:val="22"/>
        </w:rPr>
        <w:t>Best Pract Res Clin Haematol,</w:t>
      </w:r>
      <w:r w:rsidRPr="004A784D">
        <w:rPr>
          <w:noProof/>
          <w:color w:val="000000"/>
          <w:sz w:val="22"/>
        </w:rPr>
        <w:t xml:space="preserve"> 18</w:t>
      </w:r>
      <w:r w:rsidRPr="004A784D">
        <w:rPr>
          <w:b/>
          <w:noProof/>
          <w:color w:val="000000"/>
          <w:sz w:val="22"/>
        </w:rPr>
        <w:t>,</w:t>
      </w:r>
      <w:r w:rsidRPr="004A784D">
        <w:rPr>
          <w:noProof/>
          <w:color w:val="000000"/>
          <w:sz w:val="22"/>
        </w:rPr>
        <w:t xml:space="preserve"> 569-83.</w:t>
      </w:r>
      <w:bookmarkEnd w:id="2615"/>
    </w:p>
    <w:p w:rsidR="004A784D" w:rsidRPr="004A784D" w:rsidRDefault="004A784D" w:rsidP="004A784D">
      <w:pPr>
        <w:spacing w:after="240"/>
        <w:jc w:val="both"/>
        <w:rPr>
          <w:noProof/>
          <w:color w:val="000000"/>
          <w:sz w:val="22"/>
        </w:rPr>
      </w:pPr>
      <w:bookmarkStart w:id="2616" w:name="_ENREF_366"/>
      <w:r w:rsidRPr="004A784D">
        <w:rPr>
          <w:noProof/>
          <w:color w:val="000000"/>
          <w:sz w:val="22"/>
        </w:rPr>
        <w:t xml:space="preserve">SANTOS, S. D., COSTA, R., TEIXEIRA, P. F., GOTTESMAN, M., CARDOSO, I. &amp; SARAIVA, M. J. 2008. Amyloidogenic properties of transthyretin-like protein (TLP) from Escherichia coli. </w:t>
      </w:r>
      <w:r w:rsidRPr="004A784D">
        <w:rPr>
          <w:i/>
          <w:noProof/>
          <w:color w:val="000000"/>
          <w:sz w:val="22"/>
        </w:rPr>
        <w:t>FEBS Lett,</w:t>
      </w:r>
      <w:r w:rsidRPr="004A784D">
        <w:rPr>
          <w:noProof/>
          <w:color w:val="000000"/>
          <w:sz w:val="22"/>
        </w:rPr>
        <w:t xml:space="preserve"> 582</w:t>
      </w:r>
      <w:r w:rsidRPr="004A784D">
        <w:rPr>
          <w:b/>
          <w:noProof/>
          <w:color w:val="000000"/>
          <w:sz w:val="22"/>
        </w:rPr>
        <w:t>,</w:t>
      </w:r>
      <w:r w:rsidRPr="004A784D">
        <w:rPr>
          <w:noProof/>
          <w:color w:val="000000"/>
          <w:sz w:val="22"/>
        </w:rPr>
        <w:t xml:space="preserve"> 2893-8.</w:t>
      </w:r>
      <w:bookmarkEnd w:id="2616"/>
    </w:p>
    <w:p w:rsidR="004A784D" w:rsidRPr="004A784D" w:rsidRDefault="004A784D" w:rsidP="004A784D">
      <w:pPr>
        <w:spacing w:after="240"/>
        <w:jc w:val="both"/>
        <w:rPr>
          <w:noProof/>
          <w:color w:val="000000"/>
          <w:sz w:val="22"/>
        </w:rPr>
      </w:pPr>
      <w:bookmarkStart w:id="2617" w:name="_ENREF_367"/>
      <w:r w:rsidRPr="004A784D">
        <w:rPr>
          <w:noProof/>
          <w:color w:val="000000"/>
          <w:sz w:val="22"/>
        </w:rPr>
        <w:t xml:space="preserve">SARDANA, G., DOWELL, B. &amp; DIAMANDIS, E. P. 2008. Emerging biomarkers for the diagnosis and prognosis of prostate cancer. </w:t>
      </w:r>
      <w:r w:rsidRPr="004A784D">
        <w:rPr>
          <w:i/>
          <w:noProof/>
          <w:color w:val="000000"/>
          <w:sz w:val="22"/>
        </w:rPr>
        <w:t>Clin Chem,</w:t>
      </w:r>
      <w:r w:rsidRPr="004A784D">
        <w:rPr>
          <w:noProof/>
          <w:color w:val="000000"/>
          <w:sz w:val="22"/>
        </w:rPr>
        <w:t xml:space="preserve"> 54</w:t>
      </w:r>
      <w:r w:rsidRPr="004A784D">
        <w:rPr>
          <w:b/>
          <w:noProof/>
          <w:color w:val="000000"/>
          <w:sz w:val="22"/>
        </w:rPr>
        <w:t>,</w:t>
      </w:r>
      <w:r w:rsidRPr="004A784D">
        <w:rPr>
          <w:noProof/>
          <w:color w:val="000000"/>
          <w:sz w:val="22"/>
        </w:rPr>
        <w:t xml:space="preserve"> 1951-60.</w:t>
      </w:r>
      <w:bookmarkEnd w:id="2617"/>
    </w:p>
    <w:p w:rsidR="004A784D" w:rsidRPr="004A784D" w:rsidRDefault="004A784D" w:rsidP="004A784D">
      <w:pPr>
        <w:spacing w:after="240"/>
        <w:jc w:val="both"/>
        <w:rPr>
          <w:noProof/>
          <w:color w:val="000000"/>
          <w:sz w:val="22"/>
        </w:rPr>
      </w:pPr>
      <w:bookmarkStart w:id="2618" w:name="_ENREF_368"/>
      <w:r w:rsidRPr="004A784D">
        <w:rPr>
          <w:noProof/>
          <w:color w:val="000000"/>
          <w:sz w:val="22"/>
        </w:rPr>
        <w:t xml:space="preserve">SAVIGE, J. A., PASPALIARIS, B., SILVESTRINI, R., DAVIES, D., NIKOLOUTSOPOULOS, T., STURGESS, A., NEIL, J., POLLOCK, W., DUNSTER, K. &amp; HENDLE, M. 1998. A review of immunofluorescent patterns associated with antineutrophil cytoplasmic antibodies (ANCA) and their differentiation from other antibodies. </w:t>
      </w:r>
      <w:r w:rsidRPr="004A784D">
        <w:rPr>
          <w:i/>
          <w:noProof/>
          <w:color w:val="000000"/>
          <w:sz w:val="22"/>
        </w:rPr>
        <w:t>J Clin Pathol,</w:t>
      </w:r>
      <w:r w:rsidRPr="004A784D">
        <w:rPr>
          <w:noProof/>
          <w:color w:val="000000"/>
          <w:sz w:val="22"/>
        </w:rPr>
        <w:t xml:space="preserve"> 51</w:t>
      </w:r>
      <w:r w:rsidRPr="004A784D">
        <w:rPr>
          <w:b/>
          <w:noProof/>
          <w:color w:val="000000"/>
          <w:sz w:val="22"/>
        </w:rPr>
        <w:t>,</w:t>
      </w:r>
      <w:r w:rsidRPr="004A784D">
        <w:rPr>
          <w:noProof/>
          <w:color w:val="000000"/>
          <w:sz w:val="22"/>
        </w:rPr>
        <w:t xml:space="preserve"> 568-75.</w:t>
      </w:r>
      <w:bookmarkEnd w:id="2618"/>
    </w:p>
    <w:p w:rsidR="004A784D" w:rsidRPr="004A784D" w:rsidRDefault="004A784D" w:rsidP="004A784D">
      <w:pPr>
        <w:spacing w:after="240"/>
        <w:jc w:val="both"/>
        <w:rPr>
          <w:noProof/>
          <w:color w:val="000000"/>
          <w:sz w:val="22"/>
        </w:rPr>
      </w:pPr>
      <w:bookmarkStart w:id="2619" w:name="_ENREF_369"/>
      <w:r w:rsidRPr="004A784D">
        <w:rPr>
          <w:noProof/>
          <w:color w:val="000000"/>
          <w:sz w:val="22"/>
        </w:rPr>
        <w:t xml:space="preserve">SCHAFER, Z. T. &amp; BRUGGE, J. S. 2007. IL-6 involvement in epithelial cancers. </w:t>
      </w:r>
      <w:r w:rsidRPr="004A784D">
        <w:rPr>
          <w:i/>
          <w:noProof/>
          <w:color w:val="000000"/>
          <w:sz w:val="22"/>
        </w:rPr>
        <w:t>J Clin Invest,</w:t>
      </w:r>
      <w:r w:rsidRPr="004A784D">
        <w:rPr>
          <w:noProof/>
          <w:color w:val="000000"/>
          <w:sz w:val="22"/>
        </w:rPr>
        <w:t xml:space="preserve"> 117</w:t>
      </w:r>
      <w:r w:rsidRPr="004A784D">
        <w:rPr>
          <w:b/>
          <w:noProof/>
          <w:color w:val="000000"/>
          <w:sz w:val="22"/>
        </w:rPr>
        <w:t>,</w:t>
      </w:r>
      <w:r w:rsidRPr="004A784D">
        <w:rPr>
          <w:noProof/>
          <w:color w:val="000000"/>
          <w:sz w:val="22"/>
        </w:rPr>
        <w:t xml:space="preserve"> 3660-3.</w:t>
      </w:r>
      <w:bookmarkEnd w:id="2619"/>
    </w:p>
    <w:p w:rsidR="004A784D" w:rsidRPr="004A784D" w:rsidRDefault="004A784D" w:rsidP="004A784D">
      <w:pPr>
        <w:spacing w:after="240"/>
        <w:jc w:val="both"/>
        <w:rPr>
          <w:noProof/>
          <w:color w:val="000000"/>
          <w:sz w:val="22"/>
        </w:rPr>
      </w:pPr>
      <w:bookmarkStart w:id="2620" w:name="_ENREF_370"/>
      <w:r w:rsidRPr="004A784D">
        <w:rPr>
          <w:noProof/>
          <w:color w:val="000000"/>
          <w:sz w:val="22"/>
        </w:rPr>
        <w:t xml:space="preserve">SCHIFFER, E. 2007. Biomarkers for prostate cancer. </w:t>
      </w:r>
      <w:r w:rsidRPr="004A784D">
        <w:rPr>
          <w:i/>
          <w:noProof/>
          <w:color w:val="000000"/>
          <w:sz w:val="22"/>
        </w:rPr>
        <w:t>World J Urol,</w:t>
      </w:r>
      <w:r w:rsidRPr="004A784D">
        <w:rPr>
          <w:noProof/>
          <w:color w:val="000000"/>
          <w:sz w:val="22"/>
        </w:rPr>
        <w:t xml:space="preserve"> 25</w:t>
      </w:r>
      <w:r w:rsidRPr="004A784D">
        <w:rPr>
          <w:b/>
          <w:noProof/>
          <w:color w:val="000000"/>
          <w:sz w:val="22"/>
        </w:rPr>
        <w:t>,</w:t>
      </w:r>
      <w:r w:rsidRPr="004A784D">
        <w:rPr>
          <w:noProof/>
          <w:color w:val="000000"/>
          <w:sz w:val="22"/>
        </w:rPr>
        <w:t xml:space="preserve"> 557-62.</w:t>
      </w:r>
      <w:bookmarkEnd w:id="2620"/>
    </w:p>
    <w:p w:rsidR="004A784D" w:rsidRPr="004A784D" w:rsidRDefault="004A784D" w:rsidP="004A784D">
      <w:pPr>
        <w:spacing w:after="240"/>
        <w:jc w:val="both"/>
        <w:rPr>
          <w:noProof/>
          <w:color w:val="000000"/>
          <w:sz w:val="22"/>
        </w:rPr>
      </w:pPr>
      <w:bookmarkStart w:id="2621" w:name="_ENREF_371"/>
      <w:r w:rsidRPr="004A784D">
        <w:rPr>
          <w:noProof/>
          <w:color w:val="000000"/>
          <w:sz w:val="22"/>
        </w:rPr>
        <w:t xml:space="preserve">SCHISTERMAN, E. F., VEXLER, A., MUMFORD, S. L. &amp; PERKINS, N. J. 2010. Hybrid pooled-unpooled design for cost-efficient measurement of biomarkers. </w:t>
      </w:r>
      <w:r w:rsidRPr="004A784D">
        <w:rPr>
          <w:i/>
          <w:noProof/>
          <w:color w:val="000000"/>
          <w:sz w:val="22"/>
        </w:rPr>
        <w:t>Stat Med,</w:t>
      </w:r>
      <w:r w:rsidRPr="004A784D">
        <w:rPr>
          <w:noProof/>
          <w:color w:val="000000"/>
          <w:sz w:val="22"/>
        </w:rPr>
        <w:t xml:space="preserve"> 29</w:t>
      </w:r>
      <w:r w:rsidRPr="004A784D">
        <w:rPr>
          <w:b/>
          <w:noProof/>
          <w:color w:val="000000"/>
          <w:sz w:val="22"/>
        </w:rPr>
        <w:t>,</w:t>
      </w:r>
      <w:r w:rsidRPr="004A784D">
        <w:rPr>
          <w:noProof/>
          <w:color w:val="000000"/>
          <w:sz w:val="22"/>
        </w:rPr>
        <w:t xml:space="preserve"> 597-613.</w:t>
      </w:r>
      <w:bookmarkEnd w:id="2621"/>
    </w:p>
    <w:p w:rsidR="004A784D" w:rsidRPr="004A784D" w:rsidRDefault="004A784D" w:rsidP="004A784D">
      <w:pPr>
        <w:spacing w:after="240"/>
        <w:jc w:val="both"/>
        <w:rPr>
          <w:noProof/>
          <w:color w:val="000000"/>
          <w:sz w:val="22"/>
        </w:rPr>
      </w:pPr>
      <w:bookmarkStart w:id="2622" w:name="_ENREF_372"/>
      <w:r w:rsidRPr="004A784D">
        <w:rPr>
          <w:noProof/>
          <w:color w:val="000000"/>
          <w:sz w:val="22"/>
        </w:rPr>
        <w:t xml:space="preserve">SCHOTS, R. 2011. Recent advances in myeloma treatment. </w:t>
      </w:r>
      <w:r w:rsidRPr="004A784D">
        <w:rPr>
          <w:i/>
          <w:noProof/>
          <w:color w:val="000000"/>
          <w:sz w:val="22"/>
        </w:rPr>
        <w:t>Transfus Apher Sci,</w:t>
      </w:r>
      <w:r w:rsidRPr="004A784D">
        <w:rPr>
          <w:noProof/>
          <w:color w:val="000000"/>
          <w:sz w:val="22"/>
        </w:rPr>
        <w:t xml:space="preserve"> 44</w:t>
      </w:r>
      <w:r w:rsidRPr="004A784D">
        <w:rPr>
          <w:b/>
          <w:noProof/>
          <w:color w:val="000000"/>
          <w:sz w:val="22"/>
        </w:rPr>
        <w:t>,</w:t>
      </w:r>
      <w:r w:rsidRPr="004A784D">
        <w:rPr>
          <w:noProof/>
          <w:color w:val="000000"/>
          <w:sz w:val="22"/>
        </w:rPr>
        <w:t xml:space="preserve"> 223-9.</w:t>
      </w:r>
      <w:bookmarkEnd w:id="2622"/>
    </w:p>
    <w:p w:rsidR="004A784D" w:rsidRPr="004A784D" w:rsidRDefault="004A784D" w:rsidP="004A784D">
      <w:pPr>
        <w:spacing w:after="240"/>
        <w:jc w:val="both"/>
        <w:rPr>
          <w:noProof/>
          <w:color w:val="000000"/>
          <w:sz w:val="22"/>
        </w:rPr>
      </w:pPr>
      <w:bookmarkStart w:id="2623" w:name="_ENREF_373"/>
      <w:r w:rsidRPr="004A784D">
        <w:rPr>
          <w:noProof/>
          <w:color w:val="000000"/>
          <w:sz w:val="22"/>
        </w:rPr>
        <w:t xml:space="preserve">SCHRODER, F. &amp; KATTAN, M. W. 2008. The comparability of models for predicting the risk of a positive prostate biopsy with prostate-specific antigen alone: a systematic review. </w:t>
      </w:r>
      <w:r w:rsidRPr="004A784D">
        <w:rPr>
          <w:i/>
          <w:noProof/>
          <w:color w:val="000000"/>
          <w:sz w:val="22"/>
        </w:rPr>
        <w:t>Eur Urol,</w:t>
      </w:r>
      <w:r w:rsidRPr="004A784D">
        <w:rPr>
          <w:noProof/>
          <w:color w:val="000000"/>
          <w:sz w:val="22"/>
        </w:rPr>
        <w:t xml:space="preserve"> 54</w:t>
      </w:r>
      <w:r w:rsidRPr="004A784D">
        <w:rPr>
          <w:b/>
          <w:noProof/>
          <w:color w:val="000000"/>
          <w:sz w:val="22"/>
        </w:rPr>
        <w:t>,</w:t>
      </w:r>
      <w:r w:rsidRPr="004A784D">
        <w:rPr>
          <w:noProof/>
          <w:color w:val="000000"/>
          <w:sz w:val="22"/>
        </w:rPr>
        <w:t xml:space="preserve"> 274-90.</w:t>
      </w:r>
      <w:bookmarkEnd w:id="2623"/>
    </w:p>
    <w:p w:rsidR="004A784D" w:rsidRPr="004A784D" w:rsidRDefault="004A784D" w:rsidP="004A784D">
      <w:pPr>
        <w:spacing w:after="240"/>
        <w:jc w:val="both"/>
        <w:rPr>
          <w:noProof/>
          <w:color w:val="000000"/>
          <w:sz w:val="22"/>
        </w:rPr>
      </w:pPr>
      <w:bookmarkStart w:id="2624" w:name="_ENREF_374"/>
      <w:r w:rsidRPr="004A784D">
        <w:rPr>
          <w:noProof/>
          <w:color w:val="000000"/>
          <w:sz w:val="22"/>
        </w:rPr>
        <w:t xml:space="preserve">SCHUTTER, E. M., DAVELAAR, E. M., VAN KAMP, G. J., VERSTRAETEN, R. A., KENEMANS, P. &amp; VERHEIJEN, R. H. 2002. The differential diagnostic potential of a panel of tumor markers (CA 125, CA 15-3, and CA 72-4 antigens) in patients with a pelvic mass. </w:t>
      </w:r>
      <w:r w:rsidRPr="004A784D">
        <w:rPr>
          <w:i/>
          <w:noProof/>
          <w:color w:val="000000"/>
          <w:sz w:val="22"/>
        </w:rPr>
        <w:t>Am J Obstet Gynecol,</w:t>
      </w:r>
      <w:r w:rsidRPr="004A784D">
        <w:rPr>
          <w:noProof/>
          <w:color w:val="000000"/>
          <w:sz w:val="22"/>
        </w:rPr>
        <w:t xml:space="preserve"> 187</w:t>
      </w:r>
      <w:r w:rsidRPr="004A784D">
        <w:rPr>
          <w:b/>
          <w:noProof/>
          <w:color w:val="000000"/>
          <w:sz w:val="22"/>
        </w:rPr>
        <w:t>,</w:t>
      </w:r>
      <w:r w:rsidRPr="004A784D">
        <w:rPr>
          <w:noProof/>
          <w:color w:val="000000"/>
          <w:sz w:val="22"/>
        </w:rPr>
        <w:t xml:space="preserve"> 385-92.</w:t>
      </w:r>
      <w:bookmarkEnd w:id="2624"/>
    </w:p>
    <w:p w:rsidR="004A784D" w:rsidRPr="004A784D" w:rsidRDefault="004A784D" w:rsidP="004A784D">
      <w:pPr>
        <w:spacing w:after="240"/>
        <w:jc w:val="both"/>
        <w:rPr>
          <w:noProof/>
          <w:color w:val="000000"/>
          <w:sz w:val="22"/>
        </w:rPr>
      </w:pPr>
      <w:bookmarkStart w:id="2625" w:name="_ENREF_375"/>
      <w:r w:rsidRPr="004A784D">
        <w:rPr>
          <w:noProof/>
          <w:color w:val="000000"/>
          <w:sz w:val="22"/>
        </w:rPr>
        <w:t xml:space="preserve">SCIELZO, C., GHIA, P., CONTI, A., BACHI, A., GUIDA, G., GEUNA, M., ALESSIO, M. &amp; CALIGARIS-CAPPIO, F. 2005. HS1 protein is differentially expressed in chronic lymphocytic leukemia patient subsets with good or poor prognoses. </w:t>
      </w:r>
      <w:r w:rsidRPr="004A784D">
        <w:rPr>
          <w:i/>
          <w:noProof/>
          <w:color w:val="000000"/>
          <w:sz w:val="22"/>
        </w:rPr>
        <w:t>J Clin Invest,</w:t>
      </w:r>
      <w:r w:rsidRPr="004A784D">
        <w:rPr>
          <w:noProof/>
          <w:color w:val="000000"/>
          <w:sz w:val="22"/>
        </w:rPr>
        <w:t xml:space="preserve"> 115</w:t>
      </w:r>
      <w:r w:rsidRPr="004A784D">
        <w:rPr>
          <w:b/>
          <w:noProof/>
          <w:color w:val="000000"/>
          <w:sz w:val="22"/>
        </w:rPr>
        <w:t>,</w:t>
      </w:r>
      <w:r w:rsidRPr="004A784D">
        <w:rPr>
          <w:noProof/>
          <w:color w:val="000000"/>
          <w:sz w:val="22"/>
        </w:rPr>
        <w:t xml:space="preserve"> 1644-50.</w:t>
      </w:r>
      <w:bookmarkEnd w:id="2625"/>
    </w:p>
    <w:p w:rsidR="004A784D" w:rsidRPr="004A784D" w:rsidRDefault="004A784D" w:rsidP="004A784D">
      <w:pPr>
        <w:spacing w:after="240"/>
        <w:jc w:val="both"/>
        <w:rPr>
          <w:noProof/>
          <w:color w:val="000000"/>
          <w:sz w:val="22"/>
        </w:rPr>
      </w:pPr>
      <w:bookmarkStart w:id="2626" w:name="_ENREF_376"/>
      <w:r w:rsidRPr="004A784D">
        <w:rPr>
          <w:noProof/>
          <w:color w:val="000000"/>
          <w:sz w:val="22"/>
        </w:rPr>
        <w:t xml:space="preserve">SCOTT, A. &amp; SALGIA, R. 2008. Biomarkers in lung cancer: from early detection to novel therapeutics and decision making. </w:t>
      </w:r>
      <w:r w:rsidRPr="004A784D">
        <w:rPr>
          <w:i/>
          <w:noProof/>
          <w:color w:val="000000"/>
          <w:sz w:val="22"/>
        </w:rPr>
        <w:t>Biomark Med,</w:t>
      </w:r>
      <w:r w:rsidRPr="004A784D">
        <w:rPr>
          <w:noProof/>
          <w:color w:val="000000"/>
          <w:sz w:val="22"/>
        </w:rPr>
        <w:t xml:space="preserve"> 2</w:t>
      </w:r>
      <w:r w:rsidRPr="004A784D">
        <w:rPr>
          <w:b/>
          <w:noProof/>
          <w:color w:val="000000"/>
          <w:sz w:val="22"/>
        </w:rPr>
        <w:t>,</w:t>
      </w:r>
      <w:r w:rsidRPr="004A784D">
        <w:rPr>
          <w:noProof/>
          <w:color w:val="000000"/>
          <w:sz w:val="22"/>
        </w:rPr>
        <w:t xml:space="preserve"> 577-586.</w:t>
      </w:r>
      <w:bookmarkEnd w:id="2626"/>
    </w:p>
    <w:p w:rsidR="004A784D" w:rsidRPr="004A784D" w:rsidRDefault="004A784D" w:rsidP="004A784D">
      <w:pPr>
        <w:spacing w:after="240"/>
        <w:jc w:val="both"/>
        <w:rPr>
          <w:noProof/>
          <w:color w:val="000000"/>
          <w:sz w:val="22"/>
        </w:rPr>
      </w:pPr>
      <w:bookmarkStart w:id="2627" w:name="_ENREF_377"/>
      <w:r w:rsidRPr="004A784D">
        <w:rPr>
          <w:noProof/>
          <w:color w:val="000000"/>
          <w:sz w:val="22"/>
        </w:rPr>
        <w:t xml:space="preserve">SEHN, L. H. 2006. Optimal use of prognostic factors in non-Hodgkin lymphoma.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295-302.</w:t>
      </w:r>
      <w:bookmarkEnd w:id="2627"/>
    </w:p>
    <w:p w:rsidR="004A784D" w:rsidRPr="004A784D" w:rsidRDefault="004A784D" w:rsidP="004A784D">
      <w:pPr>
        <w:spacing w:after="240"/>
        <w:jc w:val="both"/>
        <w:rPr>
          <w:noProof/>
          <w:color w:val="000000"/>
          <w:sz w:val="22"/>
        </w:rPr>
      </w:pPr>
      <w:bookmarkStart w:id="2628" w:name="_ENREF_378"/>
      <w:r w:rsidRPr="004A784D">
        <w:rPr>
          <w:noProof/>
          <w:color w:val="000000"/>
          <w:sz w:val="22"/>
        </w:rPr>
        <w:lastRenderedPageBreak/>
        <w:t xml:space="preserve">SEIKE, M., KONDO, T., FUJII, K., YAMADA, T., GEMMA, A., KUDOH, S. &amp; HIROHASHI, S. 2004. Proteomic signature of human cancer cells. </w:t>
      </w:r>
      <w:r w:rsidRPr="004A784D">
        <w:rPr>
          <w:i/>
          <w:noProof/>
          <w:color w:val="000000"/>
          <w:sz w:val="22"/>
        </w:rPr>
        <w:t>Proteomics,</w:t>
      </w:r>
      <w:r w:rsidRPr="004A784D">
        <w:rPr>
          <w:noProof/>
          <w:color w:val="000000"/>
          <w:sz w:val="22"/>
        </w:rPr>
        <w:t xml:space="preserve"> 4</w:t>
      </w:r>
      <w:r w:rsidRPr="004A784D">
        <w:rPr>
          <w:b/>
          <w:noProof/>
          <w:color w:val="000000"/>
          <w:sz w:val="22"/>
        </w:rPr>
        <w:t>,</w:t>
      </w:r>
      <w:r w:rsidRPr="004A784D">
        <w:rPr>
          <w:noProof/>
          <w:color w:val="000000"/>
          <w:sz w:val="22"/>
        </w:rPr>
        <w:t xml:space="preserve"> 2776-88.</w:t>
      </w:r>
      <w:bookmarkEnd w:id="2628"/>
    </w:p>
    <w:p w:rsidR="004A784D" w:rsidRPr="004A784D" w:rsidRDefault="004A784D" w:rsidP="004A784D">
      <w:pPr>
        <w:spacing w:after="240"/>
        <w:jc w:val="both"/>
        <w:rPr>
          <w:noProof/>
          <w:color w:val="000000"/>
          <w:sz w:val="22"/>
        </w:rPr>
      </w:pPr>
      <w:bookmarkStart w:id="2629" w:name="_ENREF_379"/>
      <w:r w:rsidRPr="004A784D">
        <w:rPr>
          <w:noProof/>
          <w:color w:val="000000"/>
          <w:sz w:val="22"/>
        </w:rPr>
        <w:t xml:space="preserve">SESHI, B. 2007. Proteomics strategy based on liquid-phase IEF and 2-D DIGE: application to bone marrow mesenchymal progenitor cells. </w:t>
      </w:r>
      <w:r w:rsidRPr="004A784D">
        <w:rPr>
          <w:i/>
          <w:noProof/>
          <w:color w:val="000000"/>
          <w:sz w:val="22"/>
        </w:rPr>
        <w:t>Proteomics,</w:t>
      </w:r>
      <w:r w:rsidRPr="004A784D">
        <w:rPr>
          <w:noProof/>
          <w:color w:val="000000"/>
          <w:sz w:val="22"/>
        </w:rPr>
        <w:t xml:space="preserve"> 7</w:t>
      </w:r>
      <w:r w:rsidRPr="004A784D">
        <w:rPr>
          <w:b/>
          <w:noProof/>
          <w:color w:val="000000"/>
          <w:sz w:val="22"/>
        </w:rPr>
        <w:t>,</w:t>
      </w:r>
      <w:r w:rsidRPr="004A784D">
        <w:rPr>
          <w:noProof/>
          <w:color w:val="000000"/>
          <w:sz w:val="22"/>
        </w:rPr>
        <w:t xml:space="preserve"> 1984-99.</w:t>
      </w:r>
      <w:bookmarkEnd w:id="2629"/>
    </w:p>
    <w:p w:rsidR="004A784D" w:rsidRPr="004A784D" w:rsidRDefault="004A784D" w:rsidP="004A784D">
      <w:pPr>
        <w:spacing w:after="240"/>
        <w:jc w:val="both"/>
        <w:rPr>
          <w:noProof/>
          <w:color w:val="000000"/>
          <w:sz w:val="22"/>
        </w:rPr>
      </w:pPr>
      <w:bookmarkStart w:id="2630" w:name="_ENREF_380"/>
      <w:r w:rsidRPr="004A784D">
        <w:rPr>
          <w:noProof/>
          <w:color w:val="000000"/>
          <w:sz w:val="22"/>
        </w:rPr>
        <w:t xml:space="preserve">SHANAFELT, T. D. 2009. Predicting clinical outcome in CLL: how and why.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421-9.</w:t>
      </w:r>
      <w:bookmarkEnd w:id="2630"/>
    </w:p>
    <w:p w:rsidR="004A784D" w:rsidRPr="004A784D" w:rsidRDefault="004A784D" w:rsidP="004A784D">
      <w:pPr>
        <w:spacing w:after="240"/>
        <w:jc w:val="both"/>
        <w:rPr>
          <w:noProof/>
          <w:color w:val="000000"/>
          <w:sz w:val="22"/>
        </w:rPr>
      </w:pPr>
      <w:bookmarkStart w:id="2631" w:name="_ENREF_381"/>
      <w:r w:rsidRPr="004A784D">
        <w:rPr>
          <w:noProof/>
          <w:color w:val="000000"/>
          <w:sz w:val="22"/>
        </w:rPr>
        <w:t xml:space="preserve">SHANNON, E., NOVECK, R., SANDOVAL, F., KAMATH, B. &amp; KEARNEY, M. 2007. Thalidomide suppressed interleukin-6 but not tumor necrosis factor-alpha in volunteers with experimental endotoxemia. </w:t>
      </w:r>
      <w:r w:rsidRPr="004A784D">
        <w:rPr>
          <w:i/>
          <w:noProof/>
          <w:color w:val="000000"/>
          <w:sz w:val="22"/>
        </w:rPr>
        <w:t>Transl Res,</w:t>
      </w:r>
      <w:r w:rsidRPr="004A784D">
        <w:rPr>
          <w:noProof/>
          <w:color w:val="000000"/>
          <w:sz w:val="22"/>
        </w:rPr>
        <w:t xml:space="preserve"> 150</w:t>
      </w:r>
      <w:r w:rsidRPr="004A784D">
        <w:rPr>
          <w:b/>
          <w:noProof/>
          <w:color w:val="000000"/>
          <w:sz w:val="22"/>
        </w:rPr>
        <w:t>,</w:t>
      </w:r>
      <w:r w:rsidRPr="004A784D">
        <w:rPr>
          <w:noProof/>
          <w:color w:val="000000"/>
          <w:sz w:val="22"/>
        </w:rPr>
        <w:t xml:space="preserve"> 275-80.</w:t>
      </w:r>
      <w:bookmarkEnd w:id="2631"/>
    </w:p>
    <w:p w:rsidR="004A784D" w:rsidRPr="004A784D" w:rsidRDefault="004A784D" w:rsidP="004A784D">
      <w:pPr>
        <w:spacing w:after="240"/>
        <w:jc w:val="both"/>
        <w:rPr>
          <w:noProof/>
          <w:color w:val="000000"/>
          <w:sz w:val="22"/>
        </w:rPr>
      </w:pPr>
      <w:bookmarkStart w:id="2632" w:name="_ENREF_382"/>
      <w:r w:rsidRPr="004A784D">
        <w:rPr>
          <w:noProof/>
          <w:color w:val="000000"/>
          <w:sz w:val="22"/>
        </w:rPr>
        <w:t xml:space="preserve">SHAW, J., ROWLINSON, R., NICKSON, J., STONE, T., SWEET, A., WILLIAMS, K. &amp; TONGE, R. 2003. Evaluation of saturation labelling two-dimensional difference gel electrophoresis fluorescent dyes. </w:t>
      </w:r>
      <w:r w:rsidRPr="004A784D">
        <w:rPr>
          <w:i/>
          <w:noProof/>
          <w:color w:val="000000"/>
          <w:sz w:val="22"/>
        </w:rPr>
        <w:t>Proteomics,</w:t>
      </w:r>
      <w:r w:rsidRPr="004A784D">
        <w:rPr>
          <w:noProof/>
          <w:color w:val="000000"/>
          <w:sz w:val="22"/>
        </w:rPr>
        <w:t xml:space="preserve"> 3</w:t>
      </w:r>
      <w:r w:rsidRPr="004A784D">
        <w:rPr>
          <w:b/>
          <w:noProof/>
          <w:color w:val="000000"/>
          <w:sz w:val="22"/>
        </w:rPr>
        <w:t>,</w:t>
      </w:r>
      <w:r w:rsidRPr="004A784D">
        <w:rPr>
          <w:noProof/>
          <w:color w:val="000000"/>
          <w:sz w:val="22"/>
        </w:rPr>
        <w:t xml:space="preserve"> 1181-95.</w:t>
      </w:r>
      <w:bookmarkEnd w:id="2632"/>
    </w:p>
    <w:p w:rsidR="004A784D" w:rsidRPr="004A784D" w:rsidRDefault="004A784D" w:rsidP="004A784D">
      <w:pPr>
        <w:spacing w:after="240"/>
        <w:jc w:val="both"/>
        <w:rPr>
          <w:noProof/>
          <w:color w:val="000000"/>
          <w:sz w:val="22"/>
        </w:rPr>
      </w:pPr>
      <w:bookmarkStart w:id="2633" w:name="_ENREF_383"/>
      <w:r w:rsidRPr="004A784D">
        <w:rPr>
          <w:noProof/>
          <w:color w:val="000000"/>
          <w:sz w:val="22"/>
        </w:rPr>
        <w:t xml:space="preserve">SHI, M. &amp; GUO, N. 2009. MicroRNA expression and its implications for the diagnosis and therapeutic strategies of breast cancer. </w:t>
      </w:r>
      <w:r w:rsidRPr="004A784D">
        <w:rPr>
          <w:i/>
          <w:noProof/>
          <w:color w:val="000000"/>
          <w:sz w:val="22"/>
        </w:rPr>
        <w:t>Cancer Treat Rev,</w:t>
      </w:r>
      <w:r w:rsidRPr="004A784D">
        <w:rPr>
          <w:noProof/>
          <w:color w:val="000000"/>
          <w:sz w:val="22"/>
        </w:rPr>
        <w:t xml:space="preserve"> 35</w:t>
      </w:r>
      <w:r w:rsidRPr="004A784D">
        <w:rPr>
          <w:b/>
          <w:noProof/>
          <w:color w:val="000000"/>
          <w:sz w:val="22"/>
        </w:rPr>
        <w:t>,</w:t>
      </w:r>
      <w:r w:rsidRPr="004A784D">
        <w:rPr>
          <w:noProof/>
          <w:color w:val="000000"/>
          <w:sz w:val="22"/>
        </w:rPr>
        <w:t xml:space="preserve"> 328-34.</w:t>
      </w:r>
      <w:bookmarkEnd w:id="2633"/>
    </w:p>
    <w:p w:rsidR="004A784D" w:rsidRPr="004A784D" w:rsidRDefault="004A784D" w:rsidP="004A784D">
      <w:pPr>
        <w:spacing w:after="240"/>
        <w:jc w:val="both"/>
        <w:rPr>
          <w:noProof/>
          <w:color w:val="000000"/>
          <w:sz w:val="22"/>
        </w:rPr>
      </w:pPr>
      <w:bookmarkStart w:id="2634" w:name="_ENREF_384"/>
      <w:r w:rsidRPr="004A784D">
        <w:rPr>
          <w:noProof/>
          <w:color w:val="000000"/>
          <w:sz w:val="22"/>
        </w:rPr>
        <w:t xml:space="preserve">SHIRAI, Y., SOGAWA, K., YAMAGUCHI, T., SUDO, K., NAKAGAWA, A., SAKAI, Y., ISHIHARA, T., SUNAGA, M., NEZU, M., TOMONAGA, T., MIYAZAKI, M., SAISHO, H. &amp; NOMURA, F. 2008. Protein profiling in pancreatic juice for detection of intraductal papillary mucinous neoplasm of the pancreas. </w:t>
      </w:r>
      <w:r w:rsidRPr="004A784D">
        <w:rPr>
          <w:i/>
          <w:noProof/>
          <w:color w:val="000000"/>
          <w:sz w:val="22"/>
        </w:rPr>
        <w:t>Hepatogastroenterology,</w:t>
      </w:r>
      <w:r w:rsidRPr="004A784D">
        <w:rPr>
          <w:noProof/>
          <w:color w:val="000000"/>
          <w:sz w:val="22"/>
        </w:rPr>
        <w:t xml:space="preserve"> 55</w:t>
      </w:r>
      <w:r w:rsidRPr="004A784D">
        <w:rPr>
          <w:b/>
          <w:noProof/>
          <w:color w:val="000000"/>
          <w:sz w:val="22"/>
        </w:rPr>
        <w:t>,</w:t>
      </w:r>
      <w:r w:rsidRPr="004A784D">
        <w:rPr>
          <w:noProof/>
          <w:color w:val="000000"/>
          <w:sz w:val="22"/>
        </w:rPr>
        <w:t xml:space="preserve"> 1824-9.</w:t>
      </w:r>
      <w:bookmarkEnd w:id="2634"/>
    </w:p>
    <w:p w:rsidR="004A784D" w:rsidRPr="004A784D" w:rsidRDefault="004A784D" w:rsidP="004A784D">
      <w:pPr>
        <w:spacing w:after="240"/>
        <w:jc w:val="both"/>
        <w:rPr>
          <w:noProof/>
          <w:color w:val="000000"/>
          <w:sz w:val="22"/>
        </w:rPr>
      </w:pPr>
      <w:bookmarkStart w:id="2635" w:name="_ENREF_385"/>
      <w:r w:rsidRPr="004A784D">
        <w:rPr>
          <w:noProof/>
          <w:color w:val="000000"/>
          <w:sz w:val="22"/>
        </w:rPr>
        <w:t xml:space="preserve">SHORTT, C. P., GLEESON, T. G., BREEN, K. A., MCHUGH, J., O'CONNELL, M. J., O'GORMAN, P. J. &amp; EUSTACE, S. J. 2009. Whole-Body MRI versus PET in assessment of multiple myeloma disease activity. </w:t>
      </w:r>
      <w:r w:rsidRPr="004A784D">
        <w:rPr>
          <w:i/>
          <w:noProof/>
          <w:color w:val="000000"/>
          <w:sz w:val="22"/>
        </w:rPr>
        <w:t>AJR Am J Roentgenol,</w:t>
      </w:r>
      <w:r w:rsidRPr="004A784D">
        <w:rPr>
          <w:noProof/>
          <w:color w:val="000000"/>
          <w:sz w:val="22"/>
        </w:rPr>
        <w:t xml:space="preserve"> 192</w:t>
      </w:r>
      <w:r w:rsidRPr="004A784D">
        <w:rPr>
          <w:b/>
          <w:noProof/>
          <w:color w:val="000000"/>
          <w:sz w:val="22"/>
        </w:rPr>
        <w:t>,</w:t>
      </w:r>
      <w:r w:rsidRPr="004A784D">
        <w:rPr>
          <w:noProof/>
          <w:color w:val="000000"/>
          <w:sz w:val="22"/>
        </w:rPr>
        <w:t xml:space="preserve"> 980-6.</w:t>
      </w:r>
      <w:bookmarkEnd w:id="2635"/>
    </w:p>
    <w:p w:rsidR="004A784D" w:rsidRPr="004A784D" w:rsidRDefault="004A784D" w:rsidP="004A784D">
      <w:pPr>
        <w:spacing w:after="240"/>
        <w:jc w:val="both"/>
        <w:rPr>
          <w:noProof/>
          <w:color w:val="000000"/>
          <w:sz w:val="22"/>
        </w:rPr>
      </w:pPr>
      <w:bookmarkStart w:id="2636" w:name="_ENREF_386"/>
      <w:r w:rsidRPr="004A784D">
        <w:rPr>
          <w:noProof/>
          <w:color w:val="000000"/>
          <w:sz w:val="22"/>
        </w:rPr>
        <w:t xml:space="preserve">SIGNORETTI, S., BRATSLAVSKY, G., WALDMAN, F. M., REUTER, V. E., HAAGA, J., MERINO, M., THOMAS, G. V., PINS, M. R., LIBERMANN, T., GILLESPIE, J., TOMASZEWSKI, J. E., COMPTON, C. C., HRUSZKEWYCZ, A., LINEHAN, W. M. &amp; ATKINS, M. B. 2008. Tissue-based research in kidney cancer: current challenges and future directions. </w:t>
      </w:r>
      <w:r w:rsidRPr="004A784D">
        <w:rPr>
          <w:i/>
          <w:noProof/>
          <w:color w:val="000000"/>
          <w:sz w:val="22"/>
        </w:rPr>
        <w:t>Clin Cancer Res,</w:t>
      </w:r>
      <w:r w:rsidRPr="004A784D">
        <w:rPr>
          <w:noProof/>
          <w:color w:val="000000"/>
          <w:sz w:val="22"/>
        </w:rPr>
        <w:t xml:space="preserve"> 14</w:t>
      </w:r>
      <w:r w:rsidRPr="004A784D">
        <w:rPr>
          <w:b/>
          <w:noProof/>
          <w:color w:val="000000"/>
          <w:sz w:val="22"/>
        </w:rPr>
        <w:t>,</w:t>
      </w:r>
      <w:r w:rsidRPr="004A784D">
        <w:rPr>
          <w:noProof/>
          <w:color w:val="000000"/>
          <w:sz w:val="22"/>
        </w:rPr>
        <w:t xml:space="preserve"> 3699-705.</w:t>
      </w:r>
      <w:bookmarkEnd w:id="2636"/>
    </w:p>
    <w:p w:rsidR="004A784D" w:rsidRPr="004A784D" w:rsidRDefault="004A784D" w:rsidP="004A784D">
      <w:pPr>
        <w:spacing w:after="240"/>
        <w:jc w:val="both"/>
        <w:rPr>
          <w:noProof/>
          <w:color w:val="000000"/>
          <w:sz w:val="22"/>
        </w:rPr>
      </w:pPr>
      <w:bookmarkStart w:id="2637" w:name="_ENREF_387"/>
      <w:r w:rsidRPr="004A784D">
        <w:rPr>
          <w:noProof/>
          <w:color w:val="000000"/>
          <w:sz w:val="22"/>
        </w:rPr>
        <w:t xml:space="preserve">SINGHAL, S. &amp; MEHTA, J. 2002. Thalidomide in cancer. </w:t>
      </w:r>
      <w:r w:rsidRPr="004A784D">
        <w:rPr>
          <w:i/>
          <w:noProof/>
          <w:color w:val="000000"/>
          <w:sz w:val="22"/>
        </w:rPr>
        <w:t>Biomed Pharmacother,</w:t>
      </w:r>
      <w:r w:rsidRPr="004A784D">
        <w:rPr>
          <w:noProof/>
          <w:color w:val="000000"/>
          <w:sz w:val="22"/>
        </w:rPr>
        <w:t xml:space="preserve"> 56</w:t>
      </w:r>
      <w:r w:rsidRPr="004A784D">
        <w:rPr>
          <w:b/>
          <w:noProof/>
          <w:color w:val="000000"/>
          <w:sz w:val="22"/>
        </w:rPr>
        <w:t>,</w:t>
      </w:r>
      <w:r w:rsidRPr="004A784D">
        <w:rPr>
          <w:noProof/>
          <w:color w:val="000000"/>
          <w:sz w:val="22"/>
        </w:rPr>
        <w:t xml:space="preserve"> 4-12.</w:t>
      </w:r>
      <w:bookmarkEnd w:id="2637"/>
    </w:p>
    <w:p w:rsidR="004A784D" w:rsidRPr="004A784D" w:rsidRDefault="004A784D" w:rsidP="004A784D">
      <w:pPr>
        <w:spacing w:after="240"/>
        <w:jc w:val="both"/>
        <w:rPr>
          <w:noProof/>
          <w:color w:val="000000"/>
          <w:sz w:val="22"/>
        </w:rPr>
      </w:pPr>
      <w:bookmarkStart w:id="2638" w:name="_ENREF_388"/>
      <w:r w:rsidRPr="004A784D">
        <w:rPr>
          <w:noProof/>
          <w:color w:val="000000"/>
          <w:sz w:val="22"/>
        </w:rPr>
        <w:t xml:space="preserve">SINGHAL, S., MEHTA, J., DESIKAN, R., AYERS, D., ROBERSON, P., EDDLEMON, P., MUNSHI, N., ANAISSIE, E., WILSON, C., DHODAPKAR, M., ZEDDIS, J. &amp; BARLOGIE, B. 1999. Antitumor activity of thalidomide in refractory multiple myeloma. </w:t>
      </w:r>
      <w:r w:rsidRPr="004A784D">
        <w:rPr>
          <w:i/>
          <w:noProof/>
          <w:color w:val="000000"/>
          <w:sz w:val="22"/>
        </w:rPr>
        <w:t>N Engl J Med,</w:t>
      </w:r>
      <w:r w:rsidRPr="004A784D">
        <w:rPr>
          <w:noProof/>
          <w:color w:val="000000"/>
          <w:sz w:val="22"/>
        </w:rPr>
        <w:t xml:space="preserve"> 341</w:t>
      </w:r>
      <w:r w:rsidRPr="004A784D">
        <w:rPr>
          <w:b/>
          <w:noProof/>
          <w:color w:val="000000"/>
          <w:sz w:val="22"/>
        </w:rPr>
        <w:t>,</w:t>
      </w:r>
      <w:r w:rsidRPr="004A784D">
        <w:rPr>
          <w:noProof/>
          <w:color w:val="000000"/>
          <w:sz w:val="22"/>
        </w:rPr>
        <w:t xml:space="preserve"> 1565-71.</w:t>
      </w:r>
      <w:bookmarkEnd w:id="2638"/>
    </w:p>
    <w:p w:rsidR="004A784D" w:rsidRPr="004A784D" w:rsidRDefault="004A784D" w:rsidP="004A784D">
      <w:pPr>
        <w:spacing w:after="240"/>
        <w:jc w:val="both"/>
        <w:rPr>
          <w:noProof/>
          <w:color w:val="000000"/>
          <w:sz w:val="22"/>
        </w:rPr>
      </w:pPr>
      <w:bookmarkStart w:id="2639" w:name="_ENREF_389"/>
      <w:r w:rsidRPr="004A784D">
        <w:rPr>
          <w:noProof/>
          <w:color w:val="000000"/>
          <w:sz w:val="22"/>
        </w:rPr>
        <w:t xml:space="preserve">SIROHI, B., POWLES, R., KULKARNI, S., RUDIN, C., SASO, R., LAL, R., SINGHAL, S., MEHTA, J., HORTON, C. &amp; TRELEAVEN, J. 2001. Comparison of new patients with Bence-Jones, IgG and IgA myeloma receiving sequential therapy: the need to regard these immunologic subtypes as separate disease entities with specific prognostic criteria. </w:t>
      </w:r>
      <w:r w:rsidRPr="004A784D">
        <w:rPr>
          <w:i/>
          <w:noProof/>
          <w:color w:val="000000"/>
          <w:sz w:val="22"/>
        </w:rPr>
        <w:t>Bone Marrow Transplant,</w:t>
      </w:r>
      <w:r w:rsidRPr="004A784D">
        <w:rPr>
          <w:noProof/>
          <w:color w:val="000000"/>
          <w:sz w:val="22"/>
        </w:rPr>
        <w:t xml:space="preserve"> 28</w:t>
      </w:r>
      <w:r w:rsidRPr="004A784D">
        <w:rPr>
          <w:b/>
          <w:noProof/>
          <w:color w:val="000000"/>
          <w:sz w:val="22"/>
        </w:rPr>
        <w:t>,</w:t>
      </w:r>
      <w:r w:rsidRPr="004A784D">
        <w:rPr>
          <w:noProof/>
          <w:color w:val="000000"/>
          <w:sz w:val="22"/>
        </w:rPr>
        <w:t xml:space="preserve"> 29-37.</w:t>
      </w:r>
      <w:bookmarkEnd w:id="2639"/>
    </w:p>
    <w:p w:rsidR="004A784D" w:rsidRPr="004A784D" w:rsidRDefault="004A784D" w:rsidP="004A784D">
      <w:pPr>
        <w:spacing w:after="240"/>
        <w:jc w:val="both"/>
        <w:rPr>
          <w:noProof/>
          <w:color w:val="000000"/>
          <w:sz w:val="22"/>
        </w:rPr>
      </w:pPr>
      <w:bookmarkStart w:id="2640" w:name="_ENREF_390"/>
      <w:r w:rsidRPr="004A784D">
        <w:rPr>
          <w:noProof/>
          <w:color w:val="000000"/>
          <w:sz w:val="22"/>
        </w:rPr>
        <w:t xml:space="preserve">SJOHOLT, G., BEDRINGAAS, S. L., DOSKELAND, A. P. &amp; GJERTSEN, B. T. 2006. Proteomic strategies for individualizing therapy of acute myeloid leukemia (AML). </w:t>
      </w:r>
      <w:r w:rsidRPr="004A784D">
        <w:rPr>
          <w:i/>
          <w:noProof/>
          <w:color w:val="000000"/>
          <w:sz w:val="22"/>
        </w:rPr>
        <w:t>Curr Pharm Biotechnol,</w:t>
      </w:r>
      <w:r w:rsidRPr="004A784D">
        <w:rPr>
          <w:noProof/>
          <w:color w:val="000000"/>
          <w:sz w:val="22"/>
        </w:rPr>
        <w:t xml:space="preserve"> 7</w:t>
      </w:r>
      <w:r w:rsidRPr="004A784D">
        <w:rPr>
          <w:b/>
          <w:noProof/>
          <w:color w:val="000000"/>
          <w:sz w:val="22"/>
        </w:rPr>
        <w:t>,</w:t>
      </w:r>
      <w:r w:rsidRPr="004A784D">
        <w:rPr>
          <w:noProof/>
          <w:color w:val="000000"/>
          <w:sz w:val="22"/>
        </w:rPr>
        <w:t xml:space="preserve"> 159-70.</w:t>
      </w:r>
      <w:bookmarkEnd w:id="2640"/>
    </w:p>
    <w:p w:rsidR="004A784D" w:rsidRPr="004A784D" w:rsidRDefault="004A784D" w:rsidP="004A784D">
      <w:pPr>
        <w:spacing w:after="240"/>
        <w:jc w:val="both"/>
        <w:rPr>
          <w:noProof/>
          <w:color w:val="000000"/>
          <w:sz w:val="22"/>
        </w:rPr>
      </w:pPr>
      <w:bookmarkStart w:id="2641" w:name="_ENREF_391"/>
      <w:r w:rsidRPr="004A784D">
        <w:rPr>
          <w:noProof/>
          <w:color w:val="000000"/>
          <w:sz w:val="22"/>
        </w:rPr>
        <w:t xml:space="preserve">SLATTERY, M. L., CURTIN, K., SWEENEY, C., WOLFF, R. K., BAUMGARTNER, R. N., BAUMGARTNER, K. B., GIULIANO, A. R. &amp; BYERS, T. 2008. Modifying effects of IL-6 polymorphisms on body size-associated breast cancer risk. </w:t>
      </w:r>
      <w:r w:rsidRPr="004A784D">
        <w:rPr>
          <w:i/>
          <w:noProof/>
          <w:color w:val="000000"/>
          <w:sz w:val="22"/>
        </w:rPr>
        <w:t>Obesity (Silver Spring),</w:t>
      </w:r>
      <w:r w:rsidRPr="004A784D">
        <w:rPr>
          <w:noProof/>
          <w:color w:val="000000"/>
          <w:sz w:val="22"/>
        </w:rPr>
        <w:t xml:space="preserve"> 16</w:t>
      </w:r>
      <w:r w:rsidRPr="004A784D">
        <w:rPr>
          <w:b/>
          <w:noProof/>
          <w:color w:val="000000"/>
          <w:sz w:val="22"/>
        </w:rPr>
        <w:t>,</w:t>
      </w:r>
      <w:r w:rsidRPr="004A784D">
        <w:rPr>
          <w:noProof/>
          <w:color w:val="000000"/>
          <w:sz w:val="22"/>
        </w:rPr>
        <w:t xml:space="preserve"> 339-47.</w:t>
      </w:r>
      <w:bookmarkEnd w:id="2641"/>
    </w:p>
    <w:p w:rsidR="004A784D" w:rsidRPr="004A784D" w:rsidRDefault="004A784D" w:rsidP="004A784D">
      <w:pPr>
        <w:spacing w:after="240"/>
        <w:jc w:val="both"/>
        <w:rPr>
          <w:noProof/>
          <w:color w:val="000000"/>
          <w:sz w:val="22"/>
        </w:rPr>
      </w:pPr>
      <w:bookmarkStart w:id="2642" w:name="_ENREF_392"/>
      <w:r w:rsidRPr="004A784D">
        <w:rPr>
          <w:noProof/>
          <w:color w:val="000000"/>
          <w:sz w:val="22"/>
        </w:rPr>
        <w:lastRenderedPageBreak/>
        <w:t xml:space="preserve">SNOZEK, C. L., KATZMANN, J. A., KYLE, R. A., DISPENZIERI, A., LARSON, D. R., THERNEAU, T. M., MELTON, L. J., 3RD, KUMAR, S., GREIPP, P. R., CLARK, R. J. &amp; RAJKUMAR, S. V. 2008. Prognostic value of the serum free light chain ratio in newly diagnosed myeloma: proposed incorporation into the international staging system. </w:t>
      </w:r>
      <w:r w:rsidRPr="004A784D">
        <w:rPr>
          <w:i/>
          <w:noProof/>
          <w:color w:val="000000"/>
          <w:sz w:val="22"/>
        </w:rPr>
        <w:t>Leukemia,</w:t>
      </w:r>
      <w:r w:rsidRPr="004A784D">
        <w:rPr>
          <w:noProof/>
          <w:color w:val="000000"/>
          <w:sz w:val="22"/>
        </w:rPr>
        <w:t xml:space="preserve"> 22</w:t>
      </w:r>
      <w:r w:rsidRPr="004A784D">
        <w:rPr>
          <w:b/>
          <w:noProof/>
          <w:color w:val="000000"/>
          <w:sz w:val="22"/>
        </w:rPr>
        <w:t>,</w:t>
      </w:r>
      <w:r w:rsidRPr="004A784D">
        <w:rPr>
          <w:noProof/>
          <w:color w:val="000000"/>
          <w:sz w:val="22"/>
        </w:rPr>
        <w:t xml:space="preserve"> 1933-7.</w:t>
      </w:r>
      <w:bookmarkEnd w:id="2642"/>
    </w:p>
    <w:p w:rsidR="004A784D" w:rsidRPr="004A784D" w:rsidRDefault="004A784D" w:rsidP="004A784D">
      <w:pPr>
        <w:spacing w:after="240"/>
        <w:jc w:val="both"/>
        <w:rPr>
          <w:noProof/>
          <w:color w:val="000000"/>
          <w:sz w:val="22"/>
        </w:rPr>
      </w:pPr>
      <w:bookmarkStart w:id="2643" w:name="_ENREF_393"/>
      <w:r w:rsidRPr="004A784D">
        <w:rPr>
          <w:noProof/>
          <w:color w:val="000000"/>
          <w:sz w:val="22"/>
        </w:rPr>
        <w:t xml:space="preserve">SOBIN, L. H. 2003. TNM: evolution and relation to other prognostic factors. </w:t>
      </w:r>
      <w:r w:rsidRPr="004A784D">
        <w:rPr>
          <w:i/>
          <w:noProof/>
          <w:color w:val="000000"/>
          <w:sz w:val="22"/>
        </w:rPr>
        <w:t>Semin Surg Oncol,</w:t>
      </w:r>
      <w:r w:rsidRPr="004A784D">
        <w:rPr>
          <w:noProof/>
          <w:color w:val="000000"/>
          <w:sz w:val="22"/>
        </w:rPr>
        <w:t xml:space="preserve"> 21</w:t>
      </w:r>
      <w:r w:rsidRPr="004A784D">
        <w:rPr>
          <w:b/>
          <w:noProof/>
          <w:color w:val="000000"/>
          <w:sz w:val="22"/>
        </w:rPr>
        <w:t>,</w:t>
      </w:r>
      <w:r w:rsidRPr="004A784D">
        <w:rPr>
          <w:noProof/>
          <w:color w:val="000000"/>
          <w:sz w:val="22"/>
        </w:rPr>
        <w:t xml:space="preserve"> 3-7.</w:t>
      </w:r>
      <w:bookmarkEnd w:id="2643"/>
    </w:p>
    <w:p w:rsidR="004A784D" w:rsidRPr="004A784D" w:rsidRDefault="004A784D" w:rsidP="004A784D">
      <w:pPr>
        <w:spacing w:after="240"/>
        <w:jc w:val="both"/>
        <w:rPr>
          <w:noProof/>
          <w:color w:val="000000"/>
          <w:sz w:val="22"/>
        </w:rPr>
      </w:pPr>
      <w:bookmarkStart w:id="2644" w:name="_ENREF_394"/>
      <w:r w:rsidRPr="004A784D">
        <w:rPr>
          <w:noProof/>
          <w:color w:val="000000"/>
          <w:sz w:val="22"/>
        </w:rPr>
        <w:t xml:space="preserve">SOLAL-CELIGNY, P. 2005. Prognosis of follicular lymphomas. </w:t>
      </w:r>
      <w:r w:rsidRPr="004A784D">
        <w:rPr>
          <w:i/>
          <w:noProof/>
          <w:color w:val="000000"/>
          <w:sz w:val="22"/>
        </w:rPr>
        <w:t>Clin Lymphoma,</w:t>
      </w:r>
      <w:r w:rsidRPr="004A784D">
        <w:rPr>
          <w:noProof/>
          <w:color w:val="000000"/>
          <w:sz w:val="22"/>
        </w:rPr>
        <w:t xml:space="preserve"> 6</w:t>
      </w:r>
      <w:r w:rsidRPr="004A784D">
        <w:rPr>
          <w:b/>
          <w:noProof/>
          <w:color w:val="000000"/>
          <w:sz w:val="22"/>
        </w:rPr>
        <w:t>,</w:t>
      </w:r>
      <w:r w:rsidRPr="004A784D">
        <w:rPr>
          <w:noProof/>
          <w:color w:val="000000"/>
          <w:sz w:val="22"/>
        </w:rPr>
        <w:t xml:space="preserve"> 21-5.</w:t>
      </w:r>
      <w:bookmarkEnd w:id="2644"/>
    </w:p>
    <w:p w:rsidR="004A784D" w:rsidRPr="004A784D" w:rsidRDefault="004A784D" w:rsidP="004A784D">
      <w:pPr>
        <w:spacing w:after="240"/>
        <w:jc w:val="both"/>
        <w:rPr>
          <w:noProof/>
          <w:color w:val="000000"/>
          <w:sz w:val="22"/>
        </w:rPr>
      </w:pPr>
      <w:bookmarkStart w:id="2645" w:name="_ENREF_395"/>
      <w:r w:rsidRPr="004A784D">
        <w:rPr>
          <w:noProof/>
          <w:color w:val="000000"/>
          <w:sz w:val="22"/>
        </w:rPr>
        <w:t xml:space="preserve">SOLAL-CELIGNY, P. 2006. Follicular Lymphoma International Prognostic Index. </w:t>
      </w:r>
      <w:r w:rsidRPr="004A784D">
        <w:rPr>
          <w:i/>
          <w:noProof/>
          <w:color w:val="000000"/>
          <w:sz w:val="22"/>
        </w:rPr>
        <w:t>Curr Treat Options Oncol,</w:t>
      </w:r>
      <w:r w:rsidRPr="004A784D">
        <w:rPr>
          <w:noProof/>
          <w:color w:val="000000"/>
          <w:sz w:val="22"/>
        </w:rPr>
        <w:t xml:space="preserve"> 7</w:t>
      </w:r>
      <w:r w:rsidRPr="004A784D">
        <w:rPr>
          <w:b/>
          <w:noProof/>
          <w:color w:val="000000"/>
          <w:sz w:val="22"/>
        </w:rPr>
        <w:t>,</w:t>
      </w:r>
      <w:r w:rsidRPr="004A784D">
        <w:rPr>
          <w:noProof/>
          <w:color w:val="000000"/>
          <w:sz w:val="22"/>
        </w:rPr>
        <w:t xml:space="preserve"> 270-5.</w:t>
      </w:r>
      <w:bookmarkEnd w:id="2645"/>
    </w:p>
    <w:p w:rsidR="004A784D" w:rsidRPr="004A784D" w:rsidRDefault="004A784D" w:rsidP="004A784D">
      <w:pPr>
        <w:spacing w:after="240"/>
        <w:jc w:val="both"/>
        <w:rPr>
          <w:noProof/>
          <w:color w:val="000000"/>
          <w:sz w:val="22"/>
        </w:rPr>
      </w:pPr>
      <w:bookmarkStart w:id="2646" w:name="_ENREF_396"/>
      <w:r w:rsidRPr="004A784D">
        <w:rPr>
          <w:noProof/>
          <w:color w:val="000000"/>
          <w:sz w:val="22"/>
        </w:rPr>
        <w:t xml:space="preserve">SOLOMON, K. R. &amp; FREEMAN, M. R. 2011. The complex interplay between cholesterol and prostate malignancy. </w:t>
      </w:r>
      <w:r w:rsidRPr="004A784D">
        <w:rPr>
          <w:i/>
          <w:noProof/>
          <w:color w:val="000000"/>
          <w:sz w:val="22"/>
        </w:rPr>
        <w:t>Urol Clin North Am,</w:t>
      </w:r>
      <w:r w:rsidRPr="004A784D">
        <w:rPr>
          <w:noProof/>
          <w:color w:val="000000"/>
          <w:sz w:val="22"/>
        </w:rPr>
        <w:t xml:space="preserve"> 38</w:t>
      </w:r>
      <w:r w:rsidRPr="004A784D">
        <w:rPr>
          <w:b/>
          <w:noProof/>
          <w:color w:val="000000"/>
          <w:sz w:val="22"/>
        </w:rPr>
        <w:t>,</w:t>
      </w:r>
      <w:r w:rsidRPr="004A784D">
        <w:rPr>
          <w:noProof/>
          <w:color w:val="000000"/>
          <w:sz w:val="22"/>
        </w:rPr>
        <w:t xml:space="preserve"> 243-59.</w:t>
      </w:r>
      <w:bookmarkEnd w:id="2646"/>
    </w:p>
    <w:p w:rsidR="004A784D" w:rsidRPr="004A784D" w:rsidRDefault="004A784D" w:rsidP="004A784D">
      <w:pPr>
        <w:spacing w:after="240"/>
        <w:jc w:val="both"/>
        <w:rPr>
          <w:noProof/>
          <w:color w:val="000000"/>
          <w:sz w:val="22"/>
        </w:rPr>
      </w:pPr>
      <w:bookmarkStart w:id="2647" w:name="_ENREF_397"/>
      <w:r w:rsidRPr="004A784D">
        <w:rPr>
          <w:noProof/>
          <w:color w:val="000000"/>
          <w:sz w:val="22"/>
        </w:rPr>
        <w:t xml:space="preserve">SOREIDE, K., KORNER, H. &amp; SOREIDE, J. A. 2011. Diagnostic accuracy and receiver-operating characteristics curve analysis in surgical research and decision making. </w:t>
      </w:r>
      <w:r w:rsidRPr="004A784D">
        <w:rPr>
          <w:i/>
          <w:noProof/>
          <w:color w:val="000000"/>
          <w:sz w:val="22"/>
        </w:rPr>
        <w:t>Ann Surg,</w:t>
      </w:r>
      <w:r w:rsidRPr="004A784D">
        <w:rPr>
          <w:noProof/>
          <w:color w:val="000000"/>
          <w:sz w:val="22"/>
        </w:rPr>
        <w:t xml:space="preserve"> 253</w:t>
      </w:r>
      <w:r w:rsidRPr="004A784D">
        <w:rPr>
          <w:b/>
          <w:noProof/>
          <w:color w:val="000000"/>
          <w:sz w:val="22"/>
        </w:rPr>
        <w:t>,</w:t>
      </w:r>
      <w:r w:rsidRPr="004A784D">
        <w:rPr>
          <w:noProof/>
          <w:color w:val="000000"/>
          <w:sz w:val="22"/>
        </w:rPr>
        <w:t xml:space="preserve"> 27-34.</w:t>
      </w:r>
      <w:bookmarkEnd w:id="2647"/>
    </w:p>
    <w:p w:rsidR="004A784D" w:rsidRPr="004A784D" w:rsidRDefault="004A784D" w:rsidP="004A784D">
      <w:pPr>
        <w:spacing w:after="240"/>
        <w:jc w:val="both"/>
        <w:rPr>
          <w:noProof/>
          <w:color w:val="000000"/>
          <w:sz w:val="22"/>
        </w:rPr>
      </w:pPr>
      <w:bookmarkStart w:id="2648" w:name="_ENREF_398"/>
      <w:r w:rsidRPr="004A784D">
        <w:rPr>
          <w:noProof/>
          <w:color w:val="000000"/>
          <w:sz w:val="22"/>
        </w:rPr>
        <w:t xml:space="preserve">SPRYNSKI, A. C., HOSE, D., CAILLOT, L., REME, T., SHAUGHNESSY, J. D., JR., BARLOGIE, B., SECKINGER, A., MOREAUX, J., HUNDEMER, M., JOURDAN, M., MEISSNER, T., JAUCH, A., MAHTOUK, K., KASSAMBARA, A., BERTSCH, U., ROSSI, J. F., GOLDSCHMIDT, H. &amp; KLEIN, B. 2009. The role of IGF-1 as a major growth factor for myeloma cell lines and the prognostic relevance of the expression of its receptor. </w:t>
      </w:r>
      <w:r w:rsidRPr="004A784D">
        <w:rPr>
          <w:i/>
          <w:noProof/>
          <w:color w:val="000000"/>
          <w:sz w:val="22"/>
        </w:rPr>
        <w:t>Blood,</w:t>
      </w:r>
      <w:r w:rsidRPr="004A784D">
        <w:rPr>
          <w:noProof/>
          <w:color w:val="000000"/>
          <w:sz w:val="22"/>
        </w:rPr>
        <w:t xml:space="preserve"> 113</w:t>
      </w:r>
      <w:r w:rsidRPr="004A784D">
        <w:rPr>
          <w:b/>
          <w:noProof/>
          <w:color w:val="000000"/>
          <w:sz w:val="22"/>
        </w:rPr>
        <w:t>,</w:t>
      </w:r>
      <w:r w:rsidRPr="004A784D">
        <w:rPr>
          <w:noProof/>
          <w:color w:val="000000"/>
          <w:sz w:val="22"/>
        </w:rPr>
        <w:t xml:space="preserve"> 4614-26.</w:t>
      </w:r>
      <w:bookmarkEnd w:id="2648"/>
    </w:p>
    <w:p w:rsidR="004A784D" w:rsidRPr="004A784D" w:rsidRDefault="004A784D" w:rsidP="004A784D">
      <w:pPr>
        <w:spacing w:after="240"/>
        <w:jc w:val="both"/>
        <w:rPr>
          <w:noProof/>
          <w:color w:val="000000"/>
          <w:sz w:val="22"/>
        </w:rPr>
      </w:pPr>
      <w:bookmarkStart w:id="2649" w:name="_ENREF_399"/>
      <w:r w:rsidRPr="004A784D">
        <w:rPr>
          <w:noProof/>
          <w:color w:val="000000"/>
          <w:sz w:val="22"/>
        </w:rPr>
        <w:t xml:space="preserve">SRESELI, R. T., BINDER, H., KUHN, M., DIGEL, W., VEELKEN, H., SIENEL, W., PASSLICK, B., SCHUMACHER, M., MARTENS, U. M. &amp; ZIMMERMANN, S. 2010. Identification of a 17-protein signature in the serum of lung cancer patients. </w:t>
      </w:r>
      <w:r w:rsidRPr="004A784D">
        <w:rPr>
          <w:i/>
          <w:noProof/>
          <w:color w:val="000000"/>
          <w:sz w:val="22"/>
        </w:rPr>
        <w:t>Oncol Rep,</w:t>
      </w:r>
      <w:r w:rsidRPr="004A784D">
        <w:rPr>
          <w:noProof/>
          <w:color w:val="000000"/>
          <w:sz w:val="22"/>
        </w:rPr>
        <w:t xml:space="preserve"> 24</w:t>
      </w:r>
      <w:r w:rsidRPr="004A784D">
        <w:rPr>
          <w:b/>
          <w:noProof/>
          <w:color w:val="000000"/>
          <w:sz w:val="22"/>
        </w:rPr>
        <w:t>,</w:t>
      </w:r>
      <w:r w:rsidRPr="004A784D">
        <w:rPr>
          <w:noProof/>
          <w:color w:val="000000"/>
          <w:sz w:val="22"/>
        </w:rPr>
        <w:t xml:space="preserve"> 263-70.</w:t>
      </w:r>
      <w:bookmarkEnd w:id="2649"/>
    </w:p>
    <w:p w:rsidR="004A784D" w:rsidRPr="004A784D" w:rsidRDefault="004A784D" w:rsidP="004A784D">
      <w:pPr>
        <w:spacing w:after="240"/>
        <w:jc w:val="both"/>
        <w:rPr>
          <w:noProof/>
          <w:color w:val="000000"/>
          <w:sz w:val="22"/>
        </w:rPr>
      </w:pPr>
      <w:bookmarkStart w:id="2650" w:name="_ENREF_400"/>
      <w:r w:rsidRPr="004A784D">
        <w:rPr>
          <w:noProof/>
          <w:color w:val="000000"/>
          <w:sz w:val="22"/>
        </w:rPr>
        <w:t xml:space="preserve">SRIVASTAVA, S. &amp; GOPAL-SRIVASTAVA, R. 2002. Biomarkers in cancer screening: a public health perspective. </w:t>
      </w:r>
      <w:r w:rsidRPr="004A784D">
        <w:rPr>
          <w:i/>
          <w:noProof/>
          <w:color w:val="000000"/>
          <w:sz w:val="22"/>
        </w:rPr>
        <w:t>J Nutr,</w:t>
      </w:r>
      <w:r w:rsidRPr="004A784D">
        <w:rPr>
          <w:noProof/>
          <w:color w:val="000000"/>
          <w:sz w:val="22"/>
        </w:rPr>
        <w:t xml:space="preserve"> 132</w:t>
      </w:r>
      <w:r w:rsidRPr="004A784D">
        <w:rPr>
          <w:b/>
          <w:noProof/>
          <w:color w:val="000000"/>
          <w:sz w:val="22"/>
        </w:rPr>
        <w:t>,</w:t>
      </w:r>
      <w:r w:rsidRPr="004A784D">
        <w:rPr>
          <w:noProof/>
          <w:color w:val="000000"/>
          <w:sz w:val="22"/>
        </w:rPr>
        <w:t xml:space="preserve"> 2471S-2475S.</w:t>
      </w:r>
      <w:bookmarkEnd w:id="2650"/>
    </w:p>
    <w:p w:rsidR="004A784D" w:rsidRPr="004A784D" w:rsidRDefault="004A784D" w:rsidP="004A784D">
      <w:pPr>
        <w:spacing w:after="240"/>
        <w:jc w:val="both"/>
        <w:rPr>
          <w:noProof/>
          <w:color w:val="000000"/>
          <w:sz w:val="22"/>
        </w:rPr>
      </w:pPr>
      <w:bookmarkStart w:id="2651" w:name="_ENREF_401"/>
      <w:r w:rsidRPr="004A784D">
        <w:rPr>
          <w:noProof/>
          <w:color w:val="000000"/>
          <w:sz w:val="22"/>
        </w:rPr>
        <w:t xml:space="preserve">STELLA-HOLOWIECKA, B., CZERW, T., HOLOWIECKA-GORAL, A., GIEBEL, S., WOJNAR, J. &amp; HOLOWIECKI, J. 2007. Beta-2-microglobulin level predicts outcome following autologous hematopoietic stem cell transplantation in patients with multiple myeloma. </w:t>
      </w:r>
      <w:r w:rsidRPr="004A784D">
        <w:rPr>
          <w:i/>
          <w:noProof/>
          <w:color w:val="000000"/>
          <w:sz w:val="22"/>
        </w:rPr>
        <w:t>Transplant Proc,</w:t>
      </w:r>
      <w:r w:rsidRPr="004A784D">
        <w:rPr>
          <w:noProof/>
          <w:color w:val="000000"/>
          <w:sz w:val="22"/>
        </w:rPr>
        <w:t xml:space="preserve"> 39</w:t>
      </w:r>
      <w:r w:rsidRPr="004A784D">
        <w:rPr>
          <w:b/>
          <w:noProof/>
          <w:color w:val="000000"/>
          <w:sz w:val="22"/>
        </w:rPr>
        <w:t>,</w:t>
      </w:r>
      <w:r w:rsidRPr="004A784D">
        <w:rPr>
          <w:noProof/>
          <w:color w:val="000000"/>
          <w:sz w:val="22"/>
        </w:rPr>
        <w:t xml:space="preserve"> 2893-7.</w:t>
      </w:r>
      <w:bookmarkEnd w:id="2651"/>
    </w:p>
    <w:p w:rsidR="004A784D" w:rsidRPr="004A784D" w:rsidRDefault="004A784D" w:rsidP="004A784D">
      <w:pPr>
        <w:spacing w:after="240"/>
        <w:jc w:val="both"/>
        <w:rPr>
          <w:noProof/>
          <w:color w:val="000000"/>
          <w:sz w:val="22"/>
        </w:rPr>
      </w:pPr>
      <w:bookmarkStart w:id="2652" w:name="_ENREF_402"/>
      <w:r w:rsidRPr="004A784D">
        <w:rPr>
          <w:noProof/>
          <w:color w:val="000000"/>
          <w:sz w:val="22"/>
        </w:rPr>
        <w:t xml:space="preserve">STEWART, A. K. 2009. Novel therapies for relapsed myeloma. </w:t>
      </w:r>
      <w:r w:rsidRPr="004A784D">
        <w:rPr>
          <w:i/>
          <w:noProof/>
          <w:color w:val="000000"/>
          <w:sz w:val="22"/>
        </w:rPr>
        <w:t>Hematology Am Soc Hematol Educ Program</w:t>
      </w:r>
      <w:r w:rsidRPr="004A784D">
        <w:rPr>
          <w:b/>
          <w:noProof/>
          <w:color w:val="000000"/>
          <w:sz w:val="22"/>
        </w:rPr>
        <w:t>,</w:t>
      </w:r>
      <w:r w:rsidRPr="004A784D">
        <w:rPr>
          <w:noProof/>
          <w:color w:val="000000"/>
          <w:sz w:val="22"/>
        </w:rPr>
        <w:t xml:space="preserve"> 578-86.</w:t>
      </w:r>
      <w:bookmarkEnd w:id="2652"/>
    </w:p>
    <w:p w:rsidR="004A784D" w:rsidRPr="004A784D" w:rsidRDefault="004A784D" w:rsidP="004A784D">
      <w:pPr>
        <w:spacing w:after="240"/>
        <w:jc w:val="both"/>
        <w:rPr>
          <w:noProof/>
          <w:color w:val="000000"/>
          <w:sz w:val="22"/>
        </w:rPr>
      </w:pPr>
      <w:bookmarkStart w:id="2653" w:name="_ENREF_403"/>
      <w:r w:rsidRPr="004A784D">
        <w:rPr>
          <w:noProof/>
          <w:color w:val="000000"/>
          <w:sz w:val="22"/>
        </w:rPr>
        <w:t xml:space="preserve">STIGBRAND, T., RYMO, L. &amp; LERNMARK, A. 2005. [The Medical Biobank--a unique resource for medical research]. </w:t>
      </w:r>
      <w:r w:rsidRPr="004A784D">
        <w:rPr>
          <w:i/>
          <w:noProof/>
          <w:color w:val="000000"/>
          <w:sz w:val="22"/>
        </w:rPr>
        <w:t>Lakartidningen,</w:t>
      </w:r>
      <w:r w:rsidRPr="004A784D">
        <w:rPr>
          <w:noProof/>
          <w:color w:val="000000"/>
          <w:sz w:val="22"/>
        </w:rPr>
        <w:t xml:space="preserve"> 102</w:t>
      </w:r>
      <w:r w:rsidRPr="004A784D">
        <w:rPr>
          <w:b/>
          <w:noProof/>
          <w:color w:val="000000"/>
          <w:sz w:val="22"/>
        </w:rPr>
        <w:t>,</w:t>
      </w:r>
      <w:r w:rsidRPr="004A784D">
        <w:rPr>
          <w:noProof/>
          <w:color w:val="000000"/>
          <w:sz w:val="22"/>
        </w:rPr>
        <w:t xml:space="preserve"> 2769-72.</w:t>
      </w:r>
      <w:bookmarkEnd w:id="2653"/>
    </w:p>
    <w:p w:rsidR="004A784D" w:rsidRPr="004A784D" w:rsidRDefault="004A784D" w:rsidP="004A784D">
      <w:pPr>
        <w:spacing w:after="240"/>
        <w:jc w:val="both"/>
        <w:rPr>
          <w:noProof/>
          <w:color w:val="000000"/>
          <w:sz w:val="22"/>
        </w:rPr>
      </w:pPr>
      <w:bookmarkStart w:id="2654" w:name="_ENREF_404"/>
      <w:r w:rsidRPr="004A784D">
        <w:rPr>
          <w:noProof/>
          <w:color w:val="000000"/>
          <w:sz w:val="22"/>
        </w:rPr>
        <w:t xml:space="preserve">STRASSER, K. &amp; LUDWIG, H. 2002. Thalidomide treatment in multiple myeloma. </w:t>
      </w:r>
      <w:r w:rsidRPr="004A784D">
        <w:rPr>
          <w:i/>
          <w:noProof/>
          <w:color w:val="000000"/>
          <w:sz w:val="22"/>
        </w:rPr>
        <w:t>Blood Rev,</w:t>
      </w:r>
      <w:r w:rsidRPr="004A784D">
        <w:rPr>
          <w:noProof/>
          <w:color w:val="000000"/>
          <w:sz w:val="22"/>
        </w:rPr>
        <w:t xml:space="preserve"> 16</w:t>
      </w:r>
      <w:r w:rsidRPr="004A784D">
        <w:rPr>
          <w:b/>
          <w:noProof/>
          <w:color w:val="000000"/>
          <w:sz w:val="22"/>
        </w:rPr>
        <w:t>,</w:t>
      </w:r>
      <w:r w:rsidRPr="004A784D">
        <w:rPr>
          <w:noProof/>
          <w:color w:val="000000"/>
          <w:sz w:val="22"/>
        </w:rPr>
        <w:t xml:space="preserve"> 207-15.</w:t>
      </w:r>
      <w:bookmarkEnd w:id="2654"/>
    </w:p>
    <w:p w:rsidR="004A784D" w:rsidRPr="004A784D" w:rsidRDefault="004A784D" w:rsidP="004A784D">
      <w:pPr>
        <w:spacing w:after="240"/>
        <w:jc w:val="both"/>
        <w:rPr>
          <w:noProof/>
          <w:color w:val="000000"/>
          <w:sz w:val="22"/>
        </w:rPr>
      </w:pPr>
      <w:bookmarkStart w:id="2655" w:name="_ENREF_405"/>
      <w:r w:rsidRPr="004A784D">
        <w:rPr>
          <w:noProof/>
          <w:color w:val="000000"/>
          <w:sz w:val="22"/>
        </w:rPr>
        <w:t xml:space="preserve">SU, F., LANG, J., KUMAR, A., NG, C., HSIEH, B., SUCHARD, M. A., REDDY, S. T. &amp; FARIAS-EISNER, R. 2007. Validation of candidate serum ovarian cancer biomarkers for early detection. </w:t>
      </w:r>
      <w:r w:rsidRPr="004A784D">
        <w:rPr>
          <w:i/>
          <w:noProof/>
          <w:color w:val="000000"/>
          <w:sz w:val="22"/>
        </w:rPr>
        <w:t>Biomark Insights,</w:t>
      </w:r>
      <w:r w:rsidRPr="004A784D">
        <w:rPr>
          <w:noProof/>
          <w:color w:val="000000"/>
          <w:sz w:val="22"/>
        </w:rPr>
        <w:t xml:space="preserve"> 2</w:t>
      </w:r>
      <w:r w:rsidRPr="004A784D">
        <w:rPr>
          <w:b/>
          <w:noProof/>
          <w:color w:val="000000"/>
          <w:sz w:val="22"/>
        </w:rPr>
        <w:t>,</w:t>
      </w:r>
      <w:r w:rsidRPr="004A784D">
        <w:rPr>
          <w:noProof/>
          <w:color w:val="000000"/>
          <w:sz w:val="22"/>
        </w:rPr>
        <w:t xml:space="preserve"> 369-75.</w:t>
      </w:r>
      <w:bookmarkEnd w:id="2655"/>
    </w:p>
    <w:p w:rsidR="004A784D" w:rsidRPr="004A784D" w:rsidRDefault="004A784D" w:rsidP="004A784D">
      <w:pPr>
        <w:spacing w:after="240"/>
        <w:jc w:val="both"/>
        <w:rPr>
          <w:noProof/>
          <w:color w:val="000000"/>
          <w:sz w:val="22"/>
        </w:rPr>
      </w:pPr>
      <w:bookmarkStart w:id="2656" w:name="_ENREF_406"/>
      <w:r w:rsidRPr="004A784D">
        <w:rPr>
          <w:noProof/>
          <w:color w:val="000000"/>
          <w:sz w:val="22"/>
        </w:rPr>
        <w:t xml:space="preserve">SUBRAMANIAN, R., BASU, D. &amp; DUTTA, T. K. 2009. Prognostic significance of bone marrow histology in multiple myeloma. </w:t>
      </w:r>
      <w:r w:rsidRPr="004A784D">
        <w:rPr>
          <w:i/>
          <w:noProof/>
          <w:color w:val="000000"/>
          <w:sz w:val="22"/>
        </w:rPr>
        <w:t>Indian J Cancer,</w:t>
      </w:r>
      <w:r w:rsidRPr="004A784D">
        <w:rPr>
          <w:noProof/>
          <w:color w:val="000000"/>
          <w:sz w:val="22"/>
        </w:rPr>
        <w:t xml:space="preserve"> 46</w:t>
      </w:r>
      <w:r w:rsidRPr="004A784D">
        <w:rPr>
          <w:b/>
          <w:noProof/>
          <w:color w:val="000000"/>
          <w:sz w:val="22"/>
        </w:rPr>
        <w:t>,</w:t>
      </w:r>
      <w:r w:rsidRPr="004A784D">
        <w:rPr>
          <w:noProof/>
          <w:color w:val="000000"/>
          <w:sz w:val="22"/>
        </w:rPr>
        <w:t xml:space="preserve"> 40-5.</w:t>
      </w:r>
      <w:bookmarkEnd w:id="2656"/>
    </w:p>
    <w:p w:rsidR="004A784D" w:rsidRPr="004A784D" w:rsidRDefault="004A784D" w:rsidP="004A784D">
      <w:pPr>
        <w:spacing w:after="240"/>
        <w:jc w:val="both"/>
        <w:rPr>
          <w:noProof/>
          <w:color w:val="000000"/>
          <w:sz w:val="22"/>
        </w:rPr>
      </w:pPr>
      <w:bookmarkStart w:id="2657" w:name="_ENREF_407"/>
      <w:r w:rsidRPr="004A784D">
        <w:rPr>
          <w:noProof/>
          <w:color w:val="000000"/>
          <w:sz w:val="22"/>
        </w:rPr>
        <w:lastRenderedPageBreak/>
        <w:t xml:space="preserve">SUN, Y., MI, W., CAI, J., YING, W., LIU, F., LU, H., QIAO, Y., JIA, W., BI, X., LU, N., LIU, S., QIAN, X. &amp; ZHAO, X. 2008. Quantitative proteomic signature of liver cancer cells: tissue transglutaminase 2 could be a novel protein candidate of human hepatocellular carcinoma. </w:t>
      </w:r>
      <w:r w:rsidRPr="004A784D">
        <w:rPr>
          <w:i/>
          <w:noProof/>
          <w:color w:val="000000"/>
          <w:sz w:val="22"/>
        </w:rPr>
        <w:t>J Proteome Res,</w:t>
      </w:r>
      <w:r w:rsidRPr="004A784D">
        <w:rPr>
          <w:noProof/>
          <w:color w:val="000000"/>
          <w:sz w:val="22"/>
        </w:rPr>
        <w:t xml:space="preserve"> 7</w:t>
      </w:r>
      <w:r w:rsidRPr="004A784D">
        <w:rPr>
          <w:b/>
          <w:noProof/>
          <w:color w:val="000000"/>
          <w:sz w:val="22"/>
        </w:rPr>
        <w:t>,</w:t>
      </w:r>
      <w:r w:rsidRPr="004A784D">
        <w:rPr>
          <w:noProof/>
          <w:color w:val="000000"/>
          <w:sz w:val="22"/>
        </w:rPr>
        <w:t xml:space="preserve"> 3847-59.</w:t>
      </w:r>
      <w:bookmarkEnd w:id="2657"/>
    </w:p>
    <w:p w:rsidR="004A784D" w:rsidRPr="004A784D" w:rsidRDefault="004A784D" w:rsidP="004A784D">
      <w:pPr>
        <w:spacing w:after="240"/>
        <w:jc w:val="both"/>
        <w:rPr>
          <w:noProof/>
          <w:color w:val="000000"/>
          <w:sz w:val="22"/>
        </w:rPr>
      </w:pPr>
      <w:bookmarkStart w:id="2658" w:name="_ENREF_408"/>
      <w:r w:rsidRPr="004A784D">
        <w:rPr>
          <w:noProof/>
          <w:color w:val="000000"/>
          <w:sz w:val="22"/>
        </w:rPr>
        <w:t xml:space="preserve">SZE, D. M., BROWN, R., YANG, S., HO, P. J., GIBSON, J. &amp; JOSHUA, D. 2006. The use of thalidomide in myeloma therapy as an effective anticancer drug. </w:t>
      </w:r>
      <w:r w:rsidRPr="004A784D">
        <w:rPr>
          <w:i/>
          <w:noProof/>
          <w:color w:val="000000"/>
          <w:sz w:val="22"/>
        </w:rPr>
        <w:t>Curr Cancer Drug Targets,</w:t>
      </w:r>
      <w:r w:rsidRPr="004A784D">
        <w:rPr>
          <w:noProof/>
          <w:color w:val="000000"/>
          <w:sz w:val="22"/>
        </w:rPr>
        <w:t xml:space="preserve"> 6</w:t>
      </w:r>
      <w:r w:rsidRPr="004A784D">
        <w:rPr>
          <w:b/>
          <w:noProof/>
          <w:color w:val="000000"/>
          <w:sz w:val="22"/>
        </w:rPr>
        <w:t>,</w:t>
      </w:r>
      <w:r w:rsidRPr="004A784D">
        <w:rPr>
          <w:noProof/>
          <w:color w:val="000000"/>
          <w:sz w:val="22"/>
        </w:rPr>
        <w:t xml:space="preserve"> 325-31.</w:t>
      </w:r>
      <w:bookmarkEnd w:id="2658"/>
    </w:p>
    <w:p w:rsidR="004A784D" w:rsidRPr="004A784D" w:rsidRDefault="004A784D" w:rsidP="004A784D">
      <w:pPr>
        <w:spacing w:after="240"/>
        <w:jc w:val="both"/>
        <w:rPr>
          <w:noProof/>
          <w:color w:val="000000"/>
          <w:sz w:val="22"/>
        </w:rPr>
      </w:pPr>
      <w:bookmarkStart w:id="2659" w:name="_ENREF_409"/>
      <w:r w:rsidRPr="004A784D">
        <w:rPr>
          <w:noProof/>
          <w:color w:val="000000"/>
          <w:sz w:val="22"/>
        </w:rPr>
        <w:t xml:space="preserve">TANAKA, Y., AKIYAMA, H., KURODA, T., JUNG, G., TANAHASHI, K., SUGAYA, H., UTSUMI, J., KAWASAKI, H. &amp; HIRANO, H. 2006. A novel approach and protocol for discovering extremely low-abundance proteins in serum. </w:t>
      </w:r>
      <w:r w:rsidRPr="004A784D">
        <w:rPr>
          <w:i/>
          <w:noProof/>
          <w:color w:val="000000"/>
          <w:sz w:val="22"/>
        </w:rPr>
        <w:t>Proteomics,</w:t>
      </w:r>
      <w:r w:rsidRPr="004A784D">
        <w:rPr>
          <w:noProof/>
          <w:color w:val="000000"/>
          <w:sz w:val="22"/>
        </w:rPr>
        <w:t xml:space="preserve"> 6</w:t>
      </w:r>
      <w:r w:rsidRPr="004A784D">
        <w:rPr>
          <w:b/>
          <w:noProof/>
          <w:color w:val="000000"/>
          <w:sz w:val="22"/>
        </w:rPr>
        <w:t>,</w:t>
      </w:r>
      <w:r w:rsidRPr="004A784D">
        <w:rPr>
          <w:noProof/>
          <w:color w:val="000000"/>
          <w:sz w:val="22"/>
        </w:rPr>
        <w:t xml:space="preserve"> 4845-55.</w:t>
      </w:r>
      <w:bookmarkEnd w:id="2659"/>
    </w:p>
    <w:p w:rsidR="004A784D" w:rsidRPr="004A784D" w:rsidRDefault="004A784D" w:rsidP="004A784D">
      <w:pPr>
        <w:spacing w:after="240"/>
        <w:jc w:val="both"/>
        <w:rPr>
          <w:noProof/>
          <w:color w:val="000000"/>
          <w:sz w:val="22"/>
        </w:rPr>
      </w:pPr>
      <w:bookmarkStart w:id="2660" w:name="_ENREF_410"/>
      <w:r w:rsidRPr="004A784D">
        <w:rPr>
          <w:noProof/>
          <w:color w:val="000000"/>
          <w:sz w:val="22"/>
        </w:rPr>
        <w:t xml:space="preserve">TANASILOVIC, S., ZIVANOVIC, D., NIKOLIC, M., TOMOVIC, M., ELEZOVIC, I. &amp; MEDENICA, L. 2007. [Primary systemic amyloidosis]. </w:t>
      </w:r>
      <w:r w:rsidRPr="004A784D">
        <w:rPr>
          <w:i/>
          <w:noProof/>
          <w:color w:val="000000"/>
          <w:sz w:val="22"/>
        </w:rPr>
        <w:t>Vojnosanit Pregl,</w:t>
      </w:r>
      <w:r w:rsidRPr="004A784D">
        <w:rPr>
          <w:noProof/>
          <w:color w:val="000000"/>
          <w:sz w:val="22"/>
        </w:rPr>
        <w:t xml:space="preserve"> 64</w:t>
      </w:r>
      <w:r w:rsidRPr="004A784D">
        <w:rPr>
          <w:b/>
          <w:noProof/>
          <w:color w:val="000000"/>
          <w:sz w:val="22"/>
        </w:rPr>
        <w:t>,</w:t>
      </w:r>
      <w:r w:rsidRPr="004A784D">
        <w:rPr>
          <w:noProof/>
          <w:color w:val="000000"/>
          <w:sz w:val="22"/>
        </w:rPr>
        <w:t xml:space="preserve"> 859-62.</w:t>
      </w:r>
      <w:bookmarkEnd w:id="2660"/>
    </w:p>
    <w:p w:rsidR="004A784D" w:rsidRPr="004A784D" w:rsidRDefault="004A784D" w:rsidP="004A784D">
      <w:pPr>
        <w:spacing w:after="240"/>
        <w:jc w:val="both"/>
        <w:rPr>
          <w:noProof/>
          <w:color w:val="000000"/>
          <w:sz w:val="22"/>
        </w:rPr>
      </w:pPr>
      <w:bookmarkStart w:id="2661" w:name="_ENREF_411"/>
      <w:r w:rsidRPr="004A784D">
        <w:rPr>
          <w:noProof/>
          <w:color w:val="000000"/>
          <w:sz w:val="22"/>
        </w:rPr>
        <w:t xml:space="preserve">TANNU, N. S. &amp; HEMBY, S. E. 2006. Two-dimensional fluorescence difference gel electrophoresis for comparative proteomics profiling. </w:t>
      </w:r>
      <w:r w:rsidRPr="004A784D">
        <w:rPr>
          <w:i/>
          <w:noProof/>
          <w:color w:val="000000"/>
          <w:sz w:val="22"/>
        </w:rPr>
        <w:t>Nat Protoc,</w:t>
      </w:r>
      <w:r w:rsidRPr="004A784D">
        <w:rPr>
          <w:noProof/>
          <w:color w:val="000000"/>
          <w:sz w:val="22"/>
        </w:rPr>
        <w:t xml:space="preserve"> 1</w:t>
      </w:r>
      <w:r w:rsidRPr="004A784D">
        <w:rPr>
          <w:b/>
          <w:noProof/>
          <w:color w:val="000000"/>
          <w:sz w:val="22"/>
        </w:rPr>
        <w:t>,</w:t>
      </w:r>
      <w:r w:rsidRPr="004A784D">
        <w:rPr>
          <w:noProof/>
          <w:color w:val="000000"/>
          <w:sz w:val="22"/>
        </w:rPr>
        <w:t xml:space="preserve"> 1732-42.</w:t>
      </w:r>
      <w:bookmarkEnd w:id="2661"/>
    </w:p>
    <w:p w:rsidR="004A784D" w:rsidRPr="004A784D" w:rsidRDefault="004A784D" w:rsidP="004A784D">
      <w:pPr>
        <w:spacing w:after="240"/>
        <w:jc w:val="both"/>
        <w:rPr>
          <w:noProof/>
          <w:color w:val="000000"/>
          <w:sz w:val="22"/>
        </w:rPr>
      </w:pPr>
      <w:bookmarkStart w:id="2662" w:name="_ENREF_412"/>
      <w:r w:rsidRPr="004A784D">
        <w:rPr>
          <w:noProof/>
          <w:color w:val="000000"/>
          <w:sz w:val="22"/>
        </w:rPr>
        <w:t xml:space="preserve">TAO, Z. F., FU, W. J., CHEN, Y. B., YUAN, Z. G., WANG, D. X. &amp; HOU, J. 2006. [Prognostic analysis and assessment on the clinical staging systems of multiple myeloma--a report of 206 cases]. </w:t>
      </w:r>
      <w:r w:rsidRPr="004A784D">
        <w:rPr>
          <w:i/>
          <w:noProof/>
          <w:color w:val="000000"/>
          <w:sz w:val="22"/>
        </w:rPr>
        <w:t>Ai Zheng,</w:t>
      </w:r>
      <w:r w:rsidRPr="004A784D">
        <w:rPr>
          <w:noProof/>
          <w:color w:val="000000"/>
          <w:sz w:val="22"/>
        </w:rPr>
        <w:t xml:space="preserve"> 25</w:t>
      </w:r>
      <w:r w:rsidRPr="004A784D">
        <w:rPr>
          <w:b/>
          <w:noProof/>
          <w:color w:val="000000"/>
          <w:sz w:val="22"/>
        </w:rPr>
        <w:t>,</w:t>
      </w:r>
      <w:r w:rsidRPr="004A784D">
        <w:rPr>
          <w:noProof/>
          <w:color w:val="000000"/>
          <w:sz w:val="22"/>
        </w:rPr>
        <w:t xml:space="preserve"> 461-4.</w:t>
      </w:r>
      <w:bookmarkEnd w:id="2662"/>
    </w:p>
    <w:p w:rsidR="004A784D" w:rsidRPr="004A784D" w:rsidRDefault="004A784D" w:rsidP="004A784D">
      <w:pPr>
        <w:spacing w:after="240"/>
        <w:jc w:val="both"/>
        <w:rPr>
          <w:noProof/>
          <w:color w:val="000000"/>
          <w:sz w:val="22"/>
        </w:rPr>
      </w:pPr>
      <w:bookmarkStart w:id="2663" w:name="_ENREF_413"/>
      <w:r w:rsidRPr="004A784D">
        <w:rPr>
          <w:noProof/>
          <w:color w:val="000000"/>
          <w:sz w:val="22"/>
        </w:rPr>
        <w:t xml:space="preserve">TAYLOR, J. M. G., ANKERST, D. P. &amp; ANDRIDGE, R. R. 2008. Validation of Biomarker-Based Risk Prediction Models. </w:t>
      </w:r>
      <w:r w:rsidRPr="004A784D">
        <w:rPr>
          <w:i/>
          <w:noProof/>
          <w:color w:val="000000"/>
          <w:sz w:val="22"/>
        </w:rPr>
        <w:t>Clinical Cancer Research,</w:t>
      </w:r>
      <w:r w:rsidRPr="004A784D">
        <w:rPr>
          <w:noProof/>
          <w:color w:val="000000"/>
          <w:sz w:val="22"/>
        </w:rPr>
        <w:t xml:space="preserve"> 14</w:t>
      </w:r>
      <w:r w:rsidRPr="004A784D">
        <w:rPr>
          <w:b/>
          <w:noProof/>
          <w:color w:val="000000"/>
          <w:sz w:val="22"/>
        </w:rPr>
        <w:t>,</w:t>
      </w:r>
      <w:r w:rsidRPr="004A784D">
        <w:rPr>
          <w:noProof/>
          <w:color w:val="000000"/>
          <w:sz w:val="22"/>
        </w:rPr>
        <w:t xml:space="preserve"> 5977-5983.</w:t>
      </w:r>
      <w:bookmarkEnd w:id="2663"/>
    </w:p>
    <w:p w:rsidR="004A784D" w:rsidRPr="004A784D" w:rsidRDefault="004A784D" w:rsidP="004A784D">
      <w:pPr>
        <w:spacing w:after="240"/>
        <w:jc w:val="both"/>
        <w:rPr>
          <w:noProof/>
          <w:color w:val="000000"/>
          <w:sz w:val="22"/>
        </w:rPr>
      </w:pPr>
      <w:bookmarkStart w:id="2664" w:name="_ENREF_414"/>
      <w:r w:rsidRPr="004A784D">
        <w:rPr>
          <w:noProof/>
          <w:color w:val="000000"/>
          <w:sz w:val="22"/>
        </w:rPr>
        <w:t xml:space="preserve">TERPOS, E., MOULOPOULOS, L. A. &amp; DIMOPOULOS, M. A. 2011. Advances in imaging and the management of myeloma bone disease. </w:t>
      </w:r>
      <w:r w:rsidRPr="004A784D">
        <w:rPr>
          <w:i/>
          <w:noProof/>
          <w:color w:val="000000"/>
          <w:sz w:val="22"/>
        </w:rPr>
        <w:t>J Clin Oncol,</w:t>
      </w:r>
      <w:r w:rsidRPr="004A784D">
        <w:rPr>
          <w:noProof/>
          <w:color w:val="000000"/>
          <w:sz w:val="22"/>
        </w:rPr>
        <w:t xml:space="preserve"> 29</w:t>
      </w:r>
      <w:r w:rsidRPr="004A784D">
        <w:rPr>
          <w:b/>
          <w:noProof/>
          <w:color w:val="000000"/>
          <w:sz w:val="22"/>
        </w:rPr>
        <w:t>,</w:t>
      </w:r>
      <w:r w:rsidRPr="004A784D">
        <w:rPr>
          <w:noProof/>
          <w:color w:val="000000"/>
          <w:sz w:val="22"/>
        </w:rPr>
        <w:t xml:space="preserve"> 1907-15.</w:t>
      </w:r>
      <w:bookmarkEnd w:id="2664"/>
    </w:p>
    <w:p w:rsidR="004A784D" w:rsidRPr="004A784D" w:rsidRDefault="004A784D" w:rsidP="004A784D">
      <w:pPr>
        <w:spacing w:after="240"/>
        <w:jc w:val="both"/>
        <w:rPr>
          <w:noProof/>
          <w:color w:val="000000"/>
          <w:sz w:val="22"/>
        </w:rPr>
      </w:pPr>
      <w:bookmarkStart w:id="2665" w:name="_ENREF_415"/>
      <w:r w:rsidRPr="004A784D">
        <w:rPr>
          <w:noProof/>
          <w:color w:val="000000"/>
          <w:sz w:val="22"/>
        </w:rPr>
        <w:t xml:space="preserve">THADIKKARAN, L., SIEGENTHALER, M. A., CRETTAZ, D., QUELOZ, P. A., SCHNEIDER, P. &amp; TISSOT, J. D. 2005. Recent advances in blood-related proteomics. </w:t>
      </w:r>
      <w:r w:rsidRPr="004A784D">
        <w:rPr>
          <w:i/>
          <w:noProof/>
          <w:color w:val="000000"/>
          <w:sz w:val="22"/>
        </w:rPr>
        <w:t>Proteomics,</w:t>
      </w:r>
      <w:r w:rsidRPr="004A784D">
        <w:rPr>
          <w:noProof/>
          <w:color w:val="000000"/>
          <w:sz w:val="22"/>
        </w:rPr>
        <w:t xml:space="preserve"> 5</w:t>
      </w:r>
      <w:r w:rsidRPr="004A784D">
        <w:rPr>
          <w:b/>
          <w:noProof/>
          <w:color w:val="000000"/>
          <w:sz w:val="22"/>
        </w:rPr>
        <w:t>,</w:t>
      </w:r>
      <w:r w:rsidRPr="004A784D">
        <w:rPr>
          <w:noProof/>
          <w:color w:val="000000"/>
          <w:sz w:val="22"/>
        </w:rPr>
        <w:t xml:space="preserve"> 3019-34.</w:t>
      </w:r>
      <w:bookmarkEnd w:id="2665"/>
    </w:p>
    <w:p w:rsidR="004A784D" w:rsidRPr="004A784D" w:rsidRDefault="004A784D" w:rsidP="004A784D">
      <w:pPr>
        <w:spacing w:after="240"/>
        <w:jc w:val="both"/>
        <w:rPr>
          <w:noProof/>
          <w:color w:val="000000"/>
          <w:sz w:val="22"/>
        </w:rPr>
      </w:pPr>
      <w:bookmarkStart w:id="2666" w:name="_ENREF_416"/>
      <w:r w:rsidRPr="004A784D">
        <w:rPr>
          <w:noProof/>
          <w:color w:val="000000"/>
          <w:sz w:val="22"/>
        </w:rPr>
        <w:t xml:space="preserve">THEODORESCU, D., SCHIFFER, E., BAUER, H. W., DOUWES, F., EICHHORN, F., POLLEY, R., SCHMIDT, T., SCHOFER, W., ZURBIG, P., GOOD, D. M., COON, J. J. &amp; MISCHAK, H. 2008. Discovery and validation of urinary biomarkers for prostate cancer. </w:t>
      </w:r>
      <w:r w:rsidRPr="004A784D">
        <w:rPr>
          <w:i/>
          <w:noProof/>
          <w:color w:val="000000"/>
          <w:sz w:val="22"/>
        </w:rPr>
        <w:t>Proteomics Clin Appl,</w:t>
      </w:r>
      <w:r w:rsidRPr="004A784D">
        <w:rPr>
          <w:noProof/>
          <w:color w:val="000000"/>
          <w:sz w:val="22"/>
        </w:rPr>
        <w:t xml:space="preserve"> 2</w:t>
      </w:r>
      <w:r w:rsidRPr="004A784D">
        <w:rPr>
          <w:b/>
          <w:noProof/>
          <w:color w:val="000000"/>
          <w:sz w:val="22"/>
        </w:rPr>
        <w:t>,</w:t>
      </w:r>
      <w:r w:rsidRPr="004A784D">
        <w:rPr>
          <w:noProof/>
          <w:color w:val="000000"/>
          <w:sz w:val="22"/>
        </w:rPr>
        <w:t xml:space="preserve"> 556-570.</w:t>
      </w:r>
      <w:bookmarkEnd w:id="2666"/>
    </w:p>
    <w:p w:rsidR="004A784D" w:rsidRPr="004A784D" w:rsidRDefault="004A784D" w:rsidP="004A784D">
      <w:pPr>
        <w:spacing w:after="240"/>
        <w:jc w:val="both"/>
        <w:rPr>
          <w:noProof/>
          <w:color w:val="000000"/>
          <w:sz w:val="22"/>
        </w:rPr>
      </w:pPr>
      <w:bookmarkStart w:id="2667" w:name="_ENREF_417"/>
      <w:r w:rsidRPr="004A784D">
        <w:rPr>
          <w:noProof/>
          <w:color w:val="000000"/>
          <w:sz w:val="22"/>
        </w:rPr>
        <w:t xml:space="preserve">THORNTON, H. 2009. The UK Biobank project: trust and altruism are alive and well: a model for achieving public support for research using personal data. </w:t>
      </w:r>
      <w:r w:rsidRPr="004A784D">
        <w:rPr>
          <w:i/>
          <w:noProof/>
          <w:color w:val="000000"/>
          <w:sz w:val="22"/>
        </w:rPr>
        <w:t>Int J Surg,</w:t>
      </w:r>
      <w:r w:rsidRPr="004A784D">
        <w:rPr>
          <w:noProof/>
          <w:color w:val="000000"/>
          <w:sz w:val="22"/>
        </w:rPr>
        <w:t xml:space="preserve"> 7</w:t>
      </w:r>
      <w:r w:rsidRPr="004A784D">
        <w:rPr>
          <w:b/>
          <w:noProof/>
          <w:color w:val="000000"/>
          <w:sz w:val="22"/>
        </w:rPr>
        <w:t>,</w:t>
      </w:r>
      <w:r w:rsidRPr="004A784D">
        <w:rPr>
          <w:noProof/>
          <w:color w:val="000000"/>
          <w:sz w:val="22"/>
        </w:rPr>
        <w:t xml:space="preserve"> 501-2.</w:t>
      </w:r>
      <w:bookmarkEnd w:id="2667"/>
    </w:p>
    <w:p w:rsidR="004A784D" w:rsidRPr="004A784D" w:rsidRDefault="004A784D" w:rsidP="004A784D">
      <w:pPr>
        <w:spacing w:after="240"/>
        <w:jc w:val="both"/>
        <w:rPr>
          <w:noProof/>
          <w:color w:val="000000"/>
          <w:sz w:val="22"/>
        </w:rPr>
      </w:pPr>
      <w:bookmarkStart w:id="2668" w:name="_ENREF_418"/>
      <w:r w:rsidRPr="004A784D">
        <w:rPr>
          <w:noProof/>
          <w:color w:val="000000"/>
          <w:sz w:val="22"/>
        </w:rPr>
        <w:t xml:space="preserve">TICHY, M., MAISNAR, V., PALICKA, V., FRIEDECKY, B., VAVROVA, J., NOVOTNA, H., CERMAKOVA, Z., DASTYCH, M., CECHAK, P., VOGTOVA, D., JAROLIMKOVA, E., BENAKOVA, H., HACHOVA, L., BEZDICKOVA, D., KOURIL, F., ZABRANSKA, E. A., ZENKOVA, J., SLABY, P., SCUDLA, V., GREGORA, E., SPICKA, I., STRAUB, J., SCHUTZOVA, M. &amp; HAJEK, R. 2006. International Staging System required standardization of biochemical laboratory testing in multiple myeloma. </w:t>
      </w:r>
      <w:r w:rsidRPr="004A784D">
        <w:rPr>
          <w:i/>
          <w:noProof/>
          <w:color w:val="000000"/>
          <w:sz w:val="22"/>
        </w:rPr>
        <w:t>Neoplasma,</w:t>
      </w:r>
      <w:r w:rsidRPr="004A784D">
        <w:rPr>
          <w:noProof/>
          <w:color w:val="000000"/>
          <w:sz w:val="22"/>
        </w:rPr>
        <w:t xml:space="preserve"> 53</w:t>
      </w:r>
      <w:r w:rsidRPr="004A784D">
        <w:rPr>
          <w:b/>
          <w:noProof/>
          <w:color w:val="000000"/>
          <w:sz w:val="22"/>
        </w:rPr>
        <w:t>,</w:t>
      </w:r>
      <w:r w:rsidRPr="004A784D">
        <w:rPr>
          <w:noProof/>
          <w:color w:val="000000"/>
          <w:sz w:val="22"/>
        </w:rPr>
        <w:t xml:space="preserve"> 492-4.</w:t>
      </w:r>
      <w:bookmarkEnd w:id="2668"/>
    </w:p>
    <w:p w:rsidR="004A784D" w:rsidRPr="004A784D" w:rsidRDefault="004A784D" w:rsidP="004A784D">
      <w:pPr>
        <w:spacing w:after="240"/>
        <w:jc w:val="both"/>
        <w:rPr>
          <w:noProof/>
          <w:color w:val="000000"/>
          <w:sz w:val="22"/>
        </w:rPr>
      </w:pPr>
      <w:bookmarkStart w:id="2669" w:name="_ENREF_419"/>
      <w:r w:rsidRPr="004A784D">
        <w:rPr>
          <w:noProof/>
          <w:color w:val="000000"/>
          <w:sz w:val="22"/>
        </w:rPr>
        <w:t xml:space="preserve">TISDALE, M. J. 2010. Are tumoral factors responsible for host tissue wasting in cancer cachexia? </w:t>
      </w:r>
      <w:r w:rsidRPr="004A784D">
        <w:rPr>
          <w:i/>
          <w:noProof/>
          <w:color w:val="000000"/>
          <w:sz w:val="22"/>
        </w:rPr>
        <w:t>Future Oncol,</w:t>
      </w:r>
      <w:r w:rsidRPr="004A784D">
        <w:rPr>
          <w:noProof/>
          <w:color w:val="000000"/>
          <w:sz w:val="22"/>
        </w:rPr>
        <w:t xml:space="preserve"> 6</w:t>
      </w:r>
      <w:r w:rsidRPr="004A784D">
        <w:rPr>
          <w:b/>
          <w:noProof/>
          <w:color w:val="000000"/>
          <w:sz w:val="22"/>
        </w:rPr>
        <w:t>,</w:t>
      </w:r>
      <w:r w:rsidRPr="004A784D">
        <w:rPr>
          <w:noProof/>
          <w:color w:val="000000"/>
          <w:sz w:val="22"/>
        </w:rPr>
        <w:t xml:space="preserve"> 503-13.</w:t>
      </w:r>
      <w:bookmarkEnd w:id="2669"/>
    </w:p>
    <w:p w:rsidR="004A784D" w:rsidRPr="004A784D" w:rsidRDefault="004A784D" w:rsidP="004A784D">
      <w:pPr>
        <w:spacing w:after="240"/>
        <w:jc w:val="both"/>
        <w:rPr>
          <w:noProof/>
          <w:color w:val="000000"/>
          <w:sz w:val="22"/>
        </w:rPr>
      </w:pPr>
      <w:bookmarkStart w:id="2670" w:name="_ENREF_420"/>
      <w:r w:rsidRPr="004A784D">
        <w:rPr>
          <w:noProof/>
          <w:color w:val="000000"/>
          <w:sz w:val="22"/>
        </w:rPr>
        <w:t xml:space="preserve">TJONNELAND, A. M. &amp; OLSEN, A. 2003. [What are the requirements for establishing a biological specimen bank?]. </w:t>
      </w:r>
      <w:r w:rsidRPr="004A784D">
        <w:rPr>
          <w:i/>
          <w:noProof/>
          <w:color w:val="000000"/>
          <w:sz w:val="22"/>
        </w:rPr>
        <w:t>Ugeskr Laeger,</w:t>
      </w:r>
      <w:r w:rsidRPr="004A784D">
        <w:rPr>
          <w:noProof/>
          <w:color w:val="000000"/>
          <w:sz w:val="22"/>
        </w:rPr>
        <w:t xml:space="preserve"> 165</w:t>
      </w:r>
      <w:r w:rsidRPr="004A784D">
        <w:rPr>
          <w:b/>
          <w:noProof/>
          <w:color w:val="000000"/>
          <w:sz w:val="22"/>
        </w:rPr>
        <w:t>,</w:t>
      </w:r>
      <w:r w:rsidRPr="004A784D">
        <w:rPr>
          <w:noProof/>
          <w:color w:val="000000"/>
          <w:sz w:val="22"/>
        </w:rPr>
        <w:t xml:space="preserve"> 1686-8.</w:t>
      </w:r>
      <w:bookmarkEnd w:id="2670"/>
    </w:p>
    <w:p w:rsidR="004A784D" w:rsidRPr="004A784D" w:rsidRDefault="004A784D" w:rsidP="004A784D">
      <w:pPr>
        <w:spacing w:after="240"/>
        <w:jc w:val="both"/>
        <w:rPr>
          <w:noProof/>
          <w:color w:val="000000"/>
          <w:sz w:val="22"/>
        </w:rPr>
      </w:pPr>
      <w:bookmarkStart w:id="2671" w:name="_ENREF_421"/>
      <w:r w:rsidRPr="004A784D">
        <w:rPr>
          <w:noProof/>
          <w:color w:val="000000"/>
          <w:sz w:val="22"/>
        </w:rPr>
        <w:lastRenderedPageBreak/>
        <w:t xml:space="preserve">TONGE, R., SHAW, J., MIDDLETON, B., ROWLINSON, R., RAYNER, S., YOUNG, J., POGNAN, F., HAWKINS, E., CURRIE, I. &amp; DAVISON, M. 2001. Validation and development of fluorescence two-dimensional differential gel electrophoresis proteomics technology. </w:t>
      </w:r>
      <w:r w:rsidRPr="004A784D">
        <w:rPr>
          <w:i/>
          <w:noProof/>
          <w:color w:val="000000"/>
          <w:sz w:val="22"/>
        </w:rPr>
        <w:t>Proteomics,</w:t>
      </w:r>
      <w:r w:rsidRPr="004A784D">
        <w:rPr>
          <w:noProof/>
          <w:color w:val="000000"/>
          <w:sz w:val="22"/>
        </w:rPr>
        <w:t xml:space="preserve"> 1</w:t>
      </w:r>
      <w:r w:rsidRPr="004A784D">
        <w:rPr>
          <w:b/>
          <w:noProof/>
          <w:color w:val="000000"/>
          <w:sz w:val="22"/>
        </w:rPr>
        <w:t>,</w:t>
      </w:r>
      <w:r w:rsidRPr="004A784D">
        <w:rPr>
          <w:noProof/>
          <w:color w:val="000000"/>
          <w:sz w:val="22"/>
        </w:rPr>
        <w:t xml:space="preserve"> 377-96.</w:t>
      </w:r>
      <w:bookmarkEnd w:id="2671"/>
    </w:p>
    <w:p w:rsidR="004A784D" w:rsidRPr="004A784D" w:rsidRDefault="004A784D" w:rsidP="004A784D">
      <w:pPr>
        <w:spacing w:after="240"/>
        <w:jc w:val="both"/>
        <w:rPr>
          <w:noProof/>
          <w:color w:val="000000"/>
          <w:sz w:val="22"/>
        </w:rPr>
      </w:pPr>
      <w:bookmarkStart w:id="2672" w:name="_ENREF_422"/>
      <w:r w:rsidRPr="004A784D">
        <w:rPr>
          <w:noProof/>
          <w:color w:val="000000"/>
          <w:sz w:val="22"/>
        </w:rPr>
        <w:t xml:space="preserve">TOSI, P., ZAMAGNI, E., CELLINI, C., PLASMATI, R., CANGINI, D., TACCHETTI, P., PERRONE, G., PASTORELLI, F., TURA, S., BACCARANI, M. &amp; CAVO, M. 2005. Neurological toxicity of long-term (&gt;1 yr) thalidomide therapy in patients with multiple myeloma. </w:t>
      </w:r>
      <w:r w:rsidRPr="004A784D">
        <w:rPr>
          <w:i/>
          <w:noProof/>
          <w:color w:val="000000"/>
          <w:sz w:val="22"/>
        </w:rPr>
        <w:t>Eur J Haematol,</w:t>
      </w:r>
      <w:r w:rsidRPr="004A784D">
        <w:rPr>
          <w:noProof/>
          <w:color w:val="000000"/>
          <w:sz w:val="22"/>
        </w:rPr>
        <w:t xml:space="preserve"> 74</w:t>
      </w:r>
      <w:r w:rsidRPr="004A784D">
        <w:rPr>
          <w:b/>
          <w:noProof/>
          <w:color w:val="000000"/>
          <w:sz w:val="22"/>
        </w:rPr>
        <w:t>,</w:t>
      </w:r>
      <w:r w:rsidRPr="004A784D">
        <w:rPr>
          <w:noProof/>
          <w:color w:val="000000"/>
          <w:sz w:val="22"/>
        </w:rPr>
        <w:t xml:space="preserve"> 212-6.</w:t>
      </w:r>
      <w:bookmarkEnd w:id="2672"/>
    </w:p>
    <w:p w:rsidR="004A784D" w:rsidRPr="004A784D" w:rsidRDefault="004A784D" w:rsidP="004A784D">
      <w:pPr>
        <w:spacing w:after="240"/>
        <w:jc w:val="both"/>
        <w:rPr>
          <w:noProof/>
          <w:color w:val="000000"/>
          <w:sz w:val="22"/>
        </w:rPr>
      </w:pPr>
      <w:bookmarkStart w:id="2673" w:name="_ENREF_423"/>
      <w:r w:rsidRPr="004A784D">
        <w:rPr>
          <w:noProof/>
          <w:color w:val="000000"/>
          <w:sz w:val="22"/>
        </w:rPr>
        <w:t xml:space="preserve">TYSON, D. R. &amp; ORNSTEIN, D. K. 2008. Proteomics of cancer of hormone-dependent tissues. </w:t>
      </w:r>
      <w:r w:rsidRPr="004A784D">
        <w:rPr>
          <w:i/>
          <w:noProof/>
          <w:color w:val="000000"/>
          <w:sz w:val="22"/>
        </w:rPr>
        <w:t>Adv Exp Med Biol,</w:t>
      </w:r>
      <w:r w:rsidRPr="004A784D">
        <w:rPr>
          <w:noProof/>
          <w:color w:val="000000"/>
          <w:sz w:val="22"/>
        </w:rPr>
        <w:t xml:space="preserve"> 630</w:t>
      </w:r>
      <w:r w:rsidRPr="004A784D">
        <w:rPr>
          <w:b/>
          <w:noProof/>
          <w:color w:val="000000"/>
          <w:sz w:val="22"/>
        </w:rPr>
        <w:t>,</w:t>
      </w:r>
      <w:r w:rsidRPr="004A784D">
        <w:rPr>
          <w:noProof/>
          <w:color w:val="000000"/>
          <w:sz w:val="22"/>
        </w:rPr>
        <w:t xml:space="preserve"> 133-47.</w:t>
      </w:r>
      <w:bookmarkEnd w:id="2673"/>
    </w:p>
    <w:p w:rsidR="004A784D" w:rsidRPr="004A784D" w:rsidRDefault="004A784D" w:rsidP="004A784D">
      <w:pPr>
        <w:spacing w:after="240"/>
        <w:jc w:val="both"/>
        <w:rPr>
          <w:noProof/>
          <w:color w:val="000000"/>
          <w:sz w:val="22"/>
        </w:rPr>
      </w:pPr>
      <w:bookmarkStart w:id="2674" w:name="_ENREF_424"/>
      <w:r w:rsidRPr="004A784D">
        <w:rPr>
          <w:noProof/>
          <w:color w:val="000000"/>
          <w:sz w:val="22"/>
        </w:rPr>
        <w:t xml:space="preserve">UNWIN, R. D. &amp; WHETTON, A. D. 2007. How will haematologists use proteomics? </w:t>
      </w:r>
      <w:r w:rsidRPr="004A784D">
        <w:rPr>
          <w:i/>
          <w:noProof/>
          <w:color w:val="000000"/>
          <w:sz w:val="22"/>
        </w:rPr>
        <w:t>Blood Rev,</w:t>
      </w:r>
      <w:r w:rsidRPr="004A784D">
        <w:rPr>
          <w:noProof/>
          <w:color w:val="000000"/>
          <w:sz w:val="22"/>
        </w:rPr>
        <w:t xml:space="preserve"> 21</w:t>
      </w:r>
      <w:r w:rsidRPr="004A784D">
        <w:rPr>
          <w:b/>
          <w:noProof/>
          <w:color w:val="000000"/>
          <w:sz w:val="22"/>
        </w:rPr>
        <w:t>,</w:t>
      </w:r>
      <w:r w:rsidRPr="004A784D">
        <w:rPr>
          <w:noProof/>
          <w:color w:val="000000"/>
          <w:sz w:val="22"/>
        </w:rPr>
        <w:t xml:space="preserve"> 315-26.</w:t>
      </w:r>
      <w:bookmarkEnd w:id="2674"/>
    </w:p>
    <w:p w:rsidR="004A784D" w:rsidRPr="004A784D" w:rsidRDefault="004A784D" w:rsidP="004A784D">
      <w:pPr>
        <w:spacing w:after="240"/>
        <w:jc w:val="both"/>
        <w:rPr>
          <w:noProof/>
          <w:color w:val="000000"/>
          <w:sz w:val="22"/>
        </w:rPr>
      </w:pPr>
      <w:bookmarkStart w:id="2675" w:name="_ENREF_425"/>
      <w:r w:rsidRPr="004A784D">
        <w:rPr>
          <w:noProof/>
          <w:color w:val="000000"/>
          <w:sz w:val="22"/>
        </w:rPr>
        <w:t xml:space="preserve">VACCA, A., SCAVELLI, C., MONTEFUSCO, V., DI PIETRO, G., NERI, A., MATTIOLI, M., BICCIATO, S., NICO, B., RIBATTI, D., DAMMACCO, F. &amp; CORRADINI, P. 2005. Thalidomide downregulates angiogenic genes in bone marrow endothelial cells of patients with active multiple myeloma. </w:t>
      </w:r>
      <w:r w:rsidRPr="004A784D">
        <w:rPr>
          <w:i/>
          <w:noProof/>
          <w:color w:val="000000"/>
          <w:sz w:val="22"/>
        </w:rPr>
        <w:t>J Clin Oncol,</w:t>
      </w:r>
      <w:r w:rsidRPr="004A784D">
        <w:rPr>
          <w:noProof/>
          <w:color w:val="000000"/>
          <w:sz w:val="22"/>
        </w:rPr>
        <w:t xml:space="preserve"> 23</w:t>
      </w:r>
      <w:r w:rsidRPr="004A784D">
        <w:rPr>
          <w:b/>
          <w:noProof/>
          <w:color w:val="000000"/>
          <w:sz w:val="22"/>
        </w:rPr>
        <w:t>,</w:t>
      </w:r>
      <w:r w:rsidRPr="004A784D">
        <w:rPr>
          <w:noProof/>
          <w:color w:val="000000"/>
          <w:sz w:val="22"/>
        </w:rPr>
        <w:t xml:space="preserve"> 5334-46.</w:t>
      </w:r>
      <w:bookmarkEnd w:id="2675"/>
    </w:p>
    <w:p w:rsidR="004A784D" w:rsidRPr="004A784D" w:rsidRDefault="004A784D" w:rsidP="004A784D">
      <w:pPr>
        <w:spacing w:after="240"/>
        <w:jc w:val="both"/>
        <w:rPr>
          <w:noProof/>
          <w:color w:val="000000"/>
          <w:sz w:val="22"/>
        </w:rPr>
      </w:pPr>
      <w:bookmarkStart w:id="2676" w:name="_ENREF_426"/>
      <w:r w:rsidRPr="004A784D">
        <w:rPr>
          <w:noProof/>
          <w:color w:val="000000"/>
          <w:sz w:val="22"/>
        </w:rPr>
        <w:t xml:space="preserve">VALENTIN, M. A., MA, S., ZHAO, A., LEGAY, F. &amp; AVRAMEAS, A. 2011. Validation of immunoassay for protein biomarkers: bioanalytical study plan implementation to support pre-clinical and clinical studies. </w:t>
      </w:r>
      <w:r w:rsidRPr="004A784D">
        <w:rPr>
          <w:i/>
          <w:noProof/>
          <w:color w:val="000000"/>
          <w:sz w:val="22"/>
        </w:rPr>
        <w:t>J Pharm Biomed Anal,</w:t>
      </w:r>
      <w:r w:rsidRPr="004A784D">
        <w:rPr>
          <w:noProof/>
          <w:color w:val="000000"/>
          <w:sz w:val="22"/>
        </w:rPr>
        <w:t xml:space="preserve"> 55</w:t>
      </w:r>
      <w:r w:rsidRPr="004A784D">
        <w:rPr>
          <w:b/>
          <w:noProof/>
          <w:color w:val="000000"/>
          <w:sz w:val="22"/>
        </w:rPr>
        <w:t>,</w:t>
      </w:r>
      <w:r w:rsidRPr="004A784D">
        <w:rPr>
          <w:noProof/>
          <w:color w:val="000000"/>
          <w:sz w:val="22"/>
        </w:rPr>
        <w:t xml:space="preserve"> 869-77.</w:t>
      </w:r>
      <w:bookmarkEnd w:id="2676"/>
    </w:p>
    <w:p w:rsidR="004A784D" w:rsidRPr="004A784D" w:rsidRDefault="004A784D" w:rsidP="004A784D">
      <w:pPr>
        <w:spacing w:after="240"/>
        <w:jc w:val="both"/>
        <w:rPr>
          <w:noProof/>
          <w:color w:val="000000"/>
          <w:sz w:val="22"/>
        </w:rPr>
      </w:pPr>
      <w:bookmarkStart w:id="2677" w:name="_ENREF_427"/>
      <w:r w:rsidRPr="004A784D">
        <w:rPr>
          <w:noProof/>
          <w:color w:val="000000"/>
          <w:sz w:val="22"/>
        </w:rPr>
        <w:t xml:space="preserve">VALK, P. J., DELWEL, R. &amp; LOWENBERG, B. 2005. Gene expression profiling in acute myeloid leukemia. </w:t>
      </w:r>
      <w:r w:rsidRPr="004A784D">
        <w:rPr>
          <w:i/>
          <w:noProof/>
          <w:color w:val="000000"/>
          <w:sz w:val="22"/>
        </w:rPr>
        <w:t>Curr Opin Hematol,</w:t>
      </w:r>
      <w:r w:rsidRPr="004A784D">
        <w:rPr>
          <w:noProof/>
          <w:color w:val="000000"/>
          <w:sz w:val="22"/>
        </w:rPr>
        <w:t xml:space="preserve"> 12</w:t>
      </w:r>
      <w:r w:rsidRPr="004A784D">
        <w:rPr>
          <w:b/>
          <w:noProof/>
          <w:color w:val="000000"/>
          <w:sz w:val="22"/>
        </w:rPr>
        <w:t>,</w:t>
      </w:r>
      <w:r w:rsidRPr="004A784D">
        <w:rPr>
          <w:noProof/>
          <w:color w:val="000000"/>
          <w:sz w:val="22"/>
        </w:rPr>
        <w:t xml:space="preserve"> 76-81.</w:t>
      </w:r>
      <w:bookmarkEnd w:id="2677"/>
    </w:p>
    <w:p w:rsidR="004A784D" w:rsidRPr="004A784D" w:rsidRDefault="004A784D" w:rsidP="004A784D">
      <w:pPr>
        <w:spacing w:after="240"/>
        <w:jc w:val="both"/>
        <w:rPr>
          <w:noProof/>
          <w:color w:val="000000"/>
          <w:sz w:val="22"/>
        </w:rPr>
      </w:pPr>
      <w:bookmarkStart w:id="2678" w:name="_ENREF_428"/>
      <w:r w:rsidRPr="004A784D">
        <w:rPr>
          <w:noProof/>
          <w:color w:val="000000"/>
          <w:sz w:val="22"/>
        </w:rPr>
        <w:t xml:space="preserve">VALLET, S., PALUMBO, A., RAJE, N., BOCCADORO, M. &amp; ANDERSON, K. C. 2008. Thalidomide and lenalidomide: Mechanism-based potential drug combinations. </w:t>
      </w:r>
      <w:r w:rsidRPr="004A784D">
        <w:rPr>
          <w:i/>
          <w:noProof/>
          <w:color w:val="000000"/>
          <w:sz w:val="22"/>
        </w:rPr>
        <w:t>Leuk Lymphoma,</w:t>
      </w:r>
      <w:r w:rsidRPr="004A784D">
        <w:rPr>
          <w:noProof/>
          <w:color w:val="000000"/>
          <w:sz w:val="22"/>
        </w:rPr>
        <w:t xml:space="preserve"> 49</w:t>
      </w:r>
      <w:r w:rsidRPr="004A784D">
        <w:rPr>
          <w:b/>
          <w:noProof/>
          <w:color w:val="000000"/>
          <w:sz w:val="22"/>
        </w:rPr>
        <w:t>,</w:t>
      </w:r>
      <w:r w:rsidRPr="004A784D">
        <w:rPr>
          <w:noProof/>
          <w:color w:val="000000"/>
          <w:sz w:val="22"/>
        </w:rPr>
        <w:t xml:space="preserve"> 1238-45.</w:t>
      </w:r>
      <w:bookmarkEnd w:id="2678"/>
    </w:p>
    <w:p w:rsidR="004A784D" w:rsidRPr="004A784D" w:rsidRDefault="004A784D" w:rsidP="004A784D">
      <w:pPr>
        <w:spacing w:after="240"/>
        <w:jc w:val="both"/>
        <w:rPr>
          <w:noProof/>
          <w:color w:val="000000"/>
          <w:sz w:val="22"/>
        </w:rPr>
      </w:pPr>
      <w:bookmarkStart w:id="2679" w:name="_ENREF_429"/>
      <w:r w:rsidRPr="004A784D">
        <w:rPr>
          <w:noProof/>
          <w:color w:val="000000"/>
          <w:sz w:val="22"/>
        </w:rPr>
        <w:t xml:space="preserve">VAN KLEI, W. A., MOONS, K. G., RHEINECK-LEYSSIUS, A. T., KALKMAN, C. J., RUTTEN, C. L., KNAPE, J. T. &amp; GROBBEE, D. E. 2002. Validation of a clinical prediction rule to reduce preoperative type and screen procedures. </w:t>
      </w:r>
      <w:r w:rsidRPr="004A784D">
        <w:rPr>
          <w:i/>
          <w:noProof/>
          <w:color w:val="000000"/>
          <w:sz w:val="22"/>
        </w:rPr>
        <w:t>Br J Anaesth,</w:t>
      </w:r>
      <w:r w:rsidRPr="004A784D">
        <w:rPr>
          <w:noProof/>
          <w:color w:val="000000"/>
          <w:sz w:val="22"/>
        </w:rPr>
        <w:t xml:space="preserve"> 89</w:t>
      </w:r>
      <w:r w:rsidRPr="004A784D">
        <w:rPr>
          <w:b/>
          <w:noProof/>
          <w:color w:val="000000"/>
          <w:sz w:val="22"/>
        </w:rPr>
        <w:t>,</w:t>
      </w:r>
      <w:r w:rsidRPr="004A784D">
        <w:rPr>
          <w:noProof/>
          <w:color w:val="000000"/>
          <w:sz w:val="22"/>
        </w:rPr>
        <w:t xml:space="preserve"> 221-5.</w:t>
      </w:r>
      <w:bookmarkEnd w:id="2679"/>
    </w:p>
    <w:p w:rsidR="004A784D" w:rsidRPr="004A784D" w:rsidRDefault="004A784D" w:rsidP="004A784D">
      <w:pPr>
        <w:spacing w:after="240"/>
        <w:jc w:val="both"/>
        <w:rPr>
          <w:noProof/>
          <w:color w:val="000000"/>
          <w:sz w:val="22"/>
        </w:rPr>
      </w:pPr>
      <w:bookmarkStart w:id="2680" w:name="_ENREF_430"/>
      <w:r w:rsidRPr="004A784D">
        <w:rPr>
          <w:noProof/>
          <w:color w:val="000000"/>
          <w:sz w:val="22"/>
        </w:rPr>
        <w:t xml:space="preserve">VAN LEEUWEN, D. J., BALABAUD, C., CRAWFORD, J. M., BIOULAC-SAGE, P. &amp; DHILLON, A. P. 2008. A clinical and histopathologic perspective on evolving noninvasive and invasive alternatives for liver biopsy. </w:t>
      </w:r>
      <w:r w:rsidRPr="004A784D">
        <w:rPr>
          <w:i/>
          <w:noProof/>
          <w:color w:val="000000"/>
          <w:sz w:val="22"/>
        </w:rPr>
        <w:t>Clin Gastroenterol Hepatol,</w:t>
      </w:r>
      <w:r w:rsidRPr="004A784D">
        <w:rPr>
          <w:noProof/>
          <w:color w:val="000000"/>
          <w:sz w:val="22"/>
        </w:rPr>
        <w:t xml:space="preserve"> 6</w:t>
      </w:r>
      <w:r w:rsidRPr="004A784D">
        <w:rPr>
          <w:b/>
          <w:noProof/>
          <w:color w:val="000000"/>
          <w:sz w:val="22"/>
        </w:rPr>
        <w:t>,</w:t>
      </w:r>
      <w:r w:rsidRPr="004A784D">
        <w:rPr>
          <w:noProof/>
          <w:color w:val="000000"/>
          <w:sz w:val="22"/>
        </w:rPr>
        <w:t xml:space="preserve"> 491-6.</w:t>
      </w:r>
      <w:bookmarkEnd w:id="2680"/>
    </w:p>
    <w:p w:rsidR="004A784D" w:rsidRPr="004A784D" w:rsidRDefault="004A784D" w:rsidP="004A784D">
      <w:pPr>
        <w:spacing w:after="240"/>
        <w:jc w:val="both"/>
        <w:rPr>
          <w:noProof/>
          <w:color w:val="000000"/>
          <w:sz w:val="22"/>
        </w:rPr>
      </w:pPr>
      <w:bookmarkStart w:id="2681" w:name="_ENREF_431"/>
      <w:r w:rsidRPr="004A784D">
        <w:rPr>
          <w:noProof/>
          <w:color w:val="000000"/>
          <w:sz w:val="22"/>
        </w:rPr>
        <w:t xml:space="preserve">VANDERKERKEN, K., ASOSINGH, K., CROUCHER, P. &amp; VAN CAMP, B. 2003. Multiple myeloma biology: lessons from the 5TMM models. </w:t>
      </w:r>
      <w:r w:rsidRPr="004A784D">
        <w:rPr>
          <w:i/>
          <w:noProof/>
          <w:color w:val="000000"/>
          <w:sz w:val="22"/>
        </w:rPr>
        <w:t>Immunol Rev,</w:t>
      </w:r>
      <w:r w:rsidRPr="004A784D">
        <w:rPr>
          <w:noProof/>
          <w:color w:val="000000"/>
          <w:sz w:val="22"/>
        </w:rPr>
        <w:t xml:space="preserve"> 194</w:t>
      </w:r>
      <w:r w:rsidRPr="004A784D">
        <w:rPr>
          <w:b/>
          <w:noProof/>
          <w:color w:val="000000"/>
          <w:sz w:val="22"/>
        </w:rPr>
        <w:t>,</w:t>
      </w:r>
      <w:r w:rsidRPr="004A784D">
        <w:rPr>
          <w:noProof/>
          <w:color w:val="000000"/>
          <w:sz w:val="22"/>
        </w:rPr>
        <w:t xml:space="preserve"> 196-206.</w:t>
      </w:r>
      <w:bookmarkEnd w:id="2681"/>
    </w:p>
    <w:p w:rsidR="004A784D" w:rsidRPr="004A784D" w:rsidRDefault="004A784D" w:rsidP="004A784D">
      <w:pPr>
        <w:spacing w:after="240"/>
        <w:jc w:val="both"/>
        <w:rPr>
          <w:noProof/>
          <w:color w:val="000000"/>
          <w:sz w:val="22"/>
        </w:rPr>
      </w:pPr>
      <w:bookmarkStart w:id="2682" w:name="_ENREF_432"/>
      <w:r w:rsidRPr="004A784D">
        <w:rPr>
          <w:noProof/>
          <w:color w:val="000000"/>
          <w:sz w:val="22"/>
        </w:rPr>
        <w:t xml:space="preserve">VARMA, S. &amp; SIMON, R. 2006. Bias in error estimation when using cross-validation for model selection. </w:t>
      </w:r>
      <w:r w:rsidRPr="004A784D">
        <w:rPr>
          <w:i/>
          <w:noProof/>
          <w:color w:val="000000"/>
          <w:sz w:val="22"/>
        </w:rPr>
        <w:t>BMC Bioinformatics,</w:t>
      </w:r>
      <w:r w:rsidRPr="004A784D">
        <w:rPr>
          <w:noProof/>
          <w:color w:val="000000"/>
          <w:sz w:val="22"/>
        </w:rPr>
        <w:t xml:space="preserve"> 7</w:t>
      </w:r>
      <w:r w:rsidRPr="004A784D">
        <w:rPr>
          <w:b/>
          <w:noProof/>
          <w:color w:val="000000"/>
          <w:sz w:val="22"/>
        </w:rPr>
        <w:t>,</w:t>
      </w:r>
      <w:r w:rsidRPr="004A784D">
        <w:rPr>
          <w:noProof/>
          <w:color w:val="000000"/>
          <w:sz w:val="22"/>
        </w:rPr>
        <w:t xml:space="preserve"> 91.</w:t>
      </w:r>
      <w:bookmarkEnd w:id="2682"/>
    </w:p>
    <w:p w:rsidR="004A784D" w:rsidRPr="004A784D" w:rsidRDefault="004A784D" w:rsidP="004A784D">
      <w:pPr>
        <w:spacing w:after="240"/>
        <w:jc w:val="both"/>
        <w:rPr>
          <w:noProof/>
          <w:color w:val="000000"/>
          <w:sz w:val="22"/>
        </w:rPr>
      </w:pPr>
      <w:bookmarkStart w:id="2683" w:name="_ENREF_433"/>
      <w:r w:rsidRPr="004A784D">
        <w:rPr>
          <w:noProof/>
          <w:color w:val="000000"/>
          <w:sz w:val="22"/>
        </w:rPr>
        <w:t xml:space="preserve">VASUDEV, N. S., FERGUSON, R. E., CAIRNS, D. A., STANLEY, A. J., SELBY, P. J. &amp; BANKS, R. E. 2008. Serum biomarker discovery in renal cancer using 2-DE and prefractionation by immunodepletion and isoelectric focusing; increasing coverage or more of the same? </w:t>
      </w:r>
      <w:r w:rsidRPr="004A784D">
        <w:rPr>
          <w:i/>
          <w:noProof/>
          <w:color w:val="000000"/>
          <w:sz w:val="22"/>
        </w:rPr>
        <w:t>Proteomics,</w:t>
      </w:r>
      <w:r w:rsidRPr="004A784D">
        <w:rPr>
          <w:noProof/>
          <w:color w:val="000000"/>
          <w:sz w:val="22"/>
        </w:rPr>
        <w:t xml:space="preserve"> 8</w:t>
      </w:r>
      <w:r w:rsidRPr="004A784D">
        <w:rPr>
          <w:b/>
          <w:noProof/>
          <w:color w:val="000000"/>
          <w:sz w:val="22"/>
        </w:rPr>
        <w:t>,</w:t>
      </w:r>
      <w:r w:rsidRPr="004A784D">
        <w:rPr>
          <w:noProof/>
          <w:color w:val="000000"/>
          <w:sz w:val="22"/>
        </w:rPr>
        <w:t xml:space="preserve"> 5074-85.</w:t>
      </w:r>
      <w:bookmarkEnd w:id="2683"/>
    </w:p>
    <w:p w:rsidR="004A784D" w:rsidRPr="004A784D" w:rsidRDefault="004A784D" w:rsidP="004A784D">
      <w:pPr>
        <w:spacing w:after="240"/>
        <w:jc w:val="both"/>
        <w:rPr>
          <w:noProof/>
          <w:color w:val="000000"/>
          <w:sz w:val="22"/>
        </w:rPr>
      </w:pPr>
      <w:bookmarkStart w:id="2684" w:name="_ENREF_434"/>
      <w:r w:rsidRPr="004A784D">
        <w:rPr>
          <w:noProof/>
          <w:color w:val="000000"/>
          <w:sz w:val="22"/>
        </w:rPr>
        <w:t xml:space="preserve">VERRILLS, N. M., WALSH, B. J., COBON, G. S., HAINS, P. G. &amp; KAVALLARIS, M. 2003. Proteome analysis of vinca alkaloid response and resistance in acute lymphoblastic leukemia reveals novel cytoskeletal alterations. </w:t>
      </w:r>
      <w:r w:rsidRPr="004A784D">
        <w:rPr>
          <w:i/>
          <w:noProof/>
          <w:color w:val="000000"/>
          <w:sz w:val="22"/>
        </w:rPr>
        <w:t>J Biol Chem,</w:t>
      </w:r>
      <w:r w:rsidRPr="004A784D">
        <w:rPr>
          <w:noProof/>
          <w:color w:val="000000"/>
          <w:sz w:val="22"/>
        </w:rPr>
        <w:t xml:space="preserve"> 278</w:t>
      </w:r>
      <w:r w:rsidRPr="004A784D">
        <w:rPr>
          <w:b/>
          <w:noProof/>
          <w:color w:val="000000"/>
          <w:sz w:val="22"/>
        </w:rPr>
        <w:t>,</w:t>
      </w:r>
      <w:r w:rsidRPr="004A784D">
        <w:rPr>
          <w:noProof/>
          <w:color w:val="000000"/>
          <w:sz w:val="22"/>
        </w:rPr>
        <w:t xml:space="preserve"> 45082-93.</w:t>
      </w:r>
      <w:bookmarkEnd w:id="2684"/>
    </w:p>
    <w:p w:rsidR="004A784D" w:rsidRPr="004A784D" w:rsidRDefault="004A784D" w:rsidP="004A784D">
      <w:pPr>
        <w:spacing w:after="240"/>
        <w:jc w:val="both"/>
        <w:rPr>
          <w:noProof/>
          <w:color w:val="000000"/>
          <w:sz w:val="22"/>
        </w:rPr>
      </w:pPr>
      <w:bookmarkStart w:id="2685" w:name="_ENREF_435"/>
      <w:r w:rsidRPr="004A784D">
        <w:rPr>
          <w:noProof/>
          <w:color w:val="000000"/>
          <w:sz w:val="22"/>
        </w:rPr>
        <w:lastRenderedPageBreak/>
        <w:t xml:space="preserve">VICKERS, A. J. 2011. Prediction models: revolutionary in principle, but do they do more good than harm? </w:t>
      </w:r>
      <w:r w:rsidRPr="004A784D">
        <w:rPr>
          <w:i/>
          <w:noProof/>
          <w:color w:val="000000"/>
          <w:sz w:val="22"/>
        </w:rPr>
        <w:t>J Clin Oncol,</w:t>
      </w:r>
      <w:r w:rsidRPr="004A784D">
        <w:rPr>
          <w:noProof/>
          <w:color w:val="000000"/>
          <w:sz w:val="22"/>
        </w:rPr>
        <w:t xml:space="preserve"> 29</w:t>
      </w:r>
      <w:r w:rsidRPr="004A784D">
        <w:rPr>
          <w:b/>
          <w:noProof/>
          <w:color w:val="000000"/>
          <w:sz w:val="22"/>
        </w:rPr>
        <w:t>,</w:t>
      </w:r>
      <w:r w:rsidRPr="004A784D">
        <w:rPr>
          <w:noProof/>
          <w:color w:val="000000"/>
          <w:sz w:val="22"/>
        </w:rPr>
        <w:t xml:space="preserve"> 2951-2.</w:t>
      </w:r>
      <w:bookmarkEnd w:id="2685"/>
    </w:p>
    <w:p w:rsidR="004A784D" w:rsidRPr="004A784D" w:rsidRDefault="004A784D" w:rsidP="004A784D">
      <w:pPr>
        <w:spacing w:after="240"/>
        <w:jc w:val="both"/>
        <w:rPr>
          <w:noProof/>
          <w:color w:val="000000"/>
          <w:sz w:val="22"/>
        </w:rPr>
      </w:pPr>
      <w:bookmarkStart w:id="2686" w:name="_ENREF_436"/>
      <w:r w:rsidRPr="004A784D">
        <w:rPr>
          <w:noProof/>
          <w:color w:val="000000"/>
          <w:sz w:val="22"/>
        </w:rPr>
        <w:t xml:space="preserve">VICKERS, M. M. &amp; HENG, D. Y. 2010. Prognostic and predictive biomarkers in renal cell carcinoma. </w:t>
      </w:r>
      <w:r w:rsidRPr="004A784D">
        <w:rPr>
          <w:i/>
          <w:noProof/>
          <w:color w:val="000000"/>
          <w:sz w:val="22"/>
        </w:rPr>
        <w:t>Target Oncol,</w:t>
      </w:r>
      <w:r w:rsidRPr="004A784D">
        <w:rPr>
          <w:noProof/>
          <w:color w:val="000000"/>
          <w:sz w:val="22"/>
        </w:rPr>
        <w:t xml:space="preserve"> 5</w:t>
      </w:r>
      <w:r w:rsidRPr="004A784D">
        <w:rPr>
          <w:b/>
          <w:noProof/>
          <w:color w:val="000000"/>
          <w:sz w:val="22"/>
        </w:rPr>
        <w:t>,</w:t>
      </w:r>
      <w:r w:rsidRPr="004A784D">
        <w:rPr>
          <w:noProof/>
          <w:color w:val="000000"/>
          <w:sz w:val="22"/>
        </w:rPr>
        <w:t xml:space="preserve"> 85-94.</w:t>
      </w:r>
      <w:bookmarkEnd w:id="2686"/>
    </w:p>
    <w:p w:rsidR="004A784D" w:rsidRPr="004A784D" w:rsidRDefault="004A784D" w:rsidP="004A784D">
      <w:pPr>
        <w:spacing w:after="240"/>
        <w:jc w:val="both"/>
        <w:rPr>
          <w:noProof/>
          <w:color w:val="000000"/>
          <w:sz w:val="22"/>
        </w:rPr>
      </w:pPr>
      <w:bookmarkStart w:id="2687" w:name="_ENREF_437"/>
      <w:r w:rsidRPr="004A784D">
        <w:rPr>
          <w:noProof/>
          <w:color w:val="000000"/>
          <w:sz w:val="22"/>
        </w:rPr>
        <w:t xml:space="preserve">VIDAL, M., GASSE, C., GARBAY, C. &amp; GALONS, H. 2005. [Search for new anti-angiogenic agents with structural analogy with thalidomide]. </w:t>
      </w:r>
      <w:r w:rsidRPr="004A784D">
        <w:rPr>
          <w:i/>
          <w:noProof/>
          <w:color w:val="000000"/>
          <w:sz w:val="22"/>
        </w:rPr>
        <w:t>Ann Pharm Fr,</w:t>
      </w:r>
      <w:r w:rsidRPr="004A784D">
        <w:rPr>
          <w:noProof/>
          <w:color w:val="000000"/>
          <w:sz w:val="22"/>
        </w:rPr>
        <w:t xml:space="preserve"> 63</w:t>
      </w:r>
      <w:r w:rsidRPr="004A784D">
        <w:rPr>
          <w:b/>
          <w:noProof/>
          <w:color w:val="000000"/>
          <w:sz w:val="22"/>
        </w:rPr>
        <w:t>,</w:t>
      </w:r>
      <w:r w:rsidRPr="004A784D">
        <w:rPr>
          <w:noProof/>
          <w:color w:val="000000"/>
          <w:sz w:val="22"/>
        </w:rPr>
        <w:t xml:space="preserve"> 85-9.</w:t>
      </w:r>
      <w:bookmarkEnd w:id="2687"/>
    </w:p>
    <w:p w:rsidR="004A784D" w:rsidRPr="004A784D" w:rsidRDefault="004A784D" w:rsidP="004A784D">
      <w:pPr>
        <w:spacing w:after="240"/>
        <w:jc w:val="both"/>
        <w:rPr>
          <w:noProof/>
          <w:color w:val="000000"/>
          <w:sz w:val="22"/>
        </w:rPr>
      </w:pPr>
      <w:bookmarkStart w:id="2688" w:name="_ENREF_438"/>
      <w:r w:rsidRPr="004A784D">
        <w:rPr>
          <w:noProof/>
          <w:color w:val="000000"/>
          <w:sz w:val="22"/>
        </w:rPr>
        <w:t xml:space="preserve">VILLANUEVA, J., SHAFFER, D. R., PHILIP, J., CHAPARRO, C. A., ERDJUMENT-BROMAGE, H., OLSHEN, A. B., FLEISHER, M., LILJA, H., BROGI, E., BOYD, J., SANCHEZ-CARBAYO, M., HOLLAND, E. C., CORDON-CARDO, C., SCHER, H. I. &amp; TEMPST, P. 2006. Differential exoprotease activities confer tumor-specific serum peptidome patterns. </w:t>
      </w:r>
      <w:r w:rsidRPr="004A784D">
        <w:rPr>
          <w:i/>
          <w:noProof/>
          <w:color w:val="000000"/>
          <w:sz w:val="22"/>
        </w:rPr>
        <w:t>J Clin Invest,</w:t>
      </w:r>
      <w:r w:rsidRPr="004A784D">
        <w:rPr>
          <w:noProof/>
          <w:color w:val="000000"/>
          <w:sz w:val="22"/>
        </w:rPr>
        <w:t xml:space="preserve"> 116</w:t>
      </w:r>
      <w:r w:rsidRPr="004A784D">
        <w:rPr>
          <w:b/>
          <w:noProof/>
          <w:color w:val="000000"/>
          <w:sz w:val="22"/>
        </w:rPr>
        <w:t>,</w:t>
      </w:r>
      <w:r w:rsidRPr="004A784D">
        <w:rPr>
          <w:noProof/>
          <w:color w:val="000000"/>
          <w:sz w:val="22"/>
        </w:rPr>
        <w:t xml:space="preserve"> 271-84.</w:t>
      </w:r>
      <w:bookmarkEnd w:id="2688"/>
    </w:p>
    <w:p w:rsidR="004A784D" w:rsidRPr="004A784D" w:rsidRDefault="004A784D" w:rsidP="004A784D">
      <w:pPr>
        <w:spacing w:after="240"/>
        <w:jc w:val="both"/>
        <w:rPr>
          <w:noProof/>
          <w:color w:val="000000"/>
          <w:sz w:val="22"/>
        </w:rPr>
      </w:pPr>
      <w:bookmarkStart w:id="2689" w:name="_ENREF_439"/>
      <w:r w:rsidRPr="004A784D">
        <w:rPr>
          <w:noProof/>
          <w:color w:val="000000"/>
          <w:sz w:val="22"/>
        </w:rPr>
        <w:t xml:space="preserve">VISWANATHAN, S., UNLU, M. &amp; MINDEN, J. S. 2006. Two-dimensional difference gel electrophoresis. </w:t>
      </w:r>
      <w:r w:rsidRPr="004A784D">
        <w:rPr>
          <w:i/>
          <w:noProof/>
          <w:color w:val="000000"/>
          <w:sz w:val="22"/>
        </w:rPr>
        <w:t>Nat Protoc,</w:t>
      </w:r>
      <w:r w:rsidRPr="004A784D">
        <w:rPr>
          <w:noProof/>
          <w:color w:val="000000"/>
          <w:sz w:val="22"/>
        </w:rPr>
        <w:t xml:space="preserve"> 1</w:t>
      </w:r>
      <w:r w:rsidRPr="004A784D">
        <w:rPr>
          <w:b/>
          <w:noProof/>
          <w:color w:val="000000"/>
          <w:sz w:val="22"/>
        </w:rPr>
        <w:t>,</w:t>
      </w:r>
      <w:r w:rsidRPr="004A784D">
        <w:rPr>
          <w:noProof/>
          <w:color w:val="000000"/>
          <w:sz w:val="22"/>
        </w:rPr>
        <w:t xml:space="preserve"> 1351-8.</w:t>
      </w:r>
      <w:bookmarkEnd w:id="2689"/>
    </w:p>
    <w:p w:rsidR="004A784D" w:rsidRPr="004A784D" w:rsidRDefault="004A784D" w:rsidP="004A784D">
      <w:pPr>
        <w:spacing w:after="240"/>
        <w:jc w:val="both"/>
        <w:rPr>
          <w:noProof/>
          <w:color w:val="000000"/>
          <w:sz w:val="22"/>
        </w:rPr>
      </w:pPr>
      <w:bookmarkStart w:id="2690" w:name="_ENREF_440"/>
      <w:r w:rsidRPr="004A784D">
        <w:rPr>
          <w:noProof/>
          <w:color w:val="000000"/>
          <w:sz w:val="22"/>
        </w:rPr>
        <w:t xml:space="preserve">VOGT, R. F. &amp; MARTI, G. E. 2007. Overview of monoclonal gammopathies of undetermined significance. </w:t>
      </w:r>
      <w:r w:rsidRPr="004A784D">
        <w:rPr>
          <w:i/>
          <w:noProof/>
          <w:color w:val="000000"/>
          <w:sz w:val="22"/>
        </w:rPr>
        <w:t>Br J Haematol,</w:t>
      </w:r>
      <w:r w:rsidRPr="004A784D">
        <w:rPr>
          <w:noProof/>
          <w:color w:val="000000"/>
          <w:sz w:val="22"/>
        </w:rPr>
        <w:t xml:space="preserve"> 139</w:t>
      </w:r>
      <w:r w:rsidRPr="004A784D">
        <w:rPr>
          <w:b/>
          <w:noProof/>
          <w:color w:val="000000"/>
          <w:sz w:val="22"/>
        </w:rPr>
        <w:t>,</w:t>
      </w:r>
      <w:r w:rsidRPr="004A784D">
        <w:rPr>
          <w:noProof/>
          <w:color w:val="000000"/>
          <w:sz w:val="22"/>
        </w:rPr>
        <w:t xml:space="preserve"> 687-9.</w:t>
      </w:r>
      <w:bookmarkEnd w:id="2690"/>
    </w:p>
    <w:p w:rsidR="004A784D" w:rsidRPr="004A784D" w:rsidRDefault="004A784D" w:rsidP="004A784D">
      <w:pPr>
        <w:spacing w:after="240"/>
        <w:jc w:val="both"/>
        <w:rPr>
          <w:noProof/>
          <w:color w:val="000000"/>
          <w:sz w:val="22"/>
        </w:rPr>
      </w:pPr>
      <w:bookmarkStart w:id="2691" w:name="_ENREF_441"/>
      <w:r w:rsidRPr="004A784D">
        <w:rPr>
          <w:noProof/>
          <w:color w:val="000000"/>
          <w:sz w:val="22"/>
        </w:rPr>
        <w:t xml:space="preserve">VON EGGELING, F., GAWRILJUK, A., FIEDLER, W., ERNST, G., CLAUSSEN, U., KLOSE, J. &amp; ROMER, I. 2001. Fluorescent dual colour 2D-protein gel electrophoresis for rapid detection of differences in protein pattern with standard image analysis software. </w:t>
      </w:r>
      <w:r w:rsidRPr="004A784D">
        <w:rPr>
          <w:i/>
          <w:noProof/>
          <w:color w:val="000000"/>
          <w:sz w:val="22"/>
        </w:rPr>
        <w:t>Int J Mol Med,</w:t>
      </w:r>
      <w:r w:rsidRPr="004A784D">
        <w:rPr>
          <w:noProof/>
          <w:color w:val="000000"/>
          <w:sz w:val="22"/>
        </w:rPr>
        <w:t xml:space="preserve"> 8</w:t>
      </w:r>
      <w:r w:rsidRPr="004A784D">
        <w:rPr>
          <w:b/>
          <w:noProof/>
          <w:color w:val="000000"/>
          <w:sz w:val="22"/>
        </w:rPr>
        <w:t>,</w:t>
      </w:r>
      <w:r w:rsidRPr="004A784D">
        <w:rPr>
          <w:noProof/>
          <w:color w:val="000000"/>
          <w:sz w:val="22"/>
        </w:rPr>
        <w:t xml:space="preserve"> 373-7.</w:t>
      </w:r>
      <w:bookmarkEnd w:id="2691"/>
    </w:p>
    <w:p w:rsidR="004A784D" w:rsidRPr="004A784D" w:rsidRDefault="004A784D" w:rsidP="004A784D">
      <w:pPr>
        <w:spacing w:after="240"/>
        <w:jc w:val="both"/>
        <w:rPr>
          <w:noProof/>
          <w:color w:val="000000"/>
          <w:sz w:val="22"/>
        </w:rPr>
      </w:pPr>
      <w:bookmarkStart w:id="2692" w:name="_ENREF_442"/>
      <w:r w:rsidRPr="004A784D">
        <w:rPr>
          <w:noProof/>
          <w:color w:val="000000"/>
          <w:sz w:val="22"/>
        </w:rPr>
        <w:t xml:space="preserve">WACH, M., CIOCH, M., HUS, M., JAWNIAK, D., LEGIEC, W., MALEK, M., MANKO, J., WALTER-CRONECK, A., WASIK-SZCZEPANEK, E. &amp; DMOSZYNSKA, A. 2011. Treatment of multiple myeloma patients with autologous stem cell transplantation - a fresh analysis. </w:t>
      </w:r>
      <w:r w:rsidRPr="004A784D">
        <w:rPr>
          <w:i/>
          <w:noProof/>
          <w:color w:val="000000"/>
          <w:sz w:val="22"/>
        </w:rPr>
        <w:t>Folia Histochem Cytobiol,</w:t>
      </w:r>
      <w:r w:rsidRPr="004A784D">
        <w:rPr>
          <w:noProof/>
          <w:color w:val="000000"/>
          <w:sz w:val="22"/>
        </w:rPr>
        <w:t xml:space="preserve"> 49</w:t>
      </w:r>
      <w:r w:rsidRPr="004A784D">
        <w:rPr>
          <w:b/>
          <w:noProof/>
          <w:color w:val="000000"/>
          <w:sz w:val="22"/>
        </w:rPr>
        <w:t>,</w:t>
      </w:r>
      <w:r w:rsidRPr="004A784D">
        <w:rPr>
          <w:noProof/>
          <w:color w:val="000000"/>
          <w:sz w:val="22"/>
        </w:rPr>
        <w:t xml:space="preserve"> 248-54.</w:t>
      </w:r>
      <w:bookmarkEnd w:id="2692"/>
    </w:p>
    <w:p w:rsidR="004A784D" w:rsidRPr="004A784D" w:rsidRDefault="004A784D" w:rsidP="004A784D">
      <w:pPr>
        <w:spacing w:after="240"/>
        <w:jc w:val="both"/>
        <w:rPr>
          <w:noProof/>
          <w:color w:val="000000"/>
          <w:sz w:val="22"/>
        </w:rPr>
      </w:pPr>
      <w:bookmarkStart w:id="2693" w:name="_ENREF_443"/>
      <w:r w:rsidRPr="004A784D">
        <w:rPr>
          <w:noProof/>
          <w:color w:val="000000"/>
          <w:sz w:val="22"/>
        </w:rPr>
        <w:t xml:space="preserve">WALLENTINE, J. C., KIM, K. K., SEILER, C. E., 3RD, VAUGHN, C. P., CROCKETT, D. K., TRIPP, S. R., ELENITOBA-JOHNSON, K. S. &amp; LIM, M. S. 2007. Comprehensive identification of proteins in Hodgkin lymphoma-derived Reed-Sternberg cells by LC-MS/MS. </w:t>
      </w:r>
      <w:r w:rsidRPr="004A784D">
        <w:rPr>
          <w:i/>
          <w:noProof/>
          <w:color w:val="000000"/>
          <w:sz w:val="22"/>
        </w:rPr>
        <w:t>Lab Invest,</w:t>
      </w:r>
      <w:r w:rsidRPr="004A784D">
        <w:rPr>
          <w:noProof/>
          <w:color w:val="000000"/>
          <w:sz w:val="22"/>
        </w:rPr>
        <w:t xml:space="preserve"> 87</w:t>
      </w:r>
      <w:r w:rsidRPr="004A784D">
        <w:rPr>
          <w:b/>
          <w:noProof/>
          <w:color w:val="000000"/>
          <w:sz w:val="22"/>
        </w:rPr>
        <w:t>,</w:t>
      </w:r>
      <w:r w:rsidRPr="004A784D">
        <w:rPr>
          <w:noProof/>
          <w:color w:val="000000"/>
          <w:sz w:val="22"/>
        </w:rPr>
        <w:t xml:space="preserve"> 1113-24.</w:t>
      </w:r>
      <w:bookmarkEnd w:id="2693"/>
    </w:p>
    <w:p w:rsidR="004A784D" w:rsidRPr="004A784D" w:rsidRDefault="004A784D" w:rsidP="004A784D">
      <w:pPr>
        <w:spacing w:after="240"/>
        <w:jc w:val="both"/>
        <w:rPr>
          <w:noProof/>
          <w:color w:val="000000"/>
          <w:sz w:val="22"/>
        </w:rPr>
      </w:pPr>
      <w:bookmarkStart w:id="2694" w:name="_ENREF_444"/>
      <w:r w:rsidRPr="004A784D">
        <w:rPr>
          <w:noProof/>
          <w:color w:val="000000"/>
          <w:sz w:val="22"/>
        </w:rPr>
        <w:t xml:space="preserve">WALOSZCZYK, P., JANUS, T., ALCHIMOWICZ, J., GRODZKI, T. &amp; BOROWIAK, K. 2011. Proteomic patterns analysis with multivariate calculations as a promising tool for prompt differentiation of early stage lung tissue with cancer and unchanged tissue material. </w:t>
      </w:r>
      <w:r w:rsidRPr="004A784D">
        <w:rPr>
          <w:i/>
          <w:noProof/>
          <w:color w:val="000000"/>
          <w:sz w:val="22"/>
        </w:rPr>
        <w:t>Diagn Pathol,</w:t>
      </w:r>
      <w:r w:rsidRPr="004A784D">
        <w:rPr>
          <w:noProof/>
          <w:color w:val="000000"/>
          <w:sz w:val="22"/>
        </w:rPr>
        <w:t xml:space="preserve"> 6</w:t>
      </w:r>
      <w:r w:rsidRPr="004A784D">
        <w:rPr>
          <w:b/>
          <w:noProof/>
          <w:color w:val="000000"/>
          <w:sz w:val="22"/>
        </w:rPr>
        <w:t>,</w:t>
      </w:r>
      <w:r w:rsidRPr="004A784D">
        <w:rPr>
          <w:noProof/>
          <w:color w:val="000000"/>
          <w:sz w:val="22"/>
        </w:rPr>
        <w:t xml:space="preserve"> 22.</w:t>
      </w:r>
      <w:bookmarkEnd w:id="2694"/>
    </w:p>
    <w:p w:rsidR="004A784D" w:rsidRPr="004A784D" w:rsidRDefault="004A784D" w:rsidP="004A784D">
      <w:pPr>
        <w:spacing w:after="240"/>
        <w:jc w:val="both"/>
        <w:rPr>
          <w:noProof/>
          <w:color w:val="000000"/>
          <w:sz w:val="22"/>
        </w:rPr>
      </w:pPr>
      <w:bookmarkStart w:id="2695" w:name="_ENREF_445"/>
      <w:r w:rsidRPr="004A784D">
        <w:rPr>
          <w:noProof/>
          <w:color w:val="000000"/>
          <w:sz w:val="22"/>
        </w:rPr>
        <w:t xml:space="preserve">WANG, J. X., HUANG, X. J., WU, D. P., HU, J. D., LIU, T., HU, Y., MENG, F. Y., CHEN, X. Q., HOU, M., LI, Y., WANG, S. J., WANG, J. M., REN, H. Y., YU, L., CHEN, F. Y., QIU, L. G., JIANG, B., SUN, A. N., LIU, T. B., ZHU, H. L., GUO, T., XU, D., JI, C. Y., LU, X. Y., JIAO, L., SONG, X. M. &amp; HUANG, H. H. 2009. [Overview of chronic myelogenous leukemia and its current diagnosis and treatment patterns in 15 hospitals in China.]. </w:t>
      </w:r>
      <w:r w:rsidRPr="004A784D">
        <w:rPr>
          <w:i/>
          <w:noProof/>
          <w:color w:val="000000"/>
          <w:sz w:val="22"/>
        </w:rPr>
        <w:t>Zhonghua Xue Ye Xue Za Zhi,</w:t>
      </w:r>
      <w:r w:rsidRPr="004A784D">
        <w:rPr>
          <w:noProof/>
          <w:color w:val="000000"/>
          <w:sz w:val="22"/>
        </w:rPr>
        <w:t xml:space="preserve"> 30</w:t>
      </w:r>
      <w:r w:rsidRPr="004A784D">
        <w:rPr>
          <w:b/>
          <w:noProof/>
          <w:color w:val="000000"/>
          <w:sz w:val="22"/>
        </w:rPr>
        <w:t>,</w:t>
      </w:r>
      <w:r w:rsidRPr="004A784D">
        <w:rPr>
          <w:noProof/>
          <w:color w:val="000000"/>
          <w:sz w:val="22"/>
        </w:rPr>
        <w:t xml:space="preserve"> 721-5.</w:t>
      </w:r>
      <w:bookmarkEnd w:id="2695"/>
    </w:p>
    <w:p w:rsidR="004A784D" w:rsidRPr="004A784D" w:rsidRDefault="004A784D" w:rsidP="004A784D">
      <w:pPr>
        <w:spacing w:after="240"/>
        <w:jc w:val="both"/>
        <w:rPr>
          <w:noProof/>
          <w:color w:val="000000"/>
          <w:sz w:val="22"/>
        </w:rPr>
      </w:pPr>
      <w:bookmarkStart w:id="2696" w:name="_ENREF_446"/>
      <w:r w:rsidRPr="004A784D">
        <w:rPr>
          <w:noProof/>
          <w:color w:val="000000"/>
          <w:sz w:val="22"/>
        </w:rPr>
        <w:t xml:space="preserve">WANG, L., RAN, X., WANG, B., SHENG, Z. &amp; LIU, L. 2011. Novel agents-based regimens as induction treatment prior to autologous stem-cell transplantation in newly diagnosed multiple myeloma: a meta-analysis of randomized controlled trials. </w:t>
      </w:r>
      <w:r w:rsidRPr="004A784D">
        <w:rPr>
          <w:i/>
          <w:noProof/>
          <w:color w:val="000000"/>
          <w:sz w:val="22"/>
        </w:rPr>
        <w:t>Hematol Oncol</w:t>
      </w:r>
      <w:r w:rsidRPr="004A784D">
        <w:rPr>
          <w:noProof/>
          <w:color w:val="000000"/>
          <w:sz w:val="22"/>
        </w:rPr>
        <w:t>.</w:t>
      </w:r>
      <w:bookmarkEnd w:id="2696"/>
    </w:p>
    <w:p w:rsidR="004A784D" w:rsidRPr="004A784D" w:rsidRDefault="004A784D" w:rsidP="004A784D">
      <w:pPr>
        <w:spacing w:after="240"/>
        <w:jc w:val="both"/>
        <w:rPr>
          <w:noProof/>
          <w:color w:val="000000"/>
          <w:sz w:val="22"/>
        </w:rPr>
      </w:pPr>
      <w:bookmarkStart w:id="2697" w:name="_ENREF_447"/>
      <w:r w:rsidRPr="004A784D">
        <w:rPr>
          <w:noProof/>
          <w:color w:val="000000"/>
          <w:sz w:val="22"/>
        </w:rPr>
        <w:lastRenderedPageBreak/>
        <w:t xml:space="preserve">WARZOCHA, K., KRAJ, M., POGLOD, R., SZPILA, T., MENDEK-CZAJKOWSKA, E., CHELSTOWSKA, M. &amp; TRONINA, R. H. 2008. Efficacy and safety of thalidomide in the treatment of multiple myeloma. </w:t>
      </w:r>
      <w:r w:rsidRPr="004A784D">
        <w:rPr>
          <w:i/>
          <w:noProof/>
          <w:color w:val="000000"/>
          <w:sz w:val="22"/>
        </w:rPr>
        <w:t>Acta Pol Pharm,</w:t>
      </w:r>
      <w:r w:rsidRPr="004A784D">
        <w:rPr>
          <w:noProof/>
          <w:color w:val="000000"/>
          <w:sz w:val="22"/>
        </w:rPr>
        <w:t xml:space="preserve"> 65</w:t>
      </w:r>
      <w:r w:rsidRPr="004A784D">
        <w:rPr>
          <w:b/>
          <w:noProof/>
          <w:color w:val="000000"/>
          <w:sz w:val="22"/>
        </w:rPr>
        <w:t>,</w:t>
      </w:r>
      <w:r w:rsidRPr="004A784D">
        <w:rPr>
          <w:noProof/>
          <w:color w:val="000000"/>
          <w:sz w:val="22"/>
        </w:rPr>
        <w:t xml:space="preserve"> 771-4.</w:t>
      </w:r>
      <w:bookmarkEnd w:id="2697"/>
    </w:p>
    <w:p w:rsidR="004A784D" w:rsidRPr="004A784D" w:rsidRDefault="004A784D" w:rsidP="004A784D">
      <w:pPr>
        <w:spacing w:after="240"/>
        <w:jc w:val="both"/>
        <w:rPr>
          <w:noProof/>
          <w:color w:val="000000"/>
          <w:sz w:val="22"/>
        </w:rPr>
      </w:pPr>
      <w:bookmarkStart w:id="2698" w:name="_ENREF_448"/>
      <w:r w:rsidRPr="004A784D">
        <w:rPr>
          <w:noProof/>
          <w:color w:val="000000"/>
          <w:sz w:val="22"/>
        </w:rPr>
        <w:t xml:space="preserve">WATANABE, E., EUN, H., BABA, K., ARAO, T., ISHII, Y., ENDO, S. &amp; UEJI, M. 2004. Evaluation and validation of a commercially available enzyme-linked immunosorbent assay for the neonicotinoid insecticide imidacloprid in agricultural samples. </w:t>
      </w:r>
      <w:r w:rsidRPr="004A784D">
        <w:rPr>
          <w:i/>
          <w:noProof/>
          <w:color w:val="000000"/>
          <w:sz w:val="22"/>
        </w:rPr>
        <w:t>J Agric Food Chem,</w:t>
      </w:r>
      <w:r w:rsidRPr="004A784D">
        <w:rPr>
          <w:noProof/>
          <w:color w:val="000000"/>
          <w:sz w:val="22"/>
        </w:rPr>
        <w:t xml:space="preserve"> 52</w:t>
      </w:r>
      <w:r w:rsidRPr="004A784D">
        <w:rPr>
          <w:b/>
          <w:noProof/>
          <w:color w:val="000000"/>
          <w:sz w:val="22"/>
        </w:rPr>
        <w:t>,</w:t>
      </w:r>
      <w:r w:rsidRPr="004A784D">
        <w:rPr>
          <w:noProof/>
          <w:color w:val="000000"/>
          <w:sz w:val="22"/>
        </w:rPr>
        <w:t xml:space="preserve"> 2756-62.</w:t>
      </w:r>
      <w:bookmarkEnd w:id="2698"/>
    </w:p>
    <w:p w:rsidR="004A784D" w:rsidRPr="004A784D" w:rsidRDefault="004A784D" w:rsidP="004A784D">
      <w:pPr>
        <w:spacing w:after="240"/>
        <w:jc w:val="both"/>
        <w:rPr>
          <w:noProof/>
          <w:color w:val="000000"/>
          <w:sz w:val="22"/>
        </w:rPr>
      </w:pPr>
      <w:bookmarkStart w:id="2699" w:name="_ENREF_449"/>
      <w:r w:rsidRPr="004A784D">
        <w:rPr>
          <w:noProof/>
          <w:color w:val="000000"/>
          <w:sz w:val="22"/>
        </w:rPr>
        <w:t xml:space="preserve">WU, C., LUO, Z., CHEN, X., WU, C., YAO, D., ZHAO, P., LIU, L., SHI, B. &amp; ZHU, L. 2009. Two-dimensional differential in-gel electrophoresis for identification of gastric cancer-specific protein markers. </w:t>
      </w:r>
      <w:r w:rsidRPr="004A784D">
        <w:rPr>
          <w:i/>
          <w:noProof/>
          <w:color w:val="000000"/>
          <w:sz w:val="22"/>
        </w:rPr>
        <w:t>Oncol Rep,</w:t>
      </w:r>
      <w:r w:rsidRPr="004A784D">
        <w:rPr>
          <w:noProof/>
          <w:color w:val="000000"/>
          <w:sz w:val="22"/>
        </w:rPr>
        <w:t xml:space="preserve"> 21</w:t>
      </w:r>
      <w:r w:rsidRPr="004A784D">
        <w:rPr>
          <w:b/>
          <w:noProof/>
          <w:color w:val="000000"/>
          <w:sz w:val="22"/>
        </w:rPr>
        <w:t>,</w:t>
      </w:r>
      <w:r w:rsidRPr="004A784D">
        <w:rPr>
          <w:noProof/>
          <w:color w:val="000000"/>
          <w:sz w:val="22"/>
        </w:rPr>
        <w:t xml:space="preserve"> 1429-37.</w:t>
      </w:r>
      <w:bookmarkEnd w:id="2699"/>
    </w:p>
    <w:p w:rsidR="004A784D" w:rsidRPr="004A784D" w:rsidRDefault="004A784D" w:rsidP="004A784D">
      <w:pPr>
        <w:spacing w:after="240"/>
        <w:jc w:val="both"/>
        <w:rPr>
          <w:noProof/>
          <w:color w:val="000000"/>
          <w:sz w:val="22"/>
        </w:rPr>
      </w:pPr>
      <w:bookmarkStart w:id="2700" w:name="_ENREF_450"/>
      <w:r w:rsidRPr="004A784D">
        <w:rPr>
          <w:noProof/>
          <w:color w:val="000000"/>
          <w:sz w:val="22"/>
        </w:rPr>
        <w:t xml:space="preserve">XIAO, H. &amp; WONG, D. T. 2010. Proteomics and its applications for biomarker discovery in human saliva. </w:t>
      </w:r>
      <w:r w:rsidRPr="004A784D">
        <w:rPr>
          <w:i/>
          <w:noProof/>
          <w:color w:val="000000"/>
          <w:sz w:val="22"/>
        </w:rPr>
        <w:t>Bioinformation,</w:t>
      </w:r>
      <w:r w:rsidRPr="004A784D">
        <w:rPr>
          <w:noProof/>
          <w:color w:val="000000"/>
          <w:sz w:val="22"/>
        </w:rPr>
        <w:t xml:space="preserve"> 5</w:t>
      </w:r>
      <w:r w:rsidRPr="004A784D">
        <w:rPr>
          <w:b/>
          <w:noProof/>
          <w:color w:val="000000"/>
          <w:sz w:val="22"/>
        </w:rPr>
        <w:t>,</w:t>
      </w:r>
      <w:r w:rsidRPr="004A784D">
        <w:rPr>
          <w:noProof/>
          <w:color w:val="000000"/>
          <w:sz w:val="22"/>
        </w:rPr>
        <w:t xml:space="preserve"> 294-6.</w:t>
      </w:r>
      <w:bookmarkEnd w:id="2700"/>
    </w:p>
    <w:p w:rsidR="004A784D" w:rsidRPr="004A784D" w:rsidRDefault="004A784D" w:rsidP="004A784D">
      <w:pPr>
        <w:spacing w:after="240"/>
        <w:jc w:val="both"/>
        <w:rPr>
          <w:noProof/>
          <w:color w:val="000000"/>
          <w:sz w:val="22"/>
        </w:rPr>
      </w:pPr>
      <w:bookmarkStart w:id="2701" w:name="_ENREF_451"/>
      <w:r w:rsidRPr="004A784D">
        <w:rPr>
          <w:noProof/>
          <w:color w:val="000000"/>
          <w:sz w:val="22"/>
        </w:rPr>
        <w:t xml:space="preserve">XU, F. J., YU, Y. H., DALY, L., DESOMBRE, K., ANSELMINO, L., HASS, G. M., BERCHUCK, A., SOPER, J. T., CLARKE-PEARSON, D. L., BOYER, C. &amp; ET AL. 1993. OVX1 radioimmunoassay complements CA-125 for predicting the presence of residual ovarian carcinoma at second-look surgical surveillance procedures. </w:t>
      </w:r>
      <w:r w:rsidRPr="004A784D">
        <w:rPr>
          <w:i/>
          <w:noProof/>
          <w:color w:val="000000"/>
          <w:sz w:val="22"/>
        </w:rPr>
        <w:t>J Clin Oncol,</w:t>
      </w:r>
      <w:r w:rsidRPr="004A784D">
        <w:rPr>
          <w:noProof/>
          <w:color w:val="000000"/>
          <w:sz w:val="22"/>
        </w:rPr>
        <w:t xml:space="preserve"> 11</w:t>
      </w:r>
      <w:r w:rsidRPr="004A784D">
        <w:rPr>
          <w:b/>
          <w:noProof/>
          <w:color w:val="000000"/>
          <w:sz w:val="22"/>
        </w:rPr>
        <w:t>,</w:t>
      </w:r>
      <w:r w:rsidRPr="004A784D">
        <w:rPr>
          <w:noProof/>
          <w:color w:val="000000"/>
          <w:sz w:val="22"/>
        </w:rPr>
        <w:t xml:space="preserve"> 1506-10.</w:t>
      </w:r>
      <w:bookmarkEnd w:id="2701"/>
    </w:p>
    <w:p w:rsidR="004A784D" w:rsidRPr="004A784D" w:rsidRDefault="004A784D" w:rsidP="004A784D">
      <w:pPr>
        <w:spacing w:after="240"/>
        <w:jc w:val="both"/>
        <w:rPr>
          <w:noProof/>
          <w:color w:val="000000"/>
          <w:sz w:val="22"/>
        </w:rPr>
      </w:pPr>
      <w:bookmarkStart w:id="2702" w:name="_ENREF_452"/>
      <w:r w:rsidRPr="004A784D">
        <w:rPr>
          <w:noProof/>
          <w:color w:val="000000"/>
          <w:sz w:val="22"/>
        </w:rPr>
        <w:t xml:space="preserve">YAMADA, T. 2006. [Serum amyloid A (SAA)--pathogenicity and implication of appearance in plasma]. </w:t>
      </w:r>
      <w:r w:rsidRPr="004A784D">
        <w:rPr>
          <w:i/>
          <w:noProof/>
          <w:color w:val="000000"/>
          <w:sz w:val="22"/>
        </w:rPr>
        <w:t>Rinsho Byori,</w:t>
      </w:r>
      <w:r w:rsidRPr="004A784D">
        <w:rPr>
          <w:noProof/>
          <w:color w:val="000000"/>
          <w:sz w:val="22"/>
        </w:rPr>
        <w:t xml:space="preserve"> 54</w:t>
      </w:r>
      <w:r w:rsidRPr="004A784D">
        <w:rPr>
          <w:b/>
          <w:noProof/>
          <w:color w:val="000000"/>
          <w:sz w:val="22"/>
        </w:rPr>
        <w:t>,</w:t>
      </w:r>
      <w:r w:rsidRPr="004A784D">
        <w:rPr>
          <w:noProof/>
          <w:color w:val="000000"/>
          <w:sz w:val="22"/>
        </w:rPr>
        <w:t xml:space="preserve"> 509-12.</w:t>
      </w:r>
      <w:bookmarkEnd w:id="2702"/>
    </w:p>
    <w:p w:rsidR="004A784D" w:rsidRPr="004A784D" w:rsidRDefault="004A784D" w:rsidP="004A784D">
      <w:pPr>
        <w:spacing w:after="240"/>
        <w:jc w:val="both"/>
        <w:rPr>
          <w:noProof/>
          <w:color w:val="000000"/>
          <w:sz w:val="22"/>
        </w:rPr>
      </w:pPr>
      <w:bookmarkStart w:id="2703" w:name="_ENREF_453"/>
      <w:r w:rsidRPr="004A784D">
        <w:rPr>
          <w:noProof/>
          <w:color w:val="000000"/>
          <w:sz w:val="22"/>
        </w:rPr>
        <w:t xml:space="preserve">YAMAMOTO, N., SUYAMA, H., NAKAZATO, H. &amp; KOGA, Y. 2008. Immunotherapy of metastatic colorectal cancer with vitamin D-binding protein-derived macrophage-activating factor, GcMAF. </w:t>
      </w:r>
      <w:r w:rsidRPr="004A784D">
        <w:rPr>
          <w:i/>
          <w:noProof/>
          <w:color w:val="000000"/>
          <w:sz w:val="22"/>
        </w:rPr>
        <w:t>Cancer Immunol Immunother,</w:t>
      </w:r>
      <w:r w:rsidRPr="004A784D">
        <w:rPr>
          <w:noProof/>
          <w:color w:val="000000"/>
          <w:sz w:val="22"/>
        </w:rPr>
        <w:t xml:space="preserve"> 57</w:t>
      </w:r>
      <w:r w:rsidRPr="004A784D">
        <w:rPr>
          <w:b/>
          <w:noProof/>
          <w:color w:val="000000"/>
          <w:sz w:val="22"/>
        </w:rPr>
        <w:t>,</w:t>
      </w:r>
      <w:r w:rsidRPr="004A784D">
        <w:rPr>
          <w:noProof/>
          <w:color w:val="000000"/>
          <w:sz w:val="22"/>
        </w:rPr>
        <w:t xml:space="preserve"> 1007-16.</w:t>
      </w:r>
      <w:bookmarkEnd w:id="2703"/>
    </w:p>
    <w:p w:rsidR="004A784D" w:rsidRPr="004A784D" w:rsidRDefault="004A784D" w:rsidP="004A784D">
      <w:pPr>
        <w:spacing w:after="240"/>
        <w:jc w:val="both"/>
        <w:rPr>
          <w:noProof/>
          <w:color w:val="000000"/>
          <w:sz w:val="22"/>
        </w:rPr>
      </w:pPr>
      <w:bookmarkStart w:id="2704" w:name="_ENREF_454"/>
      <w:r w:rsidRPr="004A784D">
        <w:rPr>
          <w:noProof/>
          <w:color w:val="000000"/>
          <w:sz w:val="22"/>
        </w:rPr>
        <w:t xml:space="preserve">YAMAMOTO, N., USHIJIMA, N. &amp; KOGA, Y. 2009. Immunotherapy of HIV-infected patients with Gc protein-derived macrophage activating factor (GcMAF). </w:t>
      </w:r>
      <w:r w:rsidRPr="004A784D">
        <w:rPr>
          <w:i/>
          <w:noProof/>
          <w:color w:val="000000"/>
          <w:sz w:val="22"/>
        </w:rPr>
        <w:t>J Med Virol,</w:t>
      </w:r>
      <w:r w:rsidRPr="004A784D">
        <w:rPr>
          <w:noProof/>
          <w:color w:val="000000"/>
          <w:sz w:val="22"/>
        </w:rPr>
        <w:t xml:space="preserve"> 81</w:t>
      </w:r>
      <w:r w:rsidRPr="004A784D">
        <w:rPr>
          <w:b/>
          <w:noProof/>
          <w:color w:val="000000"/>
          <w:sz w:val="22"/>
        </w:rPr>
        <w:t>,</w:t>
      </w:r>
      <w:r w:rsidRPr="004A784D">
        <w:rPr>
          <w:noProof/>
          <w:color w:val="000000"/>
          <w:sz w:val="22"/>
        </w:rPr>
        <w:t xml:space="preserve"> 16-26.</w:t>
      </w:r>
      <w:bookmarkEnd w:id="2704"/>
    </w:p>
    <w:p w:rsidR="004A784D" w:rsidRPr="004A784D" w:rsidRDefault="004A784D" w:rsidP="004A784D">
      <w:pPr>
        <w:spacing w:after="240"/>
        <w:jc w:val="both"/>
        <w:rPr>
          <w:noProof/>
          <w:color w:val="000000"/>
          <w:sz w:val="22"/>
        </w:rPr>
      </w:pPr>
      <w:bookmarkStart w:id="2705" w:name="_ENREF_455"/>
      <w:r w:rsidRPr="004A784D">
        <w:rPr>
          <w:noProof/>
          <w:color w:val="000000"/>
          <w:sz w:val="22"/>
        </w:rPr>
        <w:t xml:space="preserve">YAN, J. X., DEVENISH, A. T., WAIT, R., STONE, T., LEWIS, S. &amp; FOWLER, S. 2002. Fluorescence two-dimensional difference gel electrophoresis and mass spectrometry based proteomic analysis of Escherichia coli. </w:t>
      </w:r>
      <w:r w:rsidRPr="004A784D">
        <w:rPr>
          <w:i/>
          <w:noProof/>
          <w:color w:val="000000"/>
          <w:sz w:val="22"/>
        </w:rPr>
        <w:t>Proteomics,</w:t>
      </w:r>
      <w:r w:rsidRPr="004A784D">
        <w:rPr>
          <w:noProof/>
          <w:color w:val="000000"/>
          <w:sz w:val="22"/>
        </w:rPr>
        <w:t xml:space="preserve"> 2</w:t>
      </w:r>
      <w:r w:rsidRPr="004A784D">
        <w:rPr>
          <w:b/>
          <w:noProof/>
          <w:color w:val="000000"/>
          <w:sz w:val="22"/>
        </w:rPr>
        <w:t>,</w:t>
      </w:r>
      <w:r w:rsidRPr="004A784D">
        <w:rPr>
          <w:noProof/>
          <w:color w:val="000000"/>
          <w:sz w:val="22"/>
        </w:rPr>
        <w:t xml:space="preserve"> 1682-98.</w:t>
      </w:r>
      <w:bookmarkEnd w:id="2705"/>
    </w:p>
    <w:p w:rsidR="004A784D" w:rsidRPr="004A784D" w:rsidRDefault="004A784D" w:rsidP="004A784D">
      <w:pPr>
        <w:spacing w:after="240"/>
        <w:jc w:val="both"/>
        <w:rPr>
          <w:noProof/>
          <w:color w:val="000000"/>
          <w:sz w:val="22"/>
        </w:rPr>
      </w:pPr>
      <w:bookmarkStart w:id="2706" w:name="_ENREF_456"/>
      <w:r w:rsidRPr="004A784D">
        <w:rPr>
          <w:noProof/>
          <w:color w:val="000000"/>
          <w:sz w:val="22"/>
        </w:rPr>
        <w:t xml:space="preserve">YANG, S. E. &amp; LI, X. 2007. [Expression and significanc of ERbeta and HER2 in breast cancer]. </w:t>
      </w:r>
      <w:r w:rsidRPr="004A784D">
        <w:rPr>
          <w:i/>
          <w:noProof/>
          <w:color w:val="000000"/>
          <w:sz w:val="22"/>
        </w:rPr>
        <w:t>Zhonghua Zhong Liu Za Zhi,</w:t>
      </w:r>
      <w:r w:rsidRPr="004A784D">
        <w:rPr>
          <w:noProof/>
          <w:color w:val="000000"/>
          <w:sz w:val="22"/>
        </w:rPr>
        <w:t xml:space="preserve"> 29</w:t>
      </w:r>
      <w:r w:rsidRPr="004A784D">
        <w:rPr>
          <w:b/>
          <w:noProof/>
          <w:color w:val="000000"/>
          <w:sz w:val="22"/>
        </w:rPr>
        <w:t>,</w:t>
      </w:r>
      <w:r w:rsidRPr="004A784D">
        <w:rPr>
          <w:noProof/>
          <w:color w:val="000000"/>
          <w:sz w:val="22"/>
        </w:rPr>
        <w:t xml:space="preserve"> 767-8.</w:t>
      </w:r>
      <w:bookmarkEnd w:id="2706"/>
    </w:p>
    <w:p w:rsidR="004A784D" w:rsidRPr="004A784D" w:rsidRDefault="004A784D" w:rsidP="004A784D">
      <w:pPr>
        <w:spacing w:after="240"/>
        <w:jc w:val="both"/>
        <w:rPr>
          <w:noProof/>
          <w:color w:val="000000"/>
          <w:sz w:val="22"/>
        </w:rPr>
      </w:pPr>
      <w:bookmarkStart w:id="2707" w:name="_ENREF_457"/>
      <w:r w:rsidRPr="004A784D">
        <w:rPr>
          <w:noProof/>
          <w:color w:val="000000"/>
          <w:sz w:val="22"/>
        </w:rPr>
        <w:t xml:space="preserve">YASUI, K., KOBAYASHI, N., YAMAZAKI, T. &amp; AGEMATSU, K. 2005. Thalidomide as an immunotherapeutic agent: the effects on neutrophil-mediated inflammation. </w:t>
      </w:r>
      <w:r w:rsidRPr="004A784D">
        <w:rPr>
          <w:i/>
          <w:noProof/>
          <w:color w:val="000000"/>
          <w:sz w:val="22"/>
        </w:rPr>
        <w:t>Curr Pharm Des,</w:t>
      </w:r>
      <w:r w:rsidRPr="004A784D">
        <w:rPr>
          <w:noProof/>
          <w:color w:val="000000"/>
          <w:sz w:val="22"/>
        </w:rPr>
        <w:t xml:space="preserve"> 11</w:t>
      </w:r>
      <w:r w:rsidRPr="004A784D">
        <w:rPr>
          <w:b/>
          <w:noProof/>
          <w:color w:val="000000"/>
          <w:sz w:val="22"/>
        </w:rPr>
        <w:t>,</w:t>
      </w:r>
      <w:r w:rsidRPr="004A784D">
        <w:rPr>
          <w:noProof/>
          <w:color w:val="000000"/>
          <w:sz w:val="22"/>
        </w:rPr>
        <w:t xml:space="preserve"> 395-401.</w:t>
      </w:r>
      <w:bookmarkEnd w:id="2707"/>
    </w:p>
    <w:p w:rsidR="004A784D" w:rsidRPr="004A784D" w:rsidRDefault="004A784D" w:rsidP="004A784D">
      <w:pPr>
        <w:spacing w:after="240"/>
        <w:jc w:val="both"/>
        <w:rPr>
          <w:noProof/>
          <w:color w:val="000000"/>
          <w:sz w:val="22"/>
        </w:rPr>
      </w:pPr>
      <w:bookmarkStart w:id="2708" w:name="_ENREF_458"/>
      <w:r w:rsidRPr="004A784D">
        <w:rPr>
          <w:noProof/>
          <w:color w:val="000000"/>
          <w:sz w:val="22"/>
        </w:rPr>
        <w:t xml:space="preserve">YOCUM, A. K., BUSCH, C. M., FELIX, C. A. &amp; BLAIR, I. A. 2006. Proteomics-based strategy to identify biomarkers and pharmacological targets in leukemias with t(4;11) translocations. </w:t>
      </w:r>
      <w:r w:rsidRPr="004A784D">
        <w:rPr>
          <w:i/>
          <w:noProof/>
          <w:color w:val="000000"/>
          <w:sz w:val="22"/>
        </w:rPr>
        <w:t>J Proteome Res,</w:t>
      </w:r>
      <w:r w:rsidRPr="004A784D">
        <w:rPr>
          <w:noProof/>
          <w:color w:val="000000"/>
          <w:sz w:val="22"/>
        </w:rPr>
        <w:t xml:space="preserve"> 5</w:t>
      </w:r>
      <w:r w:rsidRPr="004A784D">
        <w:rPr>
          <w:b/>
          <w:noProof/>
          <w:color w:val="000000"/>
          <w:sz w:val="22"/>
        </w:rPr>
        <w:t>,</w:t>
      </w:r>
      <w:r w:rsidRPr="004A784D">
        <w:rPr>
          <w:noProof/>
          <w:color w:val="000000"/>
          <w:sz w:val="22"/>
        </w:rPr>
        <w:t xml:space="preserve"> 2743-53.</w:t>
      </w:r>
      <w:bookmarkEnd w:id="2708"/>
    </w:p>
    <w:p w:rsidR="004A784D" w:rsidRPr="004A784D" w:rsidRDefault="004A784D" w:rsidP="004A784D">
      <w:pPr>
        <w:spacing w:after="240"/>
        <w:jc w:val="both"/>
        <w:rPr>
          <w:noProof/>
          <w:color w:val="000000"/>
          <w:sz w:val="22"/>
        </w:rPr>
      </w:pPr>
      <w:bookmarkStart w:id="2709" w:name="_ENREF_459"/>
      <w:r w:rsidRPr="004A784D">
        <w:rPr>
          <w:noProof/>
          <w:color w:val="000000"/>
          <w:sz w:val="22"/>
        </w:rPr>
        <w:t xml:space="preserve">YUILLE, M., DIXON, K., PLATT, A., PULLUM, S., LEWIS, D., HALL, A. &amp; OLLIER, W. 2009. The UK DNA banking network: a "fair access" biobank. </w:t>
      </w:r>
      <w:r w:rsidRPr="004A784D">
        <w:rPr>
          <w:i/>
          <w:noProof/>
          <w:color w:val="000000"/>
          <w:sz w:val="22"/>
        </w:rPr>
        <w:t>Cell Tissue Bank</w:t>
      </w:r>
      <w:r w:rsidRPr="004A784D">
        <w:rPr>
          <w:noProof/>
          <w:color w:val="000000"/>
          <w:sz w:val="22"/>
        </w:rPr>
        <w:t>.</w:t>
      </w:r>
      <w:bookmarkEnd w:id="2709"/>
    </w:p>
    <w:p w:rsidR="004A784D" w:rsidRPr="004A784D" w:rsidRDefault="004A784D" w:rsidP="004A784D">
      <w:pPr>
        <w:spacing w:after="240"/>
        <w:jc w:val="both"/>
        <w:rPr>
          <w:noProof/>
          <w:color w:val="000000"/>
          <w:sz w:val="22"/>
        </w:rPr>
      </w:pPr>
      <w:bookmarkStart w:id="2710" w:name="_ENREF_460"/>
      <w:r w:rsidRPr="004A784D">
        <w:rPr>
          <w:noProof/>
          <w:color w:val="000000"/>
          <w:sz w:val="22"/>
        </w:rPr>
        <w:t xml:space="preserve">YUN, J. P., SUH, C., LEE, E., CHANG, J. W., YANG, W. S., PARK, J. S. &amp; PARK, S. K. 2006. Comparison of serum beta 2-microglobulin and 24 hour urinary creatinine clearance as a prognostic factor in multiple myeloma. </w:t>
      </w:r>
      <w:r w:rsidRPr="004A784D">
        <w:rPr>
          <w:i/>
          <w:noProof/>
          <w:color w:val="000000"/>
          <w:sz w:val="22"/>
        </w:rPr>
        <w:t>J Korean Med Sci,</w:t>
      </w:r>
      <w:r w:rsidRPr="004A784D">
        <w:rPr>
          <w:noProof/>
          <w:color w:val="000000"/>
          <w:sz w:val="22"/>
        </w:rPr>
        <w:t xml:space="preserve"> 21</w:t>
      </w:r>
      <w:r w:rsidRPr="004A784D">
        <w:rPr>
          <w:b/>
          <w:noProof/>
          <w:color w:val="000000"/>
          <w:sz w:val="22"/>
        </w:rPr>
        <w:t>,</w:t>
      </w:r>
      <w:r w:rsidRPr="004A784D">
        <w:rPr>
          <w:noProof/>
          <w:color w:val="000000"/>
          <w:sz w:val="22"/>
        </w:rPr>
        <w:t xml:space="preserve"> 639-44.</w:t>
      </w:r>
      <w:bookmarkEnd w:id="2710"/>
    </w:p>
    <w:p w:rsidR="004A784D" w:rsidRPr="004A784D" w:rsidRDefault="004A784D" w:rsidP="004A784D">
      <w:pPr>
        <w:spacing w:after="240"/>
        <w:jc w:val="both"/>
        <w:rPr>
          <w:noProof/>
          <w:color w:val="000000"/>
          <w:sz w:val="22"/>
        </w:rPr>
      </w:pPr>
      <w:bookmarkStart w:id="2711" w:name="_ENREF_461"/>
      <w:r w:rsidRPr="004A784D">
        <w:rPr>
          <w:noProof/>
          <w:color w:val="000000"/>
          <w:sz w:val="22"/>
        </w:rPr>
        <w:lastRenderedPageBreak/>
        <w:t xml:space="preserve">ZANGAR, R. C., DALY, D. S. &amp; WHITE, A. M. 2006. ELISA microarray technology as a high-throughput system for cancer biomarker validation. </w:t>
      </w:r>
      <w:r w:rsidRPr="004A784D">
        <w:rPr>
          <w:i/>
          <w:noProof/>
          <w:color w:val="000000"/>
          <w:sz w:val="22"/>
        </w:rPr>
        <w:t>Expert Rev Proteomics,</w:t>
      </w:r>
      <w:r w:rsidRPr="004A784D">
        <w:rPr>
          <w:noProof/>
          <w:color w:val="000000"/>
          <w:sz w:val="22"/>
        </w:rPr>
        <w:t xml:space="preserve"> 3</w:t>
      </w:r>
      <w:r w:rsidRPr="004A784D">
        <w:rPr>
          <w:b/>
          <w:noProof/>
          <w:color w:val="000000"/>
          <w:sz w:val="22"/>
        </w:rPr>
        <w:t>,</w:t>
      </w:r>
      <w:r w:rsidRPr="004A784D">
        <w:rPr>
          <w:noProof/>
          <w:color w:val="000000"/>
          <w:sz w:val="22"/>
        </w:rPr>
        <w:t xml:space="preserve"> 37-44.</w:t>
      </w:r>
      <w:bookmarkEnd w:id="2711"/>
    </w:p>
    <w:p w:rsidR="004A784D" w:rsidRPr="004A784D" w:rsidRDefault="004A784D" w:rsidP="004A784D">
      <w:pPr>
        <w:spacing w:after="240"/>
        <w:jc w:val="both"/>
        <w:rPr>
          <w:noProof/>
          <w:color w:val="000000"/>
          <w:sz w:val="22"/>
        </w:rPr>
      </w:pPr>
      <w:bookmarkStart w:id="2712" w:name="_ENREF_462"/>
      <w:r w:rsidRPr="004A784D">
        <w:rPr>
          <w:noProof/>
          <w:color w:val="000000"/>
          <w:sz w:val="22"/>
        </w:rPr>
        <w:t xml:space="preserve">ZANGARI, M., BARLOGIE, B., ANAISSIE, E., SAGHAFIFAR, F., EDDLEMON, P., JACOBSON, J., LEE, C. K., THERTULIEN, R., TALAMO, G., THOMAS, T., VAN RHEE, F., FASSAS, A., FINK, L. &amp; TRICOT, G. 2004. Deep vein thrombosis in patients with multiple myeloma treated with thalidomide and chemotherapy: effects of prophylactic and therapeutic anticoagulation. </w:t>
      </w:r>
      <w:r w:rsidRPr="004A784D">
        <w:rPr>
          <w:i/>
          <w:noProof/>
          <w:color w:val="000000"/>
          <w:sz w:val="22"/>
        </w:rPr>
        <w:t>Br J Haematol,</w:t>
      </w:r>
      <w:r w:rsidRPr="004A784D">
        <w:rPr>
          <w:noProof/>
          <w:color w:val="000000"/>
          <w:sz w:val="22"/>
        </w:rPr>
        <w:t xml:space="preserve"> 126</w:t>
      </w:r>
      <w:r w:rsidRPr="004A784D">
        <w:rPr>
          <w:b/>
          <w:noProof/>
          <w:color w:val="000000"/>
          <w:sz w:val="22"/>
        </w:rPr>
        <w:t>,</w:t>
      </w:r>
      <w:r w:rsidRPr="004A784D">
        <w:rPr>
          <w:noProof/>
          <w:color w:val="000000"/>
          <w:sz w:val="22"/>
        </w:rPr>
        <w:t xml:space="preserve"> 715-21.</w:t>
      </w:r>
      <w:bookmarkEnd w:id="2712"/>
    </w:p>
    <w:p w:rsidR="004A784D" w:rsidRPr="004A784D" w:rsidRDefault="004A784D" w:rsidP="004A784D">
      <w:pPr>
        <w:spacing w:after="240"/>
        <w:jc w:val="both"/>
        <w:rPr>
          <w:noProof/>
          <w:color w:val="000000"/>
          <w:sz w:val="22"/>
        </w:rPr>
      </w:pPr>
      <w:bookmarkStart w:id="2713" w:name="_ENREF_463"/>
      <w:r w:rsidRPr="004A784D">
        <w:rPr>
          <w:noProof/>
          <w:color w:val="000000"/>
          <w:sz w:val="22"/>
        </w:rPr>
        <w:t xml:space="preserve">ZANGARI, M., FINK, L. M., ELICE, F., ZHAN, F., ADCOCK, D. M. &amp; TRICOT, G. J. 2009. Thrombotic events in patients with cancer receiving antiangiogenesis agents. </w:t>
      </w:r>
      <w:r w:rsidRPr="004A784D">
        <w:rPr>
          <w:i/>
          <w:noProof/>
          <w:color w:val="000000"/>
          <w:sz w:val="22"/>
        </w:rPr>
        <w:t>J Clin Oncol,</w:t>
      </w:r>
      <w:r w:rsidRPr="004A784D">
        <w:rPr>
          <w:noProof/>
          <w:color w:val="000000"/>
          <w:sz w:val="22"/>
        </w:rPr>
        <w:t xml:space="preserve"> 27</w:t>
      </w:r>
      <w:r w:rsidRPr="004A784D">
        <w:rPr>
          <w:b/>
          <w:noProof/>
          <w:color w:val="000000"/>
          <w:sz w:val="22"/>
        </w:rPr>
        <w:t>,</w:t>
      </w:r>
      <w:r w:rsidRPr="004A784D">
        <w:rPr>
          <w:noProof/>
          <w:color w:val="000000"/>
          <w:sz w:val="22"/>
        </w:rPr>
        <w:t xml:space="preserve"> 4865-73.</w:t>
      </w:r>
      <w:bookmarkEnd w:id="2713"/>
    </w:p>
    <w:p w:rsidR="004A784D" w:rsidRPr="004A784D" w:rsidRDefault="004A784D" w:rsidP="004A784D">
      <w:pPr>
        <w:spacing w:after="240"/>
        <w:jc w:val="both"/>
        <w:rPr>
          <w:noProof/>
          <w:color w:val="000000"/>
          <w:sz w:val="22"/>
        </w:rPr>
      </w:pPr>
      <w:bookmarkStart w:id="2714" w:name="_ENREF_464"/>
      <w:r w:rsidRPr="004A784D">
        <w:rPr>
          <w:noProof/>
          <w:color w:val="000000"/>
          <w:sz w:val="22"/>
        </w:rPr>
        <w:t xml:space="preserve">ZELENA, J. &amp; HAJEK, R. 2007. [Proteomics techniques and their application in haemato-oncologic malignancies]. </w:t>
      </w:r>
      <w:r w:rsidRPr="004A784D">
        <w:rPr>
          <w:i/>
          <w:noProof/>
          <w:color w:val="000000"/>
          <w:sz w:val="22"/>
        </w:rPr>
        <w:t>Cas Lek Cesk,</w:t>
      </w:r>
      <w:r w:rsidRPr="004A784D">
        <w:rPr>
          <w:noProof/>
          <w:color w:val="000000"/>
          <w:sz w:val="22"/>
        </w:rPr>
        <w:t xml:space="preserve"> 146</w:t>
      </w:r>
      <w:r w:rsidRPr="004A784D">
        <w:rPr>
          <w:b/>
          <w:noProof/>
          <w:color w:val="000000"/>
          <w:sz w:val="22"/>
        </w:rPr>
        <w:t>,</w:t>
      </w:r>
      <w:r w:rsidRPr="004A784D">
        <w:rPr>
          <w:noProof/>
          <w:color w:val="000000"/>
          <w:sz w:val="22"/>
        </w:rPr>
        <w:t xml:space="preserve"> 586-92.</w:t>
      </w:r>
      <w:bookmarkEnd w:id="2714"/>
    </w:p>
    <w:p w:rsidR="004A784D" w:rsidRPr="004A784D" w:rsidRDefault="004A784D" w:rsidP="004A784D">
      <w:pPr>
        <w:spacing w:after="240"/>
        <w:jc w:val="both"/>
        <w:rPr>
          <w:noProof/>
          <w:color w:val="000000"/>
          <w:sz w:val="22"/>
        </w:rPr>
      </w:pPr>
      <w:bookmarkStart w:id="2715" w:name="_ENREF_465"/>
      <w:r w:rsidRPr="004A784D">
        <w:rPr>
          <w:noProof/>
          <w:color w:val="000000"/>
          <w:sz w:val="22"/>
        </w:rPr>
        <w:t xml:space="preserve">ZHAN, F., HUANG, Y., COLLA, S., STEWART, J. P., HANAMURA, I., GUPTA, S., EPSTEIN, J., YACCOBY, S., SAWYER, J., BURINGTON, B., ANAISSIE, E., HOLLMIG, K., PINEDA-ROMAN, M., TRICOT, G., VAN RHEE, F., WALKER, R., ZANGARI, M., CROWLEY, J., BARLOGIE, B. &amp; SHAUGHNESSY, J. D., JR. 2006. The molecular classification of multiple myeloma. </w:t>
      </w:r>
      <w:r w:rsidRPr="004A784D">
        <w:rPr>
          <w:i/>
          <w:noProof/>
          <w:color w:val="000000"/>
          <w:sz w:val="22"/>
        </w:rPr>
        <w:t>Blood,</w:t>
      </w:r>
      <w:r w:rsidRPr="004A784D">
        <w:rPr>
          <w:noProof/>
          <w:color w:val="000000"/>
          <w:sz w:val="22"/>
        </w:rPr>
        <w:t xml:space="preserve"> 108</w:t>
      </w:r>
      <w:r w:rsidRPr="004A784D">
        <w:rPr>
          <w:b/>
          <w:noProof/>
          <w:color w:val="000000"/>
          <w:sz w:val="22"/>
        </w:rPr>
        <w:t>,</w:t>
      </w:r>
      <w:r w:rsidRPr="004A784D">
        <w:rPr>
          <w:noProof/>
          <w:color w:val="000000"/>
          <w:sz w:val="22"/>
        </w:rPr>
        <w:t xml:space="preserve"> 2020-8.</w:t>
      </w:r>
      <w:bookmarkEnd w:id="2715"/>
    </w:p>
    <w:p w:rsidR="004A784D" w:rsidRPr="004A784D" w:rsidRDefault="004A784D" w:rsidP="004A784D">
      <w:pPr>
        <w:spacing w:after="240"/>
        <w:jc w:val="both"/>
        <w:rPr>
          <w:noProof/>
          <w:color w:val="000000"/>
          <w:sz w:val="22"/>
        </w:rPr>
      </w:pPr>
      <w:bookmarkStart w:id="2716" w:name="_ENREF_466"/>
      <w:r w:rsidRPr="004A784D">
        <w:rPr>
          <w:noProof/>
          <w:color w:val="000000"/>
          <w:sz w:val="22"/>
        </w:rPr>
        <w:t xml:space="preserve">ZHANG, X., WANG, B., ZHANG, X. S., LI, Z. M., GUAN, Z. Z. &amp; JIANG, W. Q. 2007a. Serum diagnosis of diffuse large B-cell lymphomas and further identification of response to therapy using SELDI-TOF-MS and tree analysis patterning. </w:t>
      </w:r>
      <w:r w:rsidRPr="004A784D">
        <w:rPr>
          <w:i/>
          <w:noProof/>
          <w:color w:val="000000"/>
          <w:sz w:val="22"/>
        </w:rPr>
        <w:t>BMC Cancer,</w:t>
      </w:r>
      <w:r w:rsidRPr="004A784D">
        <w:rPr>
          <w:noProof/>
          <w:color w:val="000000"/>
          <w:sz w:val="22"/>
        </w:rPr>
        <w:t xml:space="preserve"> 7</w:t>
      </w:r>
      <w:r w:rsidRPr="004A784D">
        <w:rPr>
          <w:b/>
          <w:noProof/>
          <w:color w:val="000000"/>
          <w:sz w:val="22"/>
        </w:rPr>
        <w:t>,</w:t>
      </w:r>
      <w:r w:rsidRPr="004A784D">
        <w:rPr>
          <w:noProof/>
          <w:color w:val="000000"/>
          <w:sz w:val="22"/>
        </w:rPr>
        <w:t xml:space="preserve"> 235.</w:t>
      </w:r>
      <w:bookmarkEnd w:id="2716"/>
    </w:p>
    <w:p w:rsidR="004A784D" w:rsidRPr="004A784D" w:rsidRDefault="004A784D" w:rsidP="004A784D">
      <w:pPr>
        <w:spacing w:after="240"/>
        <w:jc w:val="both"/>
        <w:rPr>
          <w:noProof/>
          <w:color w:val="000000"/>
          <w:sz w:val="22"/>
        </w:rPr>
      </w:pPr>
      <w:bookmarkStart w:id="2717" w:name="_ENREF_467"/>
      <w:r w:rsidRPr="004A784D">
        <w:rPr>
          <w:noProof/>
          <w:color w:val="000000"/>
          <w:sz w:val="22"/>
        </w:rPr>
        <w:t xml:space="preserve">ZHANG, Z., YU, Y., XU, F., BERCHUCK, A., VAN HAAFTEN-DAY, C., HAVRILESKY, L. J., DE BRUIJN, H. W., VAN DER ZEE, A. G., WOOLAS, R. P., JACOBS, I. J., SKATES, S., CHAN, D. W. &amp; BAST, R. C., JR. 2007b. Combining multiple serum tumor markers improves detection of stage I epithelial ovarian cancer. </w:t>
      </w:r>
      <w:r w:rsidRPr="004A784D">
        <w:rPr>
          <w:i/>
          <w:noProof/>
          <w:color w:val="000000"/>
          <w:sz w:val="22"/>
        </w:rPr>
        <w:t>Gynecol Oncol,</w:t>
      </w:r>
      <w:r w:rsidRPr="004A784D">
        <w:rPr>
          <w:noProof/>
          <w:color w:val="000000"/>
          <w:sz w:val="22"/>
        </w:rPr>
        <w:t xml:space="preserve"> 107</w:t>
      </w:r>
      <w:r w:rsidRPr="004A784D">
        <w:rPr>
          <w:b/>
          <w:noProof/>
          <w:color w:val="000000"/>
          <w:sz w:val="22"/>
        </w:rPr>
        <w:t>,</w:t>
      </w:r>
      <w:r w:rsidRPr="004A784D">
        <w:rPr>
          <w:noProof/>
          <w:color w:val="000000"/>
          <w:sz w:val="22"/>
        </w:rPr>
        <w:t xml:space="preserve"> 526-31.</w:t>
      </w:r>
      <w:bookmarkEnd w:id="2717"/>
    </w:p>
    <w:p w:rsidR="004A784D" w:rsidRPr="004A784D" w:rsidRDefault="004A784D" w:rsidP="004A784D">
      <w:pPr>
        <w:spacing w:after="240"/>
        <w:jc w:val="both"/>
        <w:rPr>
          <w:noProof/>
          <w:color w:val="000000"/>
          <w:sz w:val="22"/>
        </w:rPr>
      </w:pPr>
      <w:bookmarkStart w:id="2718" w:name="_ENREF_468"/>
      <w:r w:rsidRPr="004A784D">
        <w:rPr>
          <w:noProof/>
          <w:color w:val="000000"/>
          <w:sz w:val="22"/>
        </w:rPr>
        <w:t xml:space="preserve">ZHOU, J. Y., SCHEPMOES, A. A., ZHANG, X., MOORE, R. J., MONROE, M. E., LEE, J. H., CAMP, D. G., SMITH, R. D. &amp; QIAN, W. J. 2010a. Improved LC-MS/MS spectral counting statistics by recovering low-scoring spectra matched to confidently identified peptide sequences. </w:t>
      </w:r>
      <w:r w:rsidRPr="004A784D">
        <w:rPr>
          <w:i/>
          <w:noProof/>
          <w:color w:val="000000"/>
          <w:sz w:val="22"/>
        </w:rPr>
        <w:t>J Proteome Res,</w:t>
      </w:r>
      <w:r w:rsidRPr="004A784D">
        <w:rPr>
          <w:noProof/>
          <w:color w:val="000000"/>
          <w:sz w:val="22"/>
        </w:rPr>
        <w:t xml:space="preserve"> 9</w:t>
      </w:r>
      <w:r w:rsidRPr="004A784D">
        <w:rPr>
          <w:b/>
          <w:noProof/>
          <w:color w:val="000000"/>
          <w:sz w:val="22"/>
        </w:rPr>
        <w:t>,</w:t>
      </w:r>
      <w:r w:rsidRPr="004A784D">
        <w:rPr>
          <w:noProof/>
          <w:color w:val="000000"/>
          <w:sz w:val="22"/>
        </w:rPr>
        <w:t xml:space="preserve"> 5698-704.</w:t>
      </w:r>
      <w:bookmarkEnd w:id="2718"/>
    </w:p>
    <w:p w:rsidR="004A784D" w:rsidRPr="004A784D" w:rsidRDefault="004A784D" w:rsidP="004A784D">
      <w:pPr>
        <w:spacing w:after="240"/>
        <w:jc w:val="both"/>
        <w:rPr>
          <w:noProof/>
          <w:color w:val="000000"/>
          <w:sz w:val="22"/>
        </w:rPr>
      </w:pPr>
      <w:bookmarkStart w:id="2719" w:name="_ENREF_469"/>
      <w:r w:rsidRPr="004A784D">
        <w:rPr>
          <w:noProof/>
          <w:color w:val="000000"/>
          <w:sz w:val="22"/>
        </w:rPr>
        <w:t xml:space="preserve">ZHOU, L. L., ZHAO, Y., RINGROSE, A., DEGEER, D., KENNAH, E., LIN, A. E., SHENG, G., LI, X. J., TURHAN, A. &amp; JIANG, X. 2008. AHI-1 interacts with BCR-ABL and modulates BCR-ABL transforming activity and imatinib response of CML stem/progenitor cells. </w:t>
      </w:r>
      <w:r w:rsidRPr="004A784D">
        <w:rPr>
          <w:i/>
          <w:noProof/>
          <w:color w:val="000000"/>
          <w:sz w:val="22"/>
        </w:rPr>
        <w:t>J Exp Med,</w:t>
      </w:r>
      <w:r w:rsidRPr="004A784D">
        <w:rPr>
          <w:noProof/>
          <w:color w:val="000000"/>
          <w:sz w:val="22"/>
        </w:rPr>
        <w:t xml:space="preserve"> 205</w:t>
      </w:r>
      <w:r w:rsidRPr="004A784D">
        <w:rPr>
          <w:b/>
          <w:noProof/>
          <w:color w:val="000000"/>
          <w:sz w:val="22"/>
        </w:rPr>
        <w:t>,</w:t>
      </w:r>
      <w:r w:rsidRPr="004A784D">
        <w:rPr>
          <w:noProof/>
          <w:color w:val="000000"/>
          <w:sz w:val="22"/>
        </w:rPr>
        <w:t xml:space="preserve"> 2657-71.</w:t>
      </w:r>
      <w:bookmarkEnd w:id="2719"/>
    </w:p>
    <w:p w:rsidR="004A784D" w:rsidRPr="004A784D" w:rsidRDefault="004A784D" w:rsidP="004A784D">
      <w:pPr>
        <w:spacing w:after="240"/>
        <w:jc w:val="both"/>
        <w:rPr>
          <w:noProof/>
          <w:color w:val="000000"/>
          <w:sz w:val="22"/>
        </w:rPr>
      </w:pPr>
      <w:bookmarkStart w:id="2720" w:name="_ENREF_470"/>
      <w:r w:rsidRPr="004A784D">
        <w:rPr>
          <w:noProof/>
          <w:color w:val="000000"/>
          <w:sz w:val="22"/>
        </w:rPr>
        <w:t xml:space="preserve">ZHOU, M., GUAN, W., WALKER, L. D., MEZENCEV, R., BENIGNO, B. B., GRAY, A., FERNANDEZ, F. M. &amp; MCDONALD, J. F. 2010b. Rapid mass spectrometric metabolic profiling of blood sera detects ovarian cancer with high accuracy. </w:t>
      </w:r>
      <w:r w:rsidRPr="004A784D">
        <w:rPr>
          <w:i/>
          <w:noProof/>
          <w:color w:val="000000"/>
          <w:sz w:val="22"/>
        </w:rPr>
        <w:t>Cancer Epidemiol Biomarkers Prev,</w:t>
      </w:r>
      <w:r w:rsidRPr="004A784D">
        <w:rPr>
          <w:noProof/>
          <w:color w:val="000000"/>
          <w:sz w:val="22"/>
        </w:rPr>
        <w:t xml:space="preserve"> 19</w:t>
      </w:r>
      <w:r w:rsidRPr="004A784D">
        <w:rPr>
          <w:b/>
          <w:noProof/>
          <w:color w:val="000000"/>
          <w:sz w:val="22"/>
        </w:rPr>
        <w:t>,</w:t>
      </w:r>
      <w:r w:rsidRPr="004A784D">
        <w:rPr>
          <w:noProof/>
          <w:color w:val="000000"/>
          <w:sz w:val="22"/>
        </w:rPr>
        <w:t xml:space="preserve"> 2262-71.</w:t>
      </w:r>
      <w:bookmarkEnd w:id="2720"/>
    </w:p>
    <w:p w:rsidR="004A784D" w:rsidRPr="004A784D" w:rsidRDefault="004A784D" w:rsidP="004A784D">
      <w:pPr>
        <w:spacing w:after="240"/>
        <w:jc w:val="both"/>
        <w:rPr>
          <w:noProof/>
          <w:color w:val="000000"/>
          <w:sz w:val="22"/>
        </w:rPr>
      </w:pPr>
      <w:bookmarkStart w:id="2721" w:name="_ENREF_471"/>
      <w:r w:rsidRPr="004A784D">
        <w:rPr>
          <w:noProof/>
          <w:color w:val="000000"/>
          <w:sz w:val="22"/>
        </w:rPr>
        <w:t xml:space="preserve">ZHOU, M., LUCAS, D. A., CHAN, K. C., ISSAQ, H. J., PETRICOIN, E. F., 3RD, LIOTTA, L. A., VEENSTRA, T. D. &amp; CONRADS, T. P. 2004. An investigation into the human serum "interactome". </w:t>
      </w:r>
      <w:r w:rsidRPr="004A784D">
        <w:rPr>
          <w:i/>
          <w:noProof/>
          <w:color w:val="000000"/>
          <w:sz w:val="22"/>
        </w:rPr>
        <w:t>Electrophoresis,</w:t>
      </w:r>
      <w:r w:rsidRPr="004A784D">
        <w:rPr>
          <w:noProof/>
          <w:color w:val="000000"/>
          <w:sz w:val="22"/>
        </w:rPr>
        <w:t xml:space="preserve"> 25</w:t>
      </w:r>
      <w:r w:rsidRPr="004A784D">
        <w:rPr>
          <w:b/>
          <w:noProof/>
          <w:color w:val="000000"/>
          <w:sz w:val="22"/>
        </w:rPr>
        <w:t>,</w:t>
      </w:r>
      <w:r w:rsidRPr="004A784D">
        <w:rPr>
          <w:noProof/>
          <w:color w:val="000000"/>
          <w:sz w:val="22"/>
        </w:rPr>
        <w:t xml:space="preserve"> 1289-98.</w:t>
      </w:r>
      <w:bookmarkEnd w:id="2721"/>
    </w:p>
    <w:p w:rsidR="004A784D" w:rsidRPr="004A784D" w:rsidRDefault="004A784D" w:rsidP="004A784D">
      <w:pPr>
        <w:spacing w:after="240"/>
        <w:jc w:val="both"/>
        <w:rPr>
          <w:noProof/>
          <w:color w:val="000000"/>
          <w:sz w:val="22"/>
        </w:rPr>
      </w:pPr>
      <w:bookmarkStart w:id="2722" w:name="_ENREF_472"/>
      <w:r w:rsidRPr="004A784D">
        <w:rPr>
          <w:noProof/>
          <w:color w:val="000000"/>
          <w:sz w:val="22"/>
        </w:rPr>
        <w:t xml:space="preserve">ZHOU, Q. &amp; GALLO, J. M. 2011. The pharmacokinetic/pharmacodynamic pipeline: translating anticancer drug pharmacology to the clinic. </w:t>
      </w:r>
      <w:r w:rsidRPr="004A784D">
        <w:rPr>
          <w:i/>
          <w:noProof/>
          <w:color w:val="000000"/>
          <w:sz w:val="22"/>
        </w:rPr>
        <w:t>AAPS J,</w:t>
      </w:r>
      <w:r w:rsidRPr="004A784D">
        <w:rPr>
          <w:noProof/>
          <w:color w:val="000000"/>
          <w:sz w:val="22"/>
        </w:rPr>
        <w:t xml:space="preserve"> 13</w:t>
      </w:r>
      <w:r w:rsidRPr="004A784D">
        <w:rPr>
          <w:b/>
          <w:noProof/>
          <w:color w:val="000000"/>
          <w:sz w:val="22"/>
        </w:rPr>
        <w:t>,</w:t>
      </w:r>
      <w:r w:rsidRPr="004A784D">
        <w:rPr>
          <w:noProof/>
          <w:color w:val="000000"/>
          <w:sz w:val="22"/>
        </w:rPr>
        <w:t xml:space="preserve"> 111-20.</w:t>
      </w:r>
      <w:bookmarkEnd w:id="2722"/>
    </w:p>
    <w:p w:rsidR="004A784D" w:rsidRPr="004A784D" w:rsidRDefault="004A784D" w:rsidP="004A784D">
      <w:pPr>
        <w:spacing w:after="240"/>
        <w:jc w:val="both"/>
        <w:rPr>
          <w:noProof/>
          <w:color w:val="000000"/>
          <w:sz w:val="22"/>
        </w:rPr>
      </w:pPr>
      <w:bookmarkStart w:id="2723" w:name="_ENREF_473"/>
      <w:r w:rsidRPr="004A784D">
        <w:rPr>
          <w:noProof/>
          <w:color w:val="000000"/>
          <w:sz w:val="22"/>
        </w:rPr>
        <w:lastRenderedPageBreak/>
        <w:t xml:space="preserve">ZIDI, I., MESTIRI, S., BARTEGI, A. &amp; AMOR, N. B. 2009. TNF-alpha and its inhibitors in cancer. </w:t>
      </w:r>
      <w:r w:rsidRPr="004A784D">
        <w:rPr>
          <w:i/>
          <w:noProof/>
          <w:color w:val="000000"/>
          <w:sz w:val="22"/>
        </w:rPr>
        <w:t>Med Oncol</w:t>
      </w:r>
      <w:r w:rsidRPr="004A784D">
        <w:rPr>
          <w:noProof/>
          <w:color w:val="000000"/>
          <w:sz w:val="22"/>
        </w:rPr>
        <w:t>.</w:t>
      </w:r>
      <w:bookmarkEnd w:id="2723"/>
    </w:p>
    <w:p w:rsidR="004A784D" w:rsidRPr="004A784D" w:rsidRDefault="004A784D" w:rsidP="004A784D">
      <w:pPr>
        <w:spacing w:after="240"/>
        <w:jc w:val="both"/>
        <w:rPr>
          <w:noProof/>
          <w:color w:val="000000"/>
          <w:sz w:val="22"/>
        </w:rPr>
      </w:pPr>
      <w:bookmarkStart w:id="2724" w:name="_ENREF_474"/>
      <w:r w:rsidRPr="004A784D">
        <w:rPr>
          <w:noProof/>
          <w:color w:val="000000"/>
          <w:sz w:val="22"/>
        </w:rPr>
        <w:t xml:space="preserve">ZITVOGEL, L., KEPP, O., AYMERIC, L., MA, Y., LOCHER, C., DELAHAYE, N. F., ANDRE, F. &amp; KROEMER, G. 2010. Integration of host-related signatures with cancer cell-derived predictors for the optimal management of anticancer chemotherapy. </w:t>
      </w:r>
      <w:r w:rsidRPr="004A784D">
        <w:rPr>
          <w:i/>
          <w:noProof/>
          <w:color w:val="000000"/>
          <w:sz w:val="22"/>
        </w:rPr>
        <w:t>Cancer Res,</w:t>
      </w:r>
      <w:r w:rsidRPr="004A784D">
        <w:rPr>
          <w:noProof/>
          <w:color w:val="000000"/>
          <w:sz w:val="22"/>
        </w:rPr>
        <w:t xml:space="preserve"> 70</w:t>
      </w:r>
      <w:r w:rsidRPr="004A784D">
        <w:rPr>
          <w:b/>
          <w:noProof/>
          <w:color w:val="000000"/>
          <w:sz w:val="22"/>
        </w:rPr>
        <w:t>,</w:t>
      </w:r>
      <w:r w:rsidRPr="004A784D">
        <w:rPr>
          <w:noProof/>
          <w:color w:val="000000"/>
          <w:sz w:val="22"/>
        </w:rPr>
        <w:t xml:space="preserve"> 9538-43.</w:t>
      </w:r>
      <w:bookmarkEnd w:id="2724"/>
    </w:p>
    <w:p w:rsidR="004A784D" w:rsidRPr="004A784D" w:rsidRDefault="004A784D" w:rsidP="004A784D">
      <w:pPr>
        <w:spacing w:after="240"/>
        <w:jc w:val="both"/>
        <w:rPr>
          <w:noProof/>
          <w:color w:val="000000"/>
          <w:sz w:val="22"/>
        </w:rPr>
      </w:pPr>
      <w:bookmarkStart w:id="2725" w:name="_ENREF_475"/>
      <w:r w:rsidRPr="004A784D">
        <w:rPr>
          <w:noProof/>
          <w:color w:val="000000"/>
          <w:sz w:val="22"/>
        </w:rPr>
        <w:t xml:space="preserve">ZITVOGEL, L., KEPP, O. &amp; KROEMER, G. 2011. Immune parameters affecting the efficacy of chemotherapeutic regimens. </w:t>
      </w:r>
      <w:r w:rsidRPr="004A784D">
        <w:rPr>
          <w:i/>
          <w:noProof/>
          <w:color w:val="000000"/>
          <w:sz w:val="22"/>
        </w:rPr>
        <w:t>Nat Rev Clin Oncol,</w:t>
      </w:r>
      <w:r w:rsidRPr="004A784D">
        <w:rPr>
          <w:noProof/>
          <w:color w:val="000000"/>
          <w:sz w:val="22"/>
        </w:rPr>
        <w:t xml:space="preserve"> 8</w:t>
      </w:r>
      <w:r w:rsidRPr="004A784D">
        <w:rPr>
          <w:b/>
          <w:noProof/>
          <w:color w:val="000000"/>
          <w:sz w:val="22"/>
        </w:rPr>
        <w:t>,</w:t>
      </w:r>
      <w:r w:rsidRPr="004A784D">
        <w:rPr>
          <w:noProof/>
          <w:color w:val="000000"/>
          <w:sz w:val="22"/>
        </w:rPr>
        <w:t xml:space="preserve"> 151-60.</w:t>
      </w:r>
      <w:bookmarkEnd w:id="2725"/>
    </w:p>
    <w:p w:rsidR="004A784D" w:rsidRPr="004A784D" w:rsidRDefault="004A784D" w:rsidP="004A784D">
      <w:pPr>
        <w:spacing w:after="240"/>
        <w:jc w:val="both"/>
        <w:rPr>
          <w:noProof/>
          <w:color w:val="000000"/>
          <w:sz w:val="22"/>
        </w:rPr>
      </w:pPr>
      <w:bookmarkStart w:id="2726" w:name="_ENREF_476"/>
      <w:r w:rsidRPr="004A784D">
        <w:rPr>
          <w:noProof/>
          <w:color w:val="000000"/>
          <w:sz w:val="22"/>
        </w:rPr>
        <w:t xml:space="preserve">ZIVKOVIC, A. M., WIEST, M. M., NGUYEN, U. T., DAVIS, R., WATKINS, S. M. &amp; GERMAN, J. B. 2009. Effects of sample handling and storage on quantitative lipid analysis in human serum. </w:t>
      </w:r>
      <w:r w:rsidRPr="004A784D">
        <w:rPr>
          <w:i/>
          <w:noProof/>
          <w:color w:val="000000"/>
          <w:sz w:val="22"/>
        </w:rPr>
        <w:t>Metabolomics,</w:t>
      </w:r>
      <w:r w:rsidRPr="004A784D">
        <w:rPr>
          <w:noProof/>
          <w:color w:val="000000"/>
          <w:sz w:val="22"/>
        </w:rPr>
        <w:t xml:space="preserve"> 5</w:t>
      </w:r>
      <w:r w:rsidRPr="004A784D">
        <w:rPr>
          <w:b/>
          <w:noProof/>
          <w:color w:val="000000"/>
          <w:sz w:val="22"/>
        </w:rPr>
        <w:t>,</w:t>
      </w:r>
      <w:r w:rsidRPr="004A784D">
        <w:rPr>
          <w:noProof/>
          <w:color w:val="000000"/>
          <w:sz w:val="22"/>
        </w:rPr>
        <w:t xml:space="preserve"> 507-516.</w:t>
      </w:r>
      <w:bookmarkEnd w:id="2726"/>
    </w:p>
    <w:p w:rsidR="004A784D" w:rsidRPr="004A784D" w:rsidRDefault="004A784D" w:rsidP="004A784D">
      <w:pPr>
        <w:spacing w:after="240"/>
        <w:jc w:val="both"/>
        <w:rPr>
          <w:noProof/>
          <w:color w:val="000000"/>
          <w:sz w:val="22"/>
        </w:rPr>
      </w:pPr>
      <w:bookmarkStart w:id="2727" w:name="_ENREF_477"/>
      <w:r w:rsidRPr="004A784D">
        <w:rPr>
          <w:noProof/>
          <w:color w:val="000000"/>
          <w:sz w:val="22"/>
        </w:rPr>
        <w:t xml:space="preserve">ZLOBEC, I., VUONG, T., HAYASHI, S., HAEGERT, D., TORNILLO, L., TERRACCIANO, L., LUGLI, A. &amp; JASS, J. 2007. A simple and reproducible scoring system for EGFR in colorectal cancer: application to prognosis and prediction of response to preoperative brachytherapy. </w:t>
      </w:r>
      <w:r w:rsidRPr="004A784D">
        <w:rPr>
          <w:i/>
          <w:noProof/>
          <w:color w:val="000000"/>
          <w:sz w:val="22"/>
        </w:rPr>
        <w:t>Br J Cancer,</w:t>
      </w:r>
      <w:r w:rsidRPr="004A784D">
        <w:rPr>
          <w:noProof/>
          <w:color w:val="000000"/>
          <w:sz w:val="22"/>
        </w:rPr>
        <w:t xml:space="preserve"> 96</w:t>
      </w:r>
      <w:r w:rsidRPr="004A784D">
        <w:rPr>
          <w:b/>
          <w:noProof/>
          <w:color w:val="000000"/>
          <w:sz w:val="22"/>
        </w:rPr>
        <w:t>,</w:t>
      </w:r>
      <w:r w:rsidRPr="004A784D">
        <w:rPr>
          <w:noProof/>
          <w:color w:val="000000"/>
          <w:sz w:val="22"/>
        </w:rPr>
        <w:t xml:space="preserve"> 793-800.</w:t>
      </w:r>
      <w:bookmarkEnd w:id="2727"/>
    </w:p>
    <w:p w:rsidR="004A784D" w:rsidRPr="004A784D" w:rsidRDefault="004A784D" w:rsidP="004A784D">
      <w:pPr>
        <w:jc w:val="both"/>
        <w:rPr>
          <w:noProof/>
          <w:color w:val="000000"/>
          <w:sz w:val="22"/>
        </w:rPr>
      </w:pPr>
      <w:bookmarkStart w:id="2728" w:name="_ENREF_478"/>
      <w:r w:rsidRPr="004A784D">
        <w:rPr>
          <w:noProof/>
          <w:color w:val="000000"/>
          <w:sz w:val="22"/>
        </w:rPr>
        <w:t xml:space="preserve">ZUO, X., ECHAN, L., HEMBACH, P., TANG, H. Y., SPEICHER, K. D., SANTOLI, D. &amp; SPEICHER, D. W. 2001. Towards global analysis of mammalian proteomes using sample prefractionation prior to narrow pH range two-dimensional gels and using one-dimensional gels for insoluble and large proteins. </w:t>
      </w:r>
      <w:r w:rsidRPr="004A784D">
        <w:rPr>
          <w:i/>
          <w:noProof/>
          <w:color w:val="000000"/>
          <w:sz w:val="22"/>
        </w:rPr>
        <w:t>Electrophoresis,</w:t>
      </w:r>
      <w:r w:rsidRPr="004A784D">
        <w:rPr>
          <w:noProof/>
          <w:color w:val="000000"/>
          <w:sz w:val="22"/>
        </w:rPr>
        <w:t xml:space="preserve"> 22</w:t>
      </w:r>
      <w:r w:rsidRPr="004A784D">
        <w:rPr>
          <w:b/>
          <w:noProof/>
          <w:color w:val="000000"/>
          <w:sz w:val="22"/>
        </w:rPr>
        <w:t>,</w:t>
      </w:r>
      <w:r w:rsidRPr="004A784D">
        <w:rPr>
          <w:noProof/>
          <w:color w:val="000000"/>
          <w:sz w:val="22"/>
        </w:rPr>
        <w:t xml:space="preserve"> 1603-15.</w:t>
      </w:r>
      <w:bookmarkEnd w:id="2728"/>
    </w:p>
    <w:p w:rsidR="004A784D" w:rsidRDefault="004A784D" w:rsidP="004A784D">
      <w:pPr>
        <w:jc w:val="both"/>
        <w:rPr>
          <w:noProof/>
          <w:color w:val="000000"/>
          <w:sz w:val="22"/>
        </w:rPr>
      </w:pPr>
    </w:p>
    <w:p w:rsidR="00932109" w:rsidRPr="00873C4C" w:rsidRDefault="00685D96" w:rsidP="00057B42">
      <w:pPr>
        <w:spacing w:line="360" w:lineRule="auto"/>
        <w:ind w:left="720" w:hanging="720"/>
        <w:jc w:val="both"/>
        <w:rPr>
          <w:color w:val="000000"/>
        </w:rPr>
      </w:pPr>
      <w:r w:rsidRPr="00873C4C">
        <w:rPr>
          <w:color w:val="000000"/>
        </w:rPr>
        <w:fldChar w:fldCharType="end"/>
      </w:r>
    </w:p>
    <w:p w:rsidR="009F70CD" w:rsidRPr="00873C4C" w:rsidRDefault="007D5831" w:rsidP="00057B42">
      <w:pPr>
        <w:spacing w:line="360" w:lineRule="auto"/>
        <w:jc w:val="both"/>
        <w:rPr>
          <w:color w:val="000000"/>
        </w:rPr>
      </w:pPr>
      <w:r>
        <w:rPr>
          <w:color w:val="000000"/>
        </w:rPr>
        <w:fldChar w:fldCharType="begin"/>
      </w:r>
      <w:r>
        <w:rPr>
          <w:color w:val="000000"/>
        </w:rPr>
        <w:instrText xml:space="preserve"> ADDIN </w:instrText>
      </w:r>
      <w:r>
        <w:rPr>
          <w:color w:val="000000"/>
        </w:rPr>
        <w:fldChar w:fldCharType="end"/>
      </w:r>
    </w:p>
    <w:sectPr w:rsidR="009F70CD" w:rsidRPr="00873C4C" w:rsidSect="00385588">
      <w:footerReference w:type="even" r:id="rId131"/>
      <w:footerReference w:type="default" r:id="rId132"/>
      <w:pgSz w:w="11906" w:h="16838"/>
      <w:pgMar w:top="1418" w:right="1418" w:bottom="1418" w:left="2325" w:header="709" w:footer="62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1D9F" w:rsidRDefault="00AE1D9F">
      <w:r>
        <w:separator/>
      </w:r>
    </w:p>
  </w:endnote>
  <w:endnote w:type="continuationSeparator" w:id="0">
    <w:p w:rsidR="00AE1D9F" w:rsidRDefault="00AE1D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PCL6)">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Nimbus Roman No9 L">
    <w:altName w:val="Times New Roman"/>
    <w:charset w:val="00"/>
    <w:family w:val="roman"/>
    <w:pitch w:val="variable"/>
  </w:font>
  <w:font w:name="DejaVu Sans">
    <w:charset w:val="00"/>
    <w:family w:val="auto"/>
    <w:pitch w:val="variable"/>
  </w:font>
  <w:font w:name="Blackadder ITC">
    <w:panose1 w:val="04020505051007020D02"/>
    <w:charset w:val="00"/>
    <w:family w:val="decorative"/>
    <w:pitch w:val="variable"/>
    <w:sig w:usb0="00000003" w:usb1="00000000" w:usb2="00000000" w:usb3="00000000" w:csb0="00000001" w:csb1="00000000"/>
  </w:font>
  <w:font w:name="Frutiger-BlackC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ndale Sans UI">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95A" w:rsidRDefault="004B395A" w:rsidP="00F14B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B395A" w:rsidRDefault="004B395A" w:rsidP="001A2C4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42700"/>
      <w:docPartObj>
        <w:docPartGallery w:val="Page Numbers (Bottom of Page)"/>
        <w:docPartUnique/>
      </w:docPartObj>
    </w:sdtPr>
    <w:sdtEndPr>
      <w:rPr>
        <w:noProof/>
      </w:rPr>
    </w:sdtEndPr>
    <w:sdtContent>
      <w:p w:rsidR="004B395A" w:rsidRDefault="004B395A">
        <w:pPr>
          <w:pStyle w:val="Footer"/>
          <w:jc w:val="center"/>
        </w:pPr>
        <w:r>
          <w:fldChar w:fldCharType="begin"/>
        </w:r>
        <w:r>
          <w:instrText xml:space="preserve"> PAGE   \* MERGEFORMAT </w:instrText>
        </w:r>
        <w:r>
          <w:fldChar w:fldCharType="separate"/>
        </w:r>
        <w:r w:rsidR="00645687">
          <w:rPr>
            <w:noProof/>
          </w:rPr>
          <w:t>40</w:t>
        </w:r>
        <w:r>
          <w:rPr>
            <w:noProof/>
          </w:rPr>
          <w:fldChar w:fldCharType="end"/>
        </w:r>
      </w:p>
    </w:sdtContent>
  </w:sdt>
  <w:p w:rsidR="004B395A" w:rsidRDefault="004B395A" w:rsidP="001A2C4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1D9F" w:rsidRDefault="00AE1D9F">
      <w:r>
        <w:separator/>
      </w:r>
    </w:p>
  </w:footnote>
  <w:footnote w:type="continuationSeparator" w:id="0">
    <w:p w:rsidR="00AE1D9F" w:rsidRDefault="00AE1D9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1">
    <w:nsid w:val="007F3099"/>
    <w:multiLevelType w:val="hybridMultilevel"/>
    <w:tmpl w:val="4EC651BE"/>
    <w:lvl w:ilvl="0" w:tplc="FFF059EC">
      <w:start w:val="1"/>
      <w:numFmt w:val="decimal"/>
      <w:lvlText w:val="Figure 4.%1"/>
      <w:lvlJc w:val="left"/>
      <w:pPr>
        <w:ind w:left="360"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
    <w:nsid w:val="029719CF"/>
    <w:multiLevelType w:val="hybridMultilevel"/>
    <w:tmpl w:val="132A716E"/>
    <w:lvl w:ilvl="0" w:tplc="0A0851A6">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6D8391A"/>
    <w:multiLevelType w:val="hybridMultilevel"/>
    <w:tmpl w:val="035AFB1E"/>
    <w:lvl w:ilvl="0" w:tplc="6324B258">
      <w:start w:val="1"/>
      <w:numFmt w:val="decimal"/>
      <w:lvlText w:val="%1."/>
      <w:lvlJc w:val="left"/>
      <w:pPr>
        <w:ind w:left="360" w:hanging="360"/>
      </w:pPr>
      <w:rPr>
        <w:b/>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4">
    <w:nsid w:val="168B7B79"/>
    <w:multiLevelType w:val="hybridMultilevel"/>
    <w:tmpl w:val="90E665A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nsid w:val="170C4A00"/>
    <w:multiLevelType w:val="multilevel"/>
    <w:tmpl w:val="78408A06"/>
    <w:lvl w:ilvl="0">
      <w:start w:val="3"/>
      <w:numFmt w:val="decimal"/>
      <w:lvlText w:val="%1."/>
      <w:lvlJc w:val="left"/>
      <w:pPr>
        <w:ind w:left="0" w:firstLine="0"/>
      </w:pPr>
      <w:rPr>
        <w:rFonts w:ascii="Times New Roman" w:hAnsi="Times New Roman" w:hint="default"/>
        <w:b/>
        <w:i w:val="0"/>
        <w:color w:val="0D0D0D"/>
        <w:sz w:val="28"/>
      </w:rPr>
    </w:lvl>
    <w:lvl w:ilvl="1">
      <w:start w:val="1"/>
      <w:numFmt w:val="decimal"/>
      <w:lvlText w:val="%1.%2."/>
      <w:lvlJc w:val="left"/>
      <w:pPr>
        <w:ind w:left="0" w:firstLine="0"/>
      </w:pPr>
      <w:rPr>
        <w:rFonts w:ascii="Times New Roman" w:hAnsi="Times New Roman" w:hint="default"/>
        <w:color w:val="0D0D0D"/>
        <w:sz w:val="28"/>
      </w:rPr>
    </w:lvl>
    <w:lvl w:ilvl="2">
      <w:start w:val="1"/>
      <w:numFmt w:val="decimal"/>
      <w:lvlText w:val="%1.%2.%3."/>
      <w:lvlJc w:val="left"/>
      <w:pPr>
        <w:ind w:left="0" w:firstLine="0"/>
      </w:pPr>
      <w:rPr>
        <w:rFonts w:ascii="Times New Roman" w:hAnsi="Times New Roman" w:hint="default"/>
        <w:b/>
        <w:i w:val="0"/>
        <w:color w:val="0D0D0D"/>
        <w:sz w:val="28"/>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nsid w:val="1D3231C4"/>
    <w:multiLevelType w:val="multilevel"/>
    <w:tmpl w:val="7D3E3074"/>
    <w:lvl w:ilvl="0">
      <w:start w:val="3"/>
      <w:numFmt w:val="decimal"/>
      <w:lvlText w:val="%1."/>
      <w:lvlJc w:val="left"/>
      <w:pPr>
        <w:ind w:left="0" w:firstLine="0"/>
      </w:pPr>
      <w:rPr>
        <w:rFonts w:ascii="Times New Roman" w:hAnsi="Times New Roman" w:hint="default"/>
        <w:b/>
        <w:i w:val="0"/>
        <w:color w:val="0D0D0D"/>
        <w:sz w:val="28"/>
      </w:rPr>
    </w:lvl>
    <w:lvl w:ilvl="1">
      <w:start w:val="3"/>
      <w:numFmt w:val="decimal"/>
      <w:lvlText w:val="%1.%2."/>
      <w:lvlJc w:val="left"/>
      <w:pPr>
        <w:ind w:left="0" w:firstLine="0"/>
      </w:pPr>
      <w:rPr>
        <w:rFonts w:ascii="Times New Roman" w:hAnsi="Times New Roman" w:hint="default"/>
        <w:color w:val="0D0D0D"/>
        <w:sz w:val="28"/>
      </w:rPr>
    </w:lvl>
    <w:lvl w:ilvl="2">
      <w:start w:val="1"/>
      <w:numFmt w:val="decimal"/>
      <w:lvlText w:val="%1.%2.%3."/>
      <w:lvlJc w:val="left"/>
      <w:pPr>
        <w:ind w:left="141" w:firstLine="0"/>
      </w:pPr>
      <w:rPr>
        <w:rFonts w:ascii="Times New Roman" w:hAnsi="Times New Roman" w:hint="default"/>
        <w:b/>
        <w:i w:val="0"/>
        <w:color w:val="0D0D0D"/>
        <w:sz w:val="28"/>
      </w:rPr>
    </w:lvl>
    <w:lvl w:ilvl="3">
      <w:start w:val="1"/>
      <w:numFmt w:val="decimal"/>
      <w:lvlText w:val="%1.%2.%3.%4."/>
      <w:lvlJc w:val="left"/>
      <w:pPr>
        <w:ind w:left="0" w:firstLine="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2B4827FC"/>
    <w:multiLevelType w:val="multilevel"/>
    <w:tmpl w:val="13AAA86C"/>
    <w:lvl w:ilvl="0">
      <w:start w:val="4"/>
      <w:numFmt w:val="decimal"/>
      <w:lvlText w:val="%1."/>
      <w:lvlJc w:val="left"/>
      <w:pPr>
        <w:ind w:left="928" w:hanging="360"/>
      </w:pPr>
      <w:rPr>
        <w:rFonts w:hint="default"/>
        <w:sz w:val="4"/>
        <w:szCs w:val="26"/>
      </w:rPr>
    </w:lvl>
    <w:lvl w:ilvl="1">
      <w:start w:val="1"/>
      <w:numFmt w:val="decimal"/>
      <w:isLgl/>
      <w:lvlText w:val="%1.%2"/>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0" w:firstLine="0"/>
      </w:pPr>
      <w:rPr>
        <w:rFonts w:hint="default"/>
        <w:b/>
        <w:sz w:val="26"/>
        <w:szCs w:val="26"/>
      </w:rPr>
    </w:lvl>
    <w:lvl w:ilvl="4">
      <w:start w:val="1"/>
      <w:numFmt w:val="decimal"/>
      <w:isLgl/>
      <w:lvlText w:val="%1.%2.%3.%4.%5"/>
      <w:lvlJc w:val="left"/>
      <w:pPr>
        <w:ind w:left="0" w:firstLine="0"/>
      </w:pPr>
      <w:rPr>
        <w:rFonts w:hint="default"/>
        <w:sz w:val="26"/>
      </w:rPr>
    </w:lvl>
    <w:lvl w:ilvl="5">
      <w:start w:val="1"/>
      <w:numFmt w:val="decimal"/>
      <w:isLgl/>
      <w:lvlText w:val="%1.%2.%3.%4.%5.%6"/>
      <w:lvlJc w:val="left"/>
      <w:pPr>
        <w:ind w:left="1658" w:hanging="1080"/>
      </w:pPr>
      <w:rPr>
        <w:rFonts w:hint="default"/>
        <w:sz w:val="26"/>
      </w:rPr>
    </w:lvl>
    <w:lvl w:ilvl="6">
      <w:start w:val="1"/>
      <w:numFmt w:val="decimal"/>
      <w:isLgl/>
      <w:lvlText w:val="%1.%2.%3.%4.%5.%6.%7"/>
      <w:lvlJc w:val="left"/>
      <w:pPr>
        <w:ind w:left="2018" w:hanging="1440"/>
      </w:pPr>
      <w:rPr>
        <w:rFonts w:hint="default"/>
        <w:sz w:val="26"/>
      </w:rPr>
    </w:lvl>
    <w:lvl w:ilvl="7">
      <w:start w:val="1"/>
      <w:numFmt w:val="decimal"/>
      <w:isLgl/>
      <w:lvlText w:val="%1.%2.%3.%4.%5.%6.%7.%8"/>
      <w:lvlJc w:val="left"/>
      <w:pPr>
        <w:ind w:left="2018" w:hanging="1440"/>
      </w:pPr>
      <w:rPr>
        <w:rFonts w:hint="default"/>
        <w:sz w:val="26"/>
      </w:rPr>
    </w:lvl>
    <w:lvl w:ilvl="8">
      <w:start w:val="1"/>
      <w:numFmt w:val="decimal"/>
      <w:isLgl/>
      <w:lvlText w:val="%1.%2.%3.%4.%5.%6.%7.%8.%9"/>
      <w:lvlJc w:val="left"/>
      <w:pPr>
        <w:ind w:left="2378" w:hanging="1800"/>
      </w:pPr>
      <w:rPr>
        <w:rFonts w:hint="default"/>
        <w:sz w:val="26"/>
      </w:rPr>
    </w:lvl>
  </w:abstractNum>
  <w:abstractNum w:abstractNumId="8">
    <w:nsid w:val="2B8120E8"/>
    <w:multiLevelType w:val="multilevel"/>
    <w:tmpl w:val="D0ACFBA2"/>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sz w:val="4"/>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304" w:hanging="13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nsid w:val="2CC94D40"/>
    <w:multiLevelType w:val="multilevel"/>
    <w:tmpl w:val="BE36B662"/>
    <w:styleLink w:val="ThesisFinal"/>
    <w:lvl w:ilvl="0">
      <w:start w:val="3"/>
      <w:numFmt w:val="decimal"/>
      <w:lvlText w:val="%1."/>
      <w:lvlJc w:val="left"/>
      <w:pPr>
        <w:ind w:left="0" w:firstLine="0"/>
      </w:pPr>
      <w:rPr>
        <w:rFonts w:ascii="Times New Roman" w:hAnsi="Times New Roman"/>
        <w:b/>
        <w:i w:val="0"/>
        <w:color w:val="0D0D0D"/>
        <w:sz w:val="28"/>
      </w:rPr>
    </w:lvl>
    <w:lvl w:ilvl="1">
      <w:start w:val="1"/>
      <w:numFmt w:val="decimal"/>
      <w:lvlText w:val="%1.%2."/>
      <w:lvlJc w:val="left"/>
      <w:pPr>
        <w:ind w:left="0" w:firstLine="0"/>
      </w:pPr>
      <w:rPr>
        <w:rFonts w:ascii="Times New Roman" w:hAnsi="Times New Roman" w:hint="default"/>
        <w:color w:val="0D0D0D"/>
        <w:sz w:val="28"/>
      </w:rPr>
    </w:lvl>
    <w:lvl w:ilvl="2">
      <w:start w:val="1"/>
      <w:numFmt w:val="decimal"/>
      <w:lvlText w:val="%1.%2.%3."/>
      <w:lvlJc w:val="left"/>
      <w:pPr>
        <w:ind w:left="0" w:firstLine="0"/>
      </w:pPr>
      <w:rPr>
        <w:rFonts w:ascii="Times New Roman" w:hAnsi="Times New Roman" w:hint="default"/>
        <w:b/>
        <w:i w:val="0"/>
        <w:color w:val="0D0D0D"/>
        <w:sz w:val="28"/>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nsid w:val="2ECB6D41"/>
    <w:multiLevelType w:val="multilevel"/>
    <w:tmpl w:val="78408A06"/>
    <w:lvl w:ilvl="0">
      <w:start w:val="3"/>
      <w:numFmt w:val="decimal"/>
      <w:lvlText w:val="%1."/>
      <w:lvlJc w:val="left"/>
      <w:pPr>
        <w:ind w:left="0" w:firstLine="0"/>
      </w:pPr>
      <w:rPr>
        <w:rFonts w:ascii="Times New Roman" w:hAnsi="Times New Roman" w:hint="default"/>
        <w:b/>
        <w:i w:val="0"/>
        <w:color w:val="0D0D0D"/>
        <w:sz w:val="28"/>
      </w:rPr>
    </w:lvl>
    <w:lvl w:ilvl="1">
      <w:start w:val="1"/>
      <w:numFmt w:val="decimal"/>
      <w:lvlText w:val="%1.%2."/>
      <w:lvlJc w:val="left"/>
      <w:pPr>
        <w:ind w:left="0" w:firstLine="0"/>
      </w:pPr>
      <w:rPr>
        <w:rFonts w:ascii="Times New Roman" w:hAnsi="Times New Roman" w:hint="default"/>
        <w:color w:val="0D0D0D"/>
        <w:sz w:val="28"/>
      </w:rPr>
    </w:lvl>
    <w:lvl w:ilvl="2">
      <w:start w:val="1"/>
      <w:numFmt w:val="decimal"/>
      <w:lvlText w:val="%1.%2.%3."/>
      <w:lvlJc w:val="left"/>
      <w:pPr>
        <w:ind w:left="0" w:firstLine="0"/>
      </w:pPr>
      <w:rPr>
        <w:rFonts w:ascii="Times New Roman" w:hAnsi="Times New Roman" w:hint="default"/>
        <w:b/>
        <w:i w:val="0"/>
        <w:color w:val="0D0D0D"/>
        <w:sz w:val="28"/>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nsid w:val="32AF2993"/>
    <w:multiLevelType w:val="multilevel"/>
    <w:tmpl w:val="0809001F"/>
    <w:styleLink w:val="StyleNumberedArial16ptBold"/>
    <w:lvl w:ilvl="0">
      <w:start w:val="1"/>
      <w:numFmt w:val="decimal"/>
      <w:lvlText w:val="%1."/>
      <w:lvlJc w:val="left"/>
      <w:pPr>
        <w:tabs>
          <w:tab w:val="num" w:pos="5040"/>
        </w:tabs>
        <w:ind w:left="5040" w:hanging="360"/>
      </w:pPr>
      <w:rPr>
        <w:rFonts w:hint="default"/>
        <w:b/>
        <w:sz w:val="24"/>
      </w:rPr>
    </w:lvl>
    <w:lvl w:ilvl="1">
      <w:start w:val="1"/>
      <w:numFmt w:val="decimal"/>
      <w:lvlText w:val="%1.%2."/>
      <w:lvlJc w:val="left"/>
      <w:pPr>
        <w:tabs>
          <w:tab w:val="num" w:pos="5472"/>
        </w:tabs>
        <w:ind w:left="5472" w:hanging="432"/>
      </w:pPr>
      <w:rPr>
        <w:rFonts w:hint="default"/>
      </w:rPr>
    </w:lvl>
    <w:lvl w:ilvl="2">
      <w:start w:val="1"/>
      <w:numFmt w:val="decimal"/>
      <w:lvlText w:val="%1.%2.%3."/>
      <w:lvlJc w:val="left"/>
      <w:pPr>
        <w:tabs>
          <w:tab w:val="num" w:pos="6120"/>
        </w:tabs>
        <w:ind w:left="5904" w:hanging="504"/>
      </w:pPr>
      <w:rPr>
        <w:rFonts w:hint="default"/>
      </w:rPr>
    </w:lvl>
    <w:lvl w:ilvl="3">
      <w:start w:val="1"/>
      <w:numFmt w:val="decimal"/>
      <w:lvlText w:val="%1.%2.%3.%4."/>
      <w:lvlJc w:val="left"/>
      <w:pPr>
        <w:tabs>
          <w:tab w:val="num" w:pos="6840"/>
        </w:tabs>
        <w:ind w:left="6408" w:hanging="648"/>
      </w:pPr>
      <w:rPr>
        <w:rFonts w:hint="default"/>
      </w:rPr>
    </w:lvl>
    <w:lvl w:ilvl="4">
      <w:start w:val="1"/>
      <w:numFmt w:val="decimal"/>
      <w:lvlText w:val="%1.%2.%3.%4.%5."/>
      <w:lvlJc w:val="left"/>
      <w:pPr>
        <w:tabs>
          <w:tab w:val="num" w:pos="7200"/>
        </w:tabs>
        <w:ind w:left="6912" w:hanging="792"/>
      </w:pPr>
      <w:rPr>
        <w:rFonts w:hint="default"/>
      </w:rPr>
    </w:lvl>
    <w:lvl w:ilvl="5">
      <w:start w:val="1"/>
      <w:numFmt w:val="decimal"/>
      <w:lvlText w:val="%1.%2.%3.%4.%5.%6."/>
      <w:lvlJc w:val="left"/>
      <w:pPr>
        <w:tabs>
          <w:tab w:val="num" w:pos="7920"/>
        </w:tabs>
        <w:ind w:left="7416" w:hanging="936"/>
      </w:pPr>
      <w:rPr>
        <w:rFonts w:hint="default"/>
      </w:rPr>
    </w:lvl>
    <w:lvl w:ilvl="6">
      <w:start w:val="1"/>
      <w:numFmt w:val="decimal"/>
      <w:lvlText w:val="%1.%2.%3.%4.%5.%6.%7."/>
      <w:lvlJc w:val="left"/>
      <w:pPr>
        <w:tabs>
          <w:tab w:val="num" w:pos="8280"/>
        </w:tabs>
        <w:ind w:left="7920" w:hanging="1080"/>
      </w:pPr>
      <w:rPr>
        <w:rFonts w:hint="default"/>
      </w:rPr>
    </w:lvl>
    <w:lvl w:ilvl="7">
      <w:start w:val="1"/>
      <w:numFmt w:val="decimal"/>
      <w:lvlText w:val="%1.%2.%3.%4.%5.%6.%7.%8."/>
      <w:lvlJc w:val="left"/>
      <w:pPr>
        <w:tabs>
          <w:tab w:val="num" w:pos="9000"/>
        </w:tabs>
        <w:ind w:left="8424" w:hanging="1224"/>
      </w:pPr>
      <w:rPr>
        <w:rFonts w:hint="default"/>
      </w:rPr>
    </w:lvl>
    <w:lvl w:ilvl="8">
      <w:start w:val="1"/>
      <w:numFmt w:val="decimal"/>
      <w:lvlText w:val="%1.%2.%3.%4.%5.%6.%7.%8.%9."/>
      <w:lvlJc w:val="left"/>
      <w:pPr>
        <w:tabs>
          <w:tab w:val="num" w:pos="9720"/>
        </w:tabs>
        <w:ind w:left="9000" w:hanging="1440"/>
      </w:pPr>
      <w:rPr>
        <w:rFonts w:hint="default"/>
      </w:rPr>
    </w:lvl>
  </w:abstractNum>
  <w:abstractNum w:abstractNumId="12">
    <w:nsid w:val="34C07032"/>
    <w:multiLevelType w:val="hybridMultilevel"/>
    <w:tmpl w:val="9E36F2EC"/>
    <w:lvl w:ilvl="0" w:tplc="B3EE687E">
      <w:start w:val="11"/>
      <w:numFmt w:val="decimal"/>
      <w:lvlText w:val="%1."/>
      <w:lvlJc w:val="left"/>
      <w:pPr>
        <w:tabs>
          <w:tab w:val="num" w:pos="720"/>
        </w:tabs>
        <w:ind w:left="720" w:hanging="720"/>
      </w:pPr>
      <w:rPr>
        <w:rFonts w:hint="default"/>
      </w:rPr>
    </w:lvl>
    <w:lvl w:ilvl="1" w:tplc="08090019">
      <w:start w:val="1"/>
      <w:numFmt w:val="lowerLetter"/>
      <w:lvlText w:val="%2."/>
      <w:lvlJc w:val="left"/>
      <w:pPr>
        <w:tabs>
          <w:tab w:val="num" w:pos="1080"/>
        </w:tabs>
        <w:ind w:left="1080" w:hanging="360"/>
      </w:pPr>
    </w:lvl>
    <w:lvl w:ilvl="2" w:tplc="0809001B">
      <w:start w:val="1"/>
      <w:numFmt w:val="lowerRoman"/>
      <w:lvlText w:val="%3."/>
      <w:lvlJc w:val="right"/>
      <w:pPr>
        <w:tabs>
          <w:tab w:val="num" w:pos="1800"/>
        </w:tabs>
        <w:ind w:left="1800" w:hanging="180"/>
      </w:pPr>
    </w:lvl>
    <w:lvl w:ilvl="3" w:tplc="CAC223D0">
      <w:start w:val="100"/>
      <w:numFmt w:val="bullet"/>
      <w:lvlText w:val="•"/>
      <w:lvlJc w:val="left"/>
      <w:pPr>
        <w:ind w:left="2880" w:hanging="720"/>
      </w:pPr>
      <w:rPr>
        <w:rFonts w:ascii="Times New Roman" w:eastAsia="MS Mincho" w:hAnsi="Times New Roman" w:cs="Times New Roman" w:hint="default"/>
      </w:r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nsid w:val="377B21C0"/>
    <w:multiLevelType w:val="multilevel"/>
    <w:tmpl w:val="D11A6BA4"/>
    <w:lvl w:ilvl="0">
      <w:start w:val="1"/>
      <w:numFmt w:val="decimal"/>
      <w:lvlText w:val="%1"/>
      <w:lvlJc w:val="left"/>
      <w:pPr>
        <w:tabs>
          <w:tab w:val="num" w:pos="252"/>
        </w:tabs>
        <w:ind w:left="0" w:firstLine="0"/>
      </w:pPr>
      <w:rPr>
        <w:rFonts w:hint="default"/>
      </w:rPr>
    </w:lvl>
    <w:lvl w:ilvl="1">
      <w:start w:val="1"/>
      <w:numFmt w:val="decimal"/>
      <w:pStyle w:val="StyleThesisHeading2TimesNewRoman12ptBlackLinespacing"/>
      <w:lvlText w:val="%1.%2"/>
      <w:lvlJc w:val="left"/>
      <w:pPr>
        <w:tabs>
          <w:tab w:val="num" w:pos="576"/>
        </w:tabs>
        <w:ind w:left="576" w:hanging="576"/>
      </w:pPr>
      <w:rPr>
        <w:rFonts w:hint="default"/>
      </w:rPr>
    </w:lvl>
    <w:lvl w:ilvl="2">
      <w:start w:val="9"/>
      <w:numFmt w:val="decimal"/>
      <w:pStyle w:val="thesisHeading3"/>
      <w:lvlText w:val="%1.%2.%3"/>
      <w:lvlJc w:val="left"/>
      <w:pPr>
        <w:tabs>
          <w:tab w:val="num" w:pos="540"/>
        </w:tabs>
        <w:ind w:left="540" w:hanging="720"/>
      </w:pPr>
      <w:rPr>
        <w:rFonts w:hint="default"/>
        <w:b/>
        <w:bCs/>
        <w:i w:val="0"/>
        <w:iCs w:val="0"/>
        <w:caps w:val="0"/>
        <w:smallCaps w:val="0"/>
        <w:strike w:val="0"/>
        <w:dstrike w:val="0"/>
        <w:color w:val="000000"/>
        <w:spacing w:val="0"/>
        <w:w w:val="100"/>
        <w:kern w:val="0"/>
        <w:position w:val="0"/>
        <w:sz w:val="24"/>
        <w:szCs w:val="24"/>
        <w:u w:val="none"/>
        <w:effect w:val="no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hesisHeading412pt"/>
      <w:lvlText w:val="%1.%2.%3.%4"/>
      <w:lvlJc w:val="left"/>
      <w:pPr>
        <w:tabs>
          <w:tab w:val="num" w:pos="864"/>
        </w:tabs>
        <w:ind w:left="864" w:hanging="864"/>
      </w:pPr>
      <w:rPr>
        <w:rFonts w:hint="default"/>
        <w:b/>
        <w:bCs/>
        <w:i w:val="0"/>
        <w:iCs w:val="0"/>
        <w:caps w:val="0"/>
        <w:smallCaps w:val="0"/>
        <w:strike w:val="0"/>
        <w:dstrike w:val="0"/>
        <w:color w:val="auto"/>
        <w:spacing w:val="0"/>
        <w:w w:val="100"/>
        <w:kern w:val="0"/>
        <w:position w:val="0"/>
        <w:sz w:val="24"/>
        <w:u w:val="none"/>
        <w:effect w:val="no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4">
    <w:nsid w:val="51BE3282"/>
    <w:multiLevelType w:val="multilevel"/>
    <w:tmpl w:val="386AA27A"/>
    <w:lvl w:ilvl="0">
      <w:start w:val="1"/>
      <w:numFmt w:val="decimal"/>
      <w:lvlText w:val="%1."/>
      <w:lvlJc w:val="left"/>
      <w:pPr>
        <w:ind w:left="360" w:hanging="360"/>
      </w:pPr>
      <w:rPr>
        <w:rFonts w:hint="default"/>
        <w:b/>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15">
    <w:nsid w:val="52426794"/>
    <w:multiLevelType w:val="hybridMultilevel"/>
    <w:tmpl w:val="1D1E833A"/>
    <w:lvl w:ilvl="0" w:tplc="353238DE">
      <w:start w:val="1"/>
      <w:numFmt w:val="decimal"/>
      <w:lvlText w:val="%1."/>
      <w:lvlJc w:val="left"/>
      <w:pPr>
        <w:tabs>
          <w:tab w:val="num" w:pos="720"/>
        </w:tabs>
        <w:ind w:left="72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nsid w:val="56F52F67"/>
    <w:multiLevelType w:val="multilevel"/>
    <w:tmpl w:val="7BEEEAD0"/>
    <w:lvl w:ilvl="0">
      <w:start w:val="3"/>
      <w:numFmt w:val="decimal"/>
      <w:lvlText w:val="%1"/>
      <w:lvlJc w:val="left"/>
      <w:pPr>
        <w:ind w:left="0" w:firstLine="0"/>
      </w:pPr>
      <w:rPr>
        <w:rFonts w:ascii="Times New Roman" w:hAnsi="Times New Roman" w:hint="default"/>
        <w:b/>
        <w:i w:val="0"/>
        <w:sz w:val="28"/>
      </w:rPr>
    </w:lvl>
    <w:lvl w:ilvl="1">
      <w:start w:val="1"/>
      <w:numFmt w:val="decimal"/>
      <w:lvlText w:val="%1.%2"/>
      <w:lvlJc w:val="left"/>
      <w:pPr>
        <w:ind w:left="0" w:firstLine="0"/>
      </w:pPr>
      <w:rPr>
        <w:rFonts w:ascii="Times New Roman" w:hAnsi="Times New Roman" w:hint="default"/>
        <w:b/>
        <w:i w:val="0"/>
        <w:sz w:val="28"/>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7">
    <w:nsid w:val="592A5893"/>
    <w:multiLevelType w:val="hybridMultilevel"/>
    <w:tmpl w:val="7ABCDB60"/>
    <w:lvl w:ilvl="0" w:tplc="866C6E00">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nsid w:val="638C4CED"/>
    <w:multiLevelType w:val="multilevel"/>
    <w:tmpl w:val="B344A7BA"/>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nsid w:val="63A86B1C"/>
    <w:multiLevelType w:val="multilevel"/>
    <w:tmpl w:val="78408A06"/>
    <w:lvl w:ilvl="0">
      <w:start w:val="3"/>
      <w:numFmt w:val="decimal"/>
      <w:lvlText w:val="%1."/>
      <w:lvlJc w:val="left"/>
      <w:pPr>
        <w:ind w:left="0" w:firstLine="0"/>
      </w:pPr>
      <w:rPr>
        <w:rFonts w:ascii="Times New Roman" w:hAnsi="Times New Roman" w:hint="default"/>
        <w:b/>
        <w:i w:val="0"/>
        <w:color w:val="0D0D0D"/>
        <w:sz w:val="28"/>
      </w:rPr>
    </w:lvl>
    <w:lvl w:ilvl="1">
      <w:start w:val="1"/>
      <w:numFmt w:val="decimal"/>
      <w:lvlText w:val="%1.%2."/>
      <w:lvlJc w:val="left"/>
      <w:pPr>
        <w:ind w:left="0" w:firstLine="0"/>
      </w:pPr>
      <w:rPr>
        <w:rFonts w:ascii="Times New Roman" w:hAnsi="Times New Roman" w:hint="default"/>
        <w:color w:val="0D0D0D"/>
        <w:sz w:val="28"/>
      </w:rPr>
    </w:lvl>
    <w:lvl w:ilvl="2">
      <w:start w:val="1"/>
      <w:numFmt w:val="decimal"/>
      <w:lvlText w:val="%1.%2.%3."/>
      <w:lvlJc w:val="left"/>
      <w:pPr>
        <w:ind w:left="0" w:firstLine="0"/>
      </w:pPr>
      <w:rPr>
        <w:rFonts w:ascii="Times New Roman" w:hAnsi="Times New Roman" w:hint="default"/>
        <w:b/>
        <w:i w:val="0"/>
        <w:color w:val="0D0D0D"/>
        <w:sz w:val="28"/>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
    <w:nsid w:val="689E4427"/>
    <w:multiLevelType w:val="hybridMultilevel"/>
    <w:tmpl w:val="935CBFC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nsid w:val="6FEE5E55"/>
    <w:multiLevelType w:val="hybridMultilevel"/>
    <w:tmpl w:val="98F8F5EE"/>
    <w:lvl w:ilvl="0" w:tplc="E3EEB5A8">
      <w:start w:val="1"/>
      <w:numFmt w:val="decimal"/>
      <w:lvlText w:val="%1."/>
      <w:lvlJc w:val="left"/>
      <w:pPr>
        <w:tabs>
          <w:tab w:val="num" w:pos="786"/>
        </w:tabs>
        <w:ind w:left="786" w:hanging="786"/>
      </w:pPr>
      <w:rPr>
        <w:rFonts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7A1B1DE7"/>
    <w:multiLevelType w:val="multilevel"/>
    <w:tmpl w:val="B5D2AD24"/>
    <w:lvl w:ilvl="0">
      <w:start w:val="8"/>
      <w:numFmt w:val="decimal"/>
      <w:lvlText w:val="%1."/>
      <w:lvlJc w:val="left"/>
      <w:pPr>
        <w:ind w:left="928" w:hanging="360"/>
      </w:pPr>
      <w:rPr>
        <w:rFonts w:hint="default"/>
        <w:sz w:val="26"/>
        <w:szCs w:val="26"/>
      </w:rPr>
    </w:lvl>
    <w:lvl w:ilvl="1">
      <w:start w:val="1"/>
      <w:numFmt w:val="decimal"/>
      <w:isLgl/>
      <w:lvlText w:val="%1.%2"/>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isLgl/>
      <w:lvlText w:val="%1.%2.%3"/>
      <w:lvlJc w:val="left"/>
      <w:pPr>
        <w:ind w:left="0" w:firstLine="0"/>
      </w:pPr>
      <w:rPr>
        <w:rFonts w:ascii="Times New Roman" w:hAnsi="Times New Roman" w:cs="Times New Roman" w:hint="default"/>
        <w:b/>
        <w:bCs w:val="0"/>
        <w:i w:val="0"/>
        <w:iCs w:val="0"/>
        <w:caps w:val="0"/>
        <w:smallCaps w:val="0"/>
        <w:strike w:val="0"/>
        <w:dstrike w:val="0"/>
        <w:outline w:val="0"/>
        <w:shadow w:val="0"/>
        <w:emboss w:val="0"/>
        <w:imprint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3">
      <w:start w:val="1"/>
      <w:numFmt w:val="decimal"/>
      <w:isLgl/>
      <w:lvlText w:val="%1.%2.%3.%4"/>
      <w:lvlJc w:val="left"/>
      <w:pPr>
        <w:ind w:left="0" w:firstLine="0"/>
      </w:pPr>
      <w:rPr>
        <w:rFonts w:hint="default"/>
        <w:sz w:val="26"/>
        <w:szCs w:val="26"/>
      </w:rPr>
    </w:lvl>
    <w:lvl w:ilvl="4">
      <w:start w:val="1"/>
      <w:numFmt w:val="decimal"/>
      <w:isLgl/>
      <w:lvlText w:val="%1.%2.%3.%4.%5"/>
      <w:lvlJc w:val="left"/>
      <w:pPr>
        <w:ind w:left="0" w:firstLine="0"/>
      </w:pPr>
      <w:rPr>
        <w:rFonts w:hint="default"/>
        <w:sz w:val="26"/>
      </w:rPr>
    </w:lvl>
    <w:lvl w:ilvl="5">
      <w:start w:val="1"/>
      <w:numFmt w:val="decimal"/>
      <w:isLgl/>
      <w:lvlText w:val="%1.%2.%3.%4.%5.%6"/>
      <w:lvlJc w:val="left"/>
      <w:pPr>
        <w:ind w:left="1658" w:hanging="1080"/>
      </w:pPr>
      <w:rPr>
        <w:rFonts w:hint="default"/>
        <w:sz w:val="26"/>
      </w:rPr>
    </w:lvl>
    <w:lvl w:ilvl="6">
      <w:start w:val="1"/>
      <w:numFmt w:val="decimal"/>
      <w:isLgl/>
      <w:lvlText w:val="%1.%2.%3.%4.%5.%6.%7"/>
      <w:lvlJc w:val="left"/>
      <w:pPr>
        <w:ind w:left="2018" w:hanging="1440"/>
      </w:pPr>
      <w:rPr>
        <w:rFonts w:hint="default"/>
        <w:sz w:val="26"/>
      </w:rPr>
    </w:lvl>
    <w:lvl w:ilvl="7">
      <w:start w:val="1"/>
      <w:numFmt w:val="decimal"/>
      <w:isLgl/>
      <w:lvlText w:val="%1.%2.%3.%4.%5.%6.%7.%8"/>
      <w:lvlJc w:val="left"/>
      <w:pPr>
        <w:ind w:left="2018" w:hanging="1440"/>
      </w:pPr>
      <w:rPr>
        <w:rFonts w:hint="default"/>
        <w:sz w:val="26"/>
      </w:rPr>
    </w:lvl>
    <w:lvl w:ilvl="8">
      <w:start w:val="1"/>
      <w:numFmt w:val="decimal"/>
      <w:isLgl/>
      <w:lvlText w:val="%1.%2.%3.%4.%5.%6.%7.%8.%9"/>
      <w:lvlJc w:val="left"/>
      <w:pPr>
        <w:ind w:left="2378" w:hanging="1800"/>
      </w:pPr>
      <w:rPr>
        <w:rFonts w:hint="default"/>
        <w:sz w:val="26"/>
      </w:rPr>
    </w:lvl>
  </w:abstractNum>
  <w:num w:numId="1">
    <w:abstractNumId w:val="11"/>
  </w:num>
  <w:num w:numId="2">
    <w:abstractNumId w:val="13"/>
  </w:num>
  <w:num w:numId="3">
    <w:abstractNumId w:val="8"/>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12"/>
  </w:num>
  <w:num w:numId="7">
    <w:abstractNumId w:val="21"/>
  </w:num>
  <w:num w:numId="8">
    <w:abstractNumId w:val="15"/>
  </w:num>
  <w:num w:numId="9">
    <w:abstractNumId w:val="14"/>
  </w:num>
  <w:num w:numId="10">
    <w:abstractNumId w:val="17"/>
  </w:num>
  <w:num w:numId="11">
    <w:abstractNumId w:val="16"/>
  </w:num>
  <w:num w:numId="12">
    <w:abstractNumId w:val="9"/>
  </w:num>
  <w:num w:numId="13">
    <w:abstractNumId w:val="6"/>
  </w:num>
  <w:num w:numId="14">
    <w:abstractNumId w:val="10"/>
    <w:lvlOverride w:ilvl="1">
      <w:lvl w:ilvl="1">
        <w:start w:val="1"/>
        <w:numFmt w:val="decimal"/>
        <w:lvlText w:val="%1.%2."/>
        <w:lvlJc w:val="left"/>
        <w:pPr>
          <w:ind w:left="0" w:firstLine="0"/>
        </w:pPr>
        <w:rPr>
          <w:rFonts w:ascii="Times New Roman" w:hAnsi="Times New Roman" w:hint="default"/>
          <w:color w:val="0D0D0D" w:themeColor="text1" w:themeTint="F2"/>
          <w:sz w:val="28"/>
        </w:rPr>
      </w:lvl>
    </w:lvlOverride>
    <w:lvlOverride w:ilvl="2">
      <w:lvl w:ilvl="2">
        <w:start w:val="1"/>
        <w:numFmt w:val="decimal"/>
        <w:lvlText w:val="%1.%2.%3."/>
        <w:lvlJc w:val="left"/>
        <w:pPr>
          <w:ind w:left="0" w:firstLine="0"/>
        </w:pPr>
        <w:rPr>
          <w:rFonts w:ascii="Times New Roman" w:hAnsi="Times New Roman" w:hint="default"/>
          <w:b/>
          <w:i w:val="0"/>
          <w:color w:val="0D0D0D" w:themeColor="text1" w:themeTint="F2"/>
          <w:sz w:val="28"/>
        </w:rPr>
      </w:lvl>
    </w:lvlOverride>
    <w:lvlOverride w:ilvl="3">
      <w:lvl w:ilvl="3">
        <w:start w:val="1"/>
        <w:numFmt w:val="decimal"/>
        <w:lvlText w:val="%1.%2.%3.%4."/>
        <w:lvlJc w:val="left"/>
        <w:pPr>
          <w:ind w:left="0" w:firstLine="0"/>
        </w:pPr>
        <w:rPr>
          <w:rFonts w:hint="default"/>
        </w:rPr>
      </w:lvl>
    </w:lvlOverride>
  </w:num>
  <w:num w:numId="15">
    <w:abstractNumId w:val="19"/>
  </w:num>
  <w:num w:numId="16">
    <w:abstractNumId w:val="5"/>
    <w:lvlOverride w:ilvl="1">
      <w:lvl w:ilvl="1">
        <w:start w:val="1"/>
        <w:numFmt w:val="decimal"/>
        <w:lvlText w:val="%1.%2."/>
        <w:lvlJc w:val="left"/>
        <w:pPr>
          <w:ind w:left="0" w:firstLine="0"/>
        </w:pPr>
        <w:rPr>
          <w:rFonts w:ascii="Times New Roman" w:hAnsi="Times New Roman" w:hint="default"/>
          <w:b/>
          <w:color w:val="0D0D0D" w:themeColor="text1" w:themeTint="F2"/>
          <w:sz w:val="28"/>
        </w:rPr>
      </w:lvl>
    </w:lvlOverride>
    <w:lvlOverride w:ilvl="2">
      <w:lvl w:ilvl="2">
        <w:start w:val="1"/>
        <w:numFmt w:val="decimal"/>
        <w:lvlText w:val="%1.%2.%3."/>
        <w:lvlJc w:val="left"/>
        <w:pPr>
          <w:ind w:left="0" w:firstLine="0"/>
        </w:pPr>
        <w:rPr>
          <w:rFonts w:ascii="Times New Roman" w:hAnsi="Times New Roman" w:hint="default"/>
          <w:b/>
          <w:i w:val="0"/>
          <w:color w:val="0D0D0D" w:themeColor="text1" w:themeTint="F2"/>
          <w:sz w:val="28"/>
        </w:rPr>
      </w:lvl>
    </w:lvlOverride>
    <w:lvlOverride w:ilvl="3">
      <w:lvl w:ilvl="3">
        <w:start w:val="1"/>
        <w:numFmt w:val="decimal"/>
        <w:lvlText w:val="%1.%2.%3.%4."/>
        <w:lvlJc w:val="left"/>
        <w:pPr>
          <w:ind w:left="0" w:firstLine="0"/>
        </w:pPr>
        <w:rPr>
          <w:rFonts w:hint="default"/>
        </w:rPr>
      </w:lvl>
    </w:lvlOverride>
  </w:num>
  <w:num w:numId="17">
    <w:abstractNumId w:val="2"/>
  </w:num>
  <w:num w:numId="18">
    <w:abstractNumId w:val="1"/>
  </w:num>
  <w:num w:numId="19">
    <w:abstractNumId w:val="7"/>
  </w:num>
  <w:num w:numId="20">
    <w:abstractNumId w:val="4"/>
  </w:num>
  <w:num w:numId="21">
    <w:abstractNumId w:val="20"/>
  </w:num>
  <w:num w:numId="22">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18"/>
  </w:num>
  <w:num w:numId="25">
    <w:abstractNumId w:val="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activeWritingStyle w:appName="MSWord" w:lang="en-IE" w:vendorID="64" w:dllVersion="131078" w:nlCheck="1" w:checkStyle="1"/>
  <w:activeWritingStyle w:appName="MSWord" w:lang="en-GB" w:vendorID="64" w:dllVersion="131078" w:nlCheck="1" w:checkStyle="1"/>
  <w:activeWritingStyle w:appName="MSWord" w:lang="en-US" w:vendorID="64" w:dllVersion="131078" w:nlCheck="1" w:checkStyle="1"/>
  <w:stylePaneFormatFilter w:val="0808" w:allStyles="0" w:customStyles="0" w:latentStyles="0" w:stylesInUse="1" w:headingStyles="0" w:numberingStyles="0" w:tableStyles="0" w:directFormattingOnRuns="0" w:directFormattingOnParagraphs="0" w:directFormattingOnNumbering="0" w:directFormattingOnTables="1"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Harvard&lt;/Style&gt;&lt;LeftDelim&gt;{&lt;/LeftDelim&gt;&lt;RightDelim&gt;}&lt;/RightDelim&gt;&lt;FontName&gt;Times New Roman&lt;/FontName&gt;&lt;FontSize&gt;11&lt;/FontSize&gt;&lt;ReflistTitle&gt;&lt;/ReflistTitle&gt;&lt;StartingRefnum&gt;1&lt;/StartingRefnum&gt;&lt;FirstLineIndent&gt;565&lt;/FirstLineIndent&gt;&lt;HangingIndent&gt;0&lt;/HangingIndent&gt;&lt;LineSpacing&gt;0&lt;/LineSpacing&gt;&lt;SpaceAfter&gt;1&lt;/SpaceAfter&gt;&lt;HyperlinksEnabled&gt;1&lt;/HyperlinksEnabled&gt;&lt;HyperlinksVisible&gt;0&lt;/HyperlinksVisible&gt;&lt;/ENLayout&gt;"/>
    <w:docVar w:name="EN.Libraries" w:val="&lt;Libraries&gt;&lt;item db-id=&quot;xe0tdfapvdt2f0ed2w9p9s9xswtee90fdvd5&quot;&gt;Final&lt;record-ids&gt;&lt;item&gt;1&lt;/item&gt;&lt;item&gt;2&lt;/item&gt;&lt;/record-ids&gt;&lt;/item&gt;&lt;/Libraries&gt;"/>
  </w:docVars>
  <w:rsids>
    <w:rsidRoot w:val="00932109"/>
    <w:rsid w:val="00000025"/>
    <w:rsid w:val="00001AF5"/>
    <w:rsid w:val="00003D0D"/>
    <w:rsid w:val="00005888"/>
    <w:rsid w:val="0000618A"/>
    <w:rsid w:val="00012452"/>
    <w:rsid w:val="00012637"/>
    <w:rsid w:val="000142D8"/>
    <w:rsid w:val="00014753"/>
    <w:rsid w:val="00014A31"/>
    <w:rsid w:val="00017570"/>
    <w:rsid w:val="00020581"/>
    <w:rsid w:val="00021E12"/>
    <w:rsid w:val="0003061A"/>
    <w:rsid w:val="00030F2B"/>
    <w:rsid w:val="000311D6"/>
    <w:rsid w:val="00033743"/>
    <w:rsid w:val="00042290"/>
    <w:rsid w:val="00042F0A"/>
    <w:rsid w:val="00043BBA"/>
    <w:rsid w:val="000443DF"/>
    <w:rsid w:val="00044740"/>
    <w:rsid w:val="00044963"/>
    <w:rsid w:val="00046E3D"/>
    <w:rsid w:val="000501E6"/>
    <w:rsid w:val="00053E8D"/>
    <w:rsid w:val="00054FC5"/>
    <w:rsid w:val="00056E62"/>
    <w:rsid w:val="00057B42"/>
    <w:rsid w:val="0006184D"/>
    <w:rsid w:val="00063871"/>
    <w:rsid w:val="000649AB"/>
    <w:rsid w:val="00071824"/>
    <w:rsid w:val="00071E09"/>
    <w:rsid w:val="000723C6"/>
    <w:rsid w:val="00072B89"/>
    <w:rsid w:val="00077389"/>
    <w:rsid w:val="00077A8E"/>
    <w:rsid w:val="000814C0"/>
    <w:rsid w:val="00081D7C"/>
    <w:rsid w:val="00083122"/>
    <w:rsid w:val="00084FBA"/>
    <w:rsid w:val="0008618F"/>
    <w:rsid w:val="00086A32"/>
    <w:rsid w:val="00086B10"/>
    <w:rsid w:val="00087806"/>
    <w:rsid w:val="00095179"/>
    <w:rsid w:val="00095524"/>
    <w:rsid w:val="000A1009"/>
    <w:rsid w:val="000A3EF4"/>
    <w:rsid w:val="000A3F16"/>
    <w:rsid w:val="000A4656"/>
    <w:rsid w:val="000A4841"/>
    <w:rsid w:val="000B0BDD"/>
    <w:rsid w:val="000B1FD1"/>
    <w:rsid w:val="000B24FD"/>
    <w:rsid w:val="000B3C61"/>
    <w:rsid w:val="000B6801"/>
    <w:rsid w:val="000B68F3"/>
    <w:rsid w:val="000B6D9A"/>
    <w:rsid w:val="000C1420"/>
    <w:rsid w:val="000C1CEE"/>
    <w:rsid w:val="000C55F6"/>
    <w:rsid w:val="000D012E"/>
    <w:rsid w:val="000D4DD6"/>
    <w:rsid w:val="000D5F8E"/>
    <w:rsid w:val="000D641E"/>
    <w:rsid w:val="000E08D5"/>
    <w:rsid w:val="000E1865"/>
    <w:rsid w:val="000E21E3"/>
    <w:rsid w:val="000F0D6C"/>
    <w:rsid w:val="000F417D"/>
    <w:rsid w:val="000F43ED"/>
    <w:rsid w:val="001007A5"/>
    <w:rsid w:val="00101F5C"/>
    <w:rsid w:val="0010315E"/>
    <w:rsid w:val="00103EE4"/>
    <w:rsid w:val="00104C61"/>
    <w:rsid w:val="00104D76"/>
    <w:rsid w:val="00106058"/>
    <w:rsid w:val="00106BBD"/>
    <w:rsid w:val="00111EDE"/>
    <w:rsid w:val="0011635B"/>
    <w:rsid w:val="001207D8"/>
    <w:rsid w:val="0012204A"/>
    <w:rsid w:val="00123BF1"/>
    <w:rsid w:val="00125E8A"/>
    <w:rsid w:val="00126699"/>
    <w:rsid w:val="00126E54"/>
    <w:rsid w:val="00130377"/>
    <w:rsid w:val="00131212"/>
    <w:rsid w:val="00133704"/>
    <w:rsid w:val="0013655C"/>
    <w:rsid w:val="00136FC9"/>
    <w:rsid w:val="00137C18"/>
    <w:rsid w:val="00140632"/>
    <w:rsid w:val="00141D85"/>
    <w:rsid w:val="0014426C"/>
    <w:rsid w:val="001536DE"/>
    <w:rsid w:val="00153E98"/>
    <w:rsid w:val="001554C4"/>
    <w:rsid w:val="00156B1B"/>
    <w:rsid w:val="00156F5A"/>
    <w:rsid w:val="00162601"/>
    <w:rsid w:val="00163FF5"/>
    <w:rsid w:val="00165B5B"/>
    <w:rsid w:val="00165DE6"/>
    <w:rsid w:val="00166FE8"/>
    <w:rsid w:val="00176369"/>
    <w:rsid w:val="0018307B"/>
    <w:rsid w:val="00183647"/>
    <w:rsid w:val="00183650"/>
    <w:rsid w:val="00183FFD"/>
    <w:rsid w:val="00192E99"/>
    <w:rsid w:val="001952AB"/>
    <w:rsid w:val="00195CB1"/>
    <w:rsid w:val="001962A1"/>
    <w:rsid w:val="00197FAB"/>
    <w:rsid w:val="001A0382"/>
    <w:rsid w:val="001A162E"/>
    <w:rsid w:val="001A181E"/>
    <w:rsid w:val="001A2954"/>
    <w:rsid w:val="001A2C41"/>
    <w:rsid w:val="001A3044"/>
    <w:rsid w:val="001A3150"/>
    <w:rsid w:val="001A3774"/>
    <w:rsid w:val="001A4A34"/>
    <w:rsid w:val="001A5528"/>
    <w:rsid w:val="001A5ED9"/>
    <w:rsid w:val="001A6859"/>
    <w:rsid w:val="001B0E11"/>
    <w:rsid w:val="001B1635"/>
    <w:rsid w:val="001B27AC"/>
    <w:rsid w:val="001B4C6E"/>
    <w:rsid w:val="001B5181"/>
    <w:rsid w:val="001B68DA"/>
    <w:rsid w:val="001B7A85"/>
    <w:rsid w:val="001C1C33"/>
    <w:rsid w:val="001C253B"/>
    <w:rsid w:val="001C2F76"/>
    <w:rsid w:val="001C5327"/>
    <w:rsid w:val="001C5333"/>
    <w:rsid w:val="001D011B"/>
    <w:rsid w:val="001D042C"/>
    <w:rsid w:val="001D2BF1"/>
    <w:rsid w:val="001D4896"/>
    <w:rsid w:val="001E0909"/>
    <w:rsid w:val="001E0FD7"/>
    <w:rsid w:val="001E2056"/>
    <w:rsid w:val="001E3EC1"/>
    <w:rsid w:val="001E623F"/>
    <w:rsid w:val="001F0293"/>
    <w:rsid w:val="001F05C1"/>
    <w:rsid w:val="001F5CA5"/>
    <w:rsid w:val="00202F41"/>
    <w:rsid w:val="00203B84"/>
    <w:rsid w:val="00204550"/>
    <w:rsid w:val="002055A9"/>
    <w:rsid w:val="002058EA"/>
    <w:rsid w:val="00206332"/>
    <w:rsid w:val="0021105C"/>
    <w:rsid w:val="002118EE"/>
    <w:rsid w:val="002150E0"/>
    <w:rsid w:val="00216522"/>
    <w:rsid w:val="00217264"/>
    <w:rsid w:val="00220161"/>
    <w:rsid w:val="00220919"/>
    <w:rsid w:val="00223103"/>
    <w:rsid w:val="0022400D"/>
    <w:rsid w:val="00235965"/>
    <w:rsid w:val="00235EC8"/>
    <w:rsid w:val="0023610A"/>
    <w:rsid w:val="002402DA"/>
    <w:rsid w:val="00241FAA"/>
    <w:rsid w:val="002445A1"/>
    <w:rsid w:val="00247AD2"/>
    <w:rsid w:val="00251ABA"/>
    <w:rsid w:val="00261DA5"/>
    <w:rsid w:val="002622C0"/>
    <w:rsid w:val="00262D23"/>
    <w:rsid w:val="00263479"/>
    <w:rsid w:val="002676E3"/>
    <w:rsid w:val="00267DBF"/>
    <w:rsid w:val="002704F0"/>
    <w:rsid w:val="00271A14"/>
    <w:rsid w:val="00273E57"/>
    <w:rsid w:val="00274D47"/>
    <w:rsid w:val="00276D99"/>
    <w:rsid w:val="002777B2"/>
    <w:rsid w:val="00280B9F"/>
    <w:rsid w:val="0028551E"/>
    <w:rsid w:val="002855FA"/>
    <w:rsid w:val="00286735"/>
    <w:rsid w:val="002908A3"/>
    <w:rsid w:val="00290F65"/>
    <w:rsid w:val="00292F74"/>
    <w:rsid w:val="00293613"/>
    <w:rsid w:val="002968BA"/>
    <w:rsid w:val="00297E60"/>
    <w:rsid w:val="002A0E81"/>
    <w:rsid w:val="002A1E35"/>
    <w:rsid w:val="002A23ED"/>
    <w:rsid w:val="002A2D80"/>
    <w:rsid w:val="002A3428"/>
    <w:rsid w:val="002A3C52"/>
    <w:rsid w:val="002A4A43"/>
    <w:rsid w:val="002A4DEA"/>
    <w:rsid w:val="002A66F1"/>
    <w:rsid w:val="002A720A"/>
    <w:rsid w:val="002A7FED"/>
    <w:rsid w:val="002B0349"/>
    <w:rsid w:val="002B362B"/>
    <w:rsid w:val="002B5EFF"/>
    <w:rsid w:val="002C323F"/>
    <w:rsid w:val="002C3EA9"/>
    <w:rsid w:val="002C45BF"/>
    <w:rsid w:val="002C6DD9"/>
    <w:rsid w:val="002D19A3"/>
    <w:rsid w:val="002D284F"/>
    <w:rsid w:val="002D63A8"/>
    <w:rsid w:val="002D70FE"/>
    <w:rsid w:val="002D778B"/>
    <w:rsid w:val="002E01F8"/>
    <w:rsid w:val="002E0B46"/>
    <w:rsid w:val="002E16AD"/>
    <w:rsid w:val="002E26E8"/>
    <w:rsid w:val="002E2A56"/>
    <w:rsid w:val="002E4556"/>
    <w:rsid w:val="002E5084"/>
    <w:rsid w:val="002E670A"/>
    <w:rsid w:val="002E6DBC"/>
    <w:rsid w:val="002E741E"/>
    <w:rsid w:val="002E7FDB"/>
    <w:rsid w:val="002F333A"/>
    <w:rsid w:val="002F58B6"/>
    <w:rsid w:val="003009A7"/>
    <w:rsid w:val="00300A1B"/>
    <w:rsid w:val="00301255"/>
    <w:rsid w:val="00301D33"/>
    <w:rsid w:val="00303710"/>
    <w:rsid w:val="00305B5B"/>
    <w:rsid w:val="00307B86"/>
    <w:rsid w:val="00307CB8"/>
    <w:rsid w:val="003144E4"/>
    <w:rsid w:val="00314A0E"/>
    <w:rsid w:val="00315FD0"/>
    <w:rsid w:val="00316C22"/>
    <w:rsid w:val="003175C6"/>
    <w:rsid w:val="003178AA"/>
    <w:rsid w:val="00317E6A"/>
    <w:rsid w:val="00317F6B"/>
    <w:rsid w:val="00321273"/>
    <w:rsid w:val="003215E1"/>
    <w:rsid w:val="00322B5E"/>
    <w:rsid w:val="00323BB1"/>
    <w:rsid w:val="00326AE0"/>
    <w:rsid w:val="00326DB5"/>
    <w:rsid w:val="00330385"/>
    <w:rsid w:val="00332EDF"/>
    <w:rsid w:val="00335167"/>
    <w:rsid w:val="003364BB"/>
    <w:rsid w:val="003368E0"/>
    <w:rsid w:val="00337132"/>
    <w:rsid w:val="00343BAD"/>
    <w:rsid w:val="003473F8"/>
    <w:rsid w:val="00347EC4"/>
    <w:rsid w:val="00351B75"/>
    <w:rsid w:val="00353039"/>
    <w:rsid w:val="00354EB8"/>
    <w:rsid w:val="003579FE"/>
    <w:rsid w:val="003623C2"/>
    <w:rsid w:val="00362F8D"/>
    <w:rsid w:val="00363FFE"/>
    <w:rsid w:val="00365F6D"/>
    <w:rsid w:val="003661CB"/>
    <w:rsid w:val="00366C44"/>
    <w:rsid w:val="00370C21"/>
    <w:rsid w:val="003711F5"/>
    <w:rsid w:val="0037150E"/>
    <w:rsid w:val="003778AA"/>
    <w:rsid w:val="00380AC4"/>
    <w:rsid w:val="003818B7"/>
    <w:rsid w:val="00383744"/>
    <w:rsid w:val="003848D3"/>
    <w:rsid w:val="00385588"/>
    <w:rsid w:val="00386E4C"/>
    <w:rsid w:val="003873DC"/>
    <w:rsid w:val="003875AE"/>
    <w:rsid w:val="00387694"/>
    <w:rsid w:val="00390EDD"/>
    <w:rsid w:val="00394962"/>
    <w:rsid w:val="00395422"/>
    <w:rsid w:val="003956F3"/>
    <w:rsid w:val="003A0071"/>
    <w:rsid w:val="003A1C3F"/>
    <w:rsid w:val="003A28AD"/>
    <w:rsid w:val="003A294B"/>
    <w:rsid w:val="003A3021"/>
    <w:rsid w:val="003A48EC"/>
    <w:rsid w:val="003A64F2"/>
    <w:rsid w:val="003B1225"/>
    <w:rsid w:val="003B34AC"/>
    <w:rsid w:val="003B3D88"/>
    <w:rsid w:val="003B49F7"/>
    <w:rsid w:val="003B54AB"/>
    <w:rsid w:val="003B64BB"/>
    <w:rsid w:val="003B6DB5"/>
    <w:rsid w:val="003C0ABB"/>
    <w:rsid w:val="003C0D79"/>
    <w:rsid w:val="003C1A17"/>
    <w:rsid w:val="003C4BEF"/>
    <w:rsid w:val="003C51E7"/>
    <w:rsid w:val="003C5213"/>
    <w:rsid w:val="003C5646"/>
    <w:rsid w:val="003C6194"/>
    <w:rsid w:val="003C6508"/>
    <w:rsid w:val="003C663E"/>
    <w:rsid w:val="003C6899"/>
    <w:rsid w:val="003C6D10"/>
    <w:rsid w:val="003D04C6"/>
    <w:rsid w:val="003D0D08"/>
    <w:rsid w:val="003D55EC"/>
    <w:rsid w:val="003D7ADB"/>
    <w:rsid w:val="003E25FA"/>
    <w:rsid w:val="003E43E7"/>
    <w:rsid w:val="003E5573"/>
    <w:rsid w:val="003E60C5"/>
    <w:rsid w:val="003E6E43"/>
    <w:rsid w:val="003E72B4"/>
    <w:rsid w:val="003F0260"/>
    <w:rsid w:val="003F14B9"/>
    <w:rsid w:val="003F2465"/>
    <w:rsid w:val="003F25C6"/>
    <w:rsid w:val="003F2B67"/>
    <w:rsid w:val="003F33D0"/>
    <w:rsid w:val="003F44FA"/>
    <w:rsid w:val="003F5F70"/>
    <w:rsid w:val="003F6145"/>
    <w:rsid w:val="003F65E6"/>
    <w:rsid w:val="00403E5B"/>
    <w:rsid w:val="00404879"/>
    <w:rsid w:val="00406DDD"/>
    <w:rsid w:val="0040767E"/>
    <w:rsid w:val="00410436"/>
    <w:rsid w:val="00410F90"/>
    <w:rsid w:val="004127C4"/>
    <w:rsid w:val="00413040"/>
    <w:rsid w:val="004160D2"/>
    <w:rsid w:val="0041653B"/>
    <w:rsid w:val="00424953"/>
    <w:rsid w:val="004304CA"/>
    <w:rsid w:val="00431384"/>
    <w:rsid w:val="004342A1"/>
    <w:rsid w:val="00434A9C"/>
    <w:rsid w:val="00435F8D"/>
    <w:rsid w:val="0043769B"/>
    <w:rsid w:val="00437BF6"/>
    <w:rsid w:val="00440A92"/>
    <w:rsid w:val="00442F2B"/>
    <w:rsid w:val="00444B4B"/>
    <w:rsid w:val="0044739C"/>
    <w:rsid w:val="00447F28"/>
    <w:rsid w:val="0045045A"/>
    <w:rsid w:val="00451335"/>
    <w:rsid w:val="00451758"/>
    <w:rsid w:val="00453343"/>
    <w:rsid w:val="00453926"/>
    <w:rsid w:val="00453B15"/>
    <w:rsid w:val="00456A88"/>
    <w:rsid w:val="0045713B"/>
    <w:rsid w:val="004571A2"/>
    <w:rsid w:val="004617A3"/>
    <w:rsid w:val="00461ED8"/>
    <w:rsid w:val="0046493F"/>
    <w:rsid w:val="00464B9A"/>
    <w:rsid w:val="004650BD"/>
    <w:rsid w:val="004660B8"/>
    <w:rsid w:val="0046737E"/>
    <w:rsid w:val="00467A8D"/>
    <w:rsid w:val="00470737"/>
    <w:rsid w:val="00471A9E"/>
    <w:rsid w:val="004721F1"/>
    <w:rsid w:val="00472EE1"/>
    <w:rsid w:val="00474C85"/>
    <w:rsid w:val="00475CD1"/>
    <w:rsid w:val="00475E33"/>
    <w:rsid w:val="00476587"/>
    <w:rsid w:val="00481030"/>
    <w:rsid w:val="00482D3D"/>
    <w:rsid w:val="0048478D"/>
    <w:rsid w:val="00491A81"/>
    <w:rsid w:val="00492459"/>
    <w:rsid w:val="004927FB"/>
    <w:rsid w:val="00492984"/>
    <w:rsid w:val="00493517"/>
    <w:rsid w:val="004947EB"/>
    <w:rsid w:val="00496FA5"/>
    <w:rsid w:val="00497BC1"/>
    <w:rsid w:val="004A02FB"/>
    <w:rsid w:val="004A0EA6"/>
    <w:rsid w:val="004A2B58"/>
    <w:rsid w:val="004A357B"/>
    <w:rsid w:val="004A3DC1"/>
    <w:rsid w:val="004A443C"/>
    <w:rsid w:val="004A44F6"/>
    <w:rsid w:val="004A4A48"/>
    <w:rsid w:val="004A6BFB"/>
    <w:rsid w:val="004A784D"/>
    <w:rsid w:val="004A7DE2"/>
    <w:rsid w:val="004B0335"/>
    <w:rsid w:val="004B07D1"/>
    <w:rsid w:val="004B14E7"/>
    <w:rsid w:val="004B3468"/>
    <w:rsid w:val="004B395A"/>
    <w:rsid w:val="004B52DE"/>
    <w:rsid w:val="004B5412"/>
    <w:rsid w:val="004B602A"/>
    <w:rsid w:val="004B7657"/>
    <w:rsid w:val="004C02CA"/>
    <w:rsid w:val="004C0859"/>
    <w:rsid w:val="004C20C6"/>
    <w:rsid w:val="004C2D3A"/>
    <w:rsid w:val="004C3BE1"/>
    <w:rsid w:val="004C40B9"/>
    <w:rsid w:val="004C69D9"/>
    <w:rsid w:val="004D029E"/>
    <w:rsid w:val="004D2445"/>
    <w:rsid w:val="004D4F5E"/>
    <w:rsid w:val="004D56C5"/>
    <w:rsid w:val="004D570F"/>
    <w:rsid w:val="004D6A47"/>
    <w:rsid w:val="004D7F81"/>
    <w:rsid w:val="004E3420"/>
    <w:rsid w:val="004E3C6B"/>
    <w:rsid w:val="004E59B9"/>
    <w:rsid w:val="004E5F8D"/>
    <w:rsid w:val="004F1D08"/>
    <w:rsid w:val="004F2352"/>
    <w:rsid w:val="004F2418"/>
    <w:rsid w:val="00501939"/>
    <w:rsid w:val="00501B8A"/>
    <w:rsid w:val="00502684"/>
    <w:rsid w:val="00503322"/>
    <w:rsid w:val="005034CF"/>
    <w:rsid w:val="005100D5"/>
    <w:rsid w:val="00511B10"/>
    <w:rsid w:val="00515583"/>
    <w:rsid w:val="00515A89"/>
    <w:rsid w:val="00516E5E"/>
    <w:rsid w:val="0052061C"/>
    <w:rsid w:val="00525022"/>
    <w:rsid w:val="005253AC"/>
    <w:rsid w:val="00525E0D"/>
    <w:rsid w:val="00527C08"/>
    <w:rsid w:val="00527EEB"/>
    <w:rsid w:val="00530B3E"/>
    <w:rsid w:val="00531CC0"/>
    <w:rsid w:val="0053274F"/>
    <w:rsid w:val="00534633"/>
    <w:rsid w:val="005352E7"/>
    <w:rsid w:val="005353E8"/>
    <w:rsid w:val="005407DA"/>
    <w:rsid w:val="005426E3"/>
    <w:rsid w:val="005444EB"/>
    <w:rsid w:val="00546474"/>
    <w:rsid w:val="005502A3"/>
    <w:rsid w:val="0055154F"/>
    <w:rsid w:val="005522EA"/>
    <w:rsid w:val="00553460"/>
    <w:rsid w:val="00555A81"/>
    <w:rsid w:val="0056215F"/>
    <w:rsid w:val="0056502E"/>
    <w:rsid w:val="005650ED"/>
    <w:rsid w:val="00565A58"/>
    <w:rsid w:val="00566383"/>
    <w:rsid w:val="005701DA"/>
    <w:rsid w:val="00570BA6"/>
    <w:rsid w:val="00572C3E"/>
    <w:rsid w:val="00575C15"/>
    <w:rsid w:val="00577C32"/>
    <w:rsid w:val="005810EB"/>
    <w:rsid w:val="00582F66"/>
    <w:rsid w:val="005841D9"/>
    <w:rsid w:val="00585A17"/>
    <w:rsid w:val="005860B0"/>
    <w:rsid w:val="005866ED"/>
    <w:rsid w:val="0059107A"/>
    <w:rsid w:val="00591EE2"/>
    <w:rsid w:val="00593A94"/>
    <w:rsid w:val="00596404"/>
    <w:rsid w:val="00596A14"/>
    <w:rsid w:val="00596E2B"/>
    <w:rsid w:val="005A2230"/>
    <w:rsid w:val="005A31D8"/>
    <w:rsid w:val="005A465F"/>
    <w:rsid w:val="005A528B"/>
    <w:rsid w:val="005A605B"/>
    <w:rsid w:val="005A63E1"/>
    <w:rsid w:val="005A7176"/>
    <w:rsid w:val="005A770E"/>
    <w:rsid w:val="005A788D"/>
    <w:rsid w:val="005A7BB5"/>
    <w:rsid w:val="005B0FB7"/>
    <w:rsid w:val="005B361B"/>
    <w:rsid w:val="005B3F87"/>
    <w:rsid w:val="005B58BF"/>
    <w:rsid w:val="005B6E59"/>
    <w:rsid w:val="005C2D3A"/>
    <w:rsid w:val="005C405F"/>
    <w:rsid w:val="005C512E"/>
    <w:rsid w:val="005C6BF8"/>
    <w:rsid w:val="005C746A"/>
    <w:rsid w:val="005D211C"/>
    <w:rsid w:val="005D2400"/>
    <w:rsid w:val="005D3BAD"/>
    <w:rsid w:val="005D436A"/>
    <w:rsid w:val="005D64DA"/>
    <w:rsid w:val="005D74B5"/>
    <w:rsid w:val="005E39FC"/>
    <w:rsid w:val="005E7AF7"/>
    <w:rsid w:val="005F12CB"/>
    <w:rsid w:val="005F1547"/>
    <w:rsid w:val="005F17B3"/>
    <w:rsid w:val="005F256B"/>
    <w:rsid w:val="005F2C65"/>
    <w:rsid w:val="005F45FD"/>
    <w:rsid w:val="006032C2"/>
    <w:rsid w:val="00603A6A"/>
    <w:rsid w:val="00605284"/>
    <w:rsid w:val="00605586"/>
    <w:rsid w:val="00606432"/>
    <w:rsid w:val="006100C4"/>
    <w:rsid w:val="00613055"/>
    <w:rsid w:val="00613A81"/>
    <w:rsid w:val="006168F4"/>
    <w:rsid w:val="00617E37"/>
    <w:rsid w:val="0062113D"/>
    <w:rsid w:val="00621943"/>
    <w:rsid w:val="00624405"/>
    <w:rsid w:val="00624B21"/>
    <w:rsid w:val="00630759"/>
    <w:rsid w:val="00631C4F"/>
    <w:rsid w:val="006350A8"/>
    <w:rsid w:val="006359BB"/>
    <w:rsid w:val="0063683C"/>
    <w:rsid w:val="00636A88"/>
    <w:rsid w:val="00641B58"/>
    <w:rsid w:val="00643AFE"/>
    <w:rsid w:val="00645012"/>
    <w:rsid w:val="00645550"/>
    <w:rsid w:val="00645687"/>
    <w:rsid w:val="006470B6"/>
    <w:rsid w:val="00647448"/>
    <w:rsid w:val="006476F2"/>
    <w:rsid w:val="00651163"/>
    <w:rsid w:val="006538B7"/>
    <w:rsid w:val="00655AF9"/>
    <w:rsid w:val="00660AC5"/>
    <w:rsid w:val="00662754"/>
    <w:rsid w:val="00662A1A"/>
    <w:rsid w:val="00663CA8"/>
    <w:rsid w:val="00663F3D"/>
    <w:rsid w:val="006649A7"/>
    <w:rsid w:val="00664F29"/>
    <w:rsid w:val="006652AB"/>
    <w:rsid w:val="00665823"/>
    <w:rsid w:val="00676041"/>
    <w:rsid w:val="00680B5C"/>
    <w:rsid w:val="006818BF"/>
    <w:rsid w:val="00681D9B"/>
    <w:rsid w:val="00684634"/>
    <w:rsid w:val="00685D96"/>
    <w:rsid w:val="00686B22"/>
    <w:rsid w:val="00691744"/>
    <w:rsid w:val="0069406F"/>
    <w:rsid w:val="00696B40"/>
    <w:rsid w:val="00696D44"/>
    <w:rsid w:val="006A0603"/>
    <w:rsid w:val="006A62B3"/>
    <w:rsid w:val="006A75BA"/>
    <w:rsid w:val="006B0832"/>
    <w:rsid w:val="006B420F"/>
    <w:rsid w:val="006B4236"/>
    <w:rsid w:val="006B4C84"/>
    <w:rsid w:val="006B72EF"/>
    <w:rsid w:val="006C1498"/>
    <w:rsid w:val="006C2E1C"/>
    <w:rsid w:val="006C38DC"/>
    <w:rsid w:val="006C4CCB"/>
    <w:rsid w:val="006C794B"/>
    <w:rsid w:val="006D1487"/>
    <w:rsid w:val="006D3EEF"/>
    <w:rsid w:val="006D5447"/>
    <w:rsid w:val="006E781B"/>
    <w:rsid w:val="006F0FA8"/>
    <w:rsid w:val="006F408F"/>
    <w:rsid w:val="006F41FE"/>
    <w:rsid w:val="006F4522"/>
    <w:rsid w:val="006F4903"/>
    <w:rsid w:val="006F5C09"/>
    <w:rsid w:val="006F77B8"/>
    <w:rsid w:val="007023EB"/>
    <w:rsid w:val="00704883"/>
    <w:rsid w:val="00705CDF"/>
    <w:rsid w:val="00706226"/>
    <w:rsid w:val="007069BF"/>
    <w:rsid w:val="007129CA"/>
    <w:rsid w:val="00714DB5"/>
    <w:rsid w:val="00714E5E"/>
    <w:rsid w:val="00715389"/>
    <w:rsid w:val="00715AD9"/>
    <w:rsid w:val="007179EB"/>
    <w:rsid w:val="00720963"/>
    <w:rsid w:val="00720B90"/>
    <w:rsid w:val="00722721"/>
    <w:rsid w:val="00722DCD"/>
    <w:rsid w:val="00723B8C"/>
    <w:rsid w:val="00724D2A"/>
    <w:rsid w:val="00724F90"/>
    <w:rsid w:val="00726E89"/>
    <w:rsid w:val="00731777"/>
    <w:rsid w:val="0073289A"/>
    <w:rsid w:val="007329A7"/>
    <w:rsid w:val="00733742"/>
    <w:rsid w:val="007346E5"/>
    <w:rsid w:val="00734A45"/>
    <w:rsid w:val="0073682E"/>
    <w:rsid w:val="0074089A"/>
    <w:rsid w:val="00740A6F"/>
    <w:rsid w:val="00743C4F"/>
    <w:rsid w:val="0074571E"/>
    <w:rsid w:val="00746A01"/>
    <w:rsid w:val="00746F1E"/>
    <w:rsid w:val="00747A83"/>
    <w:rsid w:val="007511A8"/>
    <w:rsid w:val="00751290"/>
    <w:rsid w:val="007550E5"/>
    <w:rsid w:val="007555F2"/>
    <w:rsid w:val="00756D0C"/>
    <w:rsid w:val="00757FDC"/>
    <w:rsid w:val="00760A1D"/>
    <w:rsid w:val="00762C86"/>
    <w:rsid w:val="00762DCA"/>
    <w:rsid w:val="0076566B"/>
    <w:rsid w:val="0076640F"/>
    <w:rsid w:val="0076654A"/>
    <w:rsid w:val="00771D99"/>
    <w:rsid w:val="0077288F"/>
    <w:rsid w:val="00773280"/>
    <w:rsid w:val="007737F3"/>
    <w:rsid w:val="0077403A"/>
    <w:rsid w:val="00775296"/>
    <w:rsid w:val="00776575"/>
    <w:rsid w:val="007802C0"/>
    <w:rsid w:val="007805D4"/>
    <w:rsid w:val="00780B2C"/>
    <w:rsid w:val="0078332F"/>
    <w:rsid w:val="007835A1"/>
    <w:rsid w:val="00784D93"/>
    <w:rsid w:val="00786E08"/>
    <w:rsid w:val="007876AD"/>
    <w:rsid w:val="00790EA2"/>
    <w:rsid w:val="007919B7"/>
    <w:rsid w:val="007920CA"/>
    <w:rsid w:val="00794A4B"/>
    <w:rsid w:val="007967F3"/>
    <w:rsid w:val="007972EA"/>
    <w:rsid w:val="007A013A"/>
    <w:rsid w:val="007A0571"/>
    <w:rsid w:val="007A13D2"/>
    <w:rsid w:val="007A186C"/>
    <w:rsid w:val="007A42FE"/>
    <w:rsid w:val="007B1B1B"/>
    <w:rsid w:val="007B1F50"/>
    <w:rsid w:val="007B2B32"/>
    <w:rsid w:val="007B314D"/>
    <w:rsid w:val="007B339D"/>
    <w:rsid w:val="007B3AAF"/>
    <w:rsid w:val="007B4390"/>
    <w:rsid w:val="007C0454"/>
    <w:rsid w:val="007C048B"/>
    <w:rsid w:val="007C05D6"/>
    <w:rsid w:val="007C0AB2"/>
    <w:rsid w:val="007C0C5B"/>
    <w:rsid w:val="007C10DA"/>
    <w:rsid w:val="007C142C"/>
    <w:rsid w:val="007C1A73"/>
    <w:rsid w:val="007D0ADF"/>
    <w:rsid w:val="007D0E01"/>
    <w:rsid w:val="007D5831"/>
    <w:rsid w:val="007E0B77"/>
    <w:rsid w:val="007E0F2A"/>
    <w:rsid w:val="007E249C"/>
    <w:rsid w:val="007E344E"/>
    <w:rsid w:val="007E47D9"/>
    <w:rsid w:val="007E4D04"/>
    <w:rsid w:val="007E5152"/>
    <w:rsid w:val="007E53B6"/>
    <w:rsid w:val="007E6C33"/>
    <w:rsid w:val="007E7E53"/>
    <w:rsid w:val="007F28EC"/>
    <w:rsid w:val="007F4506"/>
    <w:rsid w:val="007F5B9E"/>
    <w:rsid w:val="007F68D2"/>
    <w:rsid w:val="007F7A1B"/>
    <w:rsid w:val="008022C4"/>
    <w:rsid w:val="00803CE1"/>
    <w:rsid w:val="008040BE"/>
    <w:rsid w:val="0080421C"/>
    <w:rsid w:val="008049C3"/>
    <w:rsid w:val="00805BB0"/>
    <w:rsid w:val="00806BAE"/>
    <w:rsid w:val="00807CA3"/>
    <w:rsid w:val="008101D7"/>
    <w:rsid w:val="008126D8"/>
    <w:rsid w:val="0081644B"/>
    <w:rsid w:val="00817607"/>
    <w:rsid w:val="00820B00"/>
    <w:rsid w:val="00821386"/>
    <w:rsid w:val="00822327"/>
    <w:rsid w:val="00822FF7"/>
    <w:rsid w:val="00823C75"/>
    <w:rsid w:val="0082552C"/>
    <w:rsid w:val="00827D55"/>
    <w:rsid w:val="00830F91"/>
    <w:rsid w:val="008329E6"/>
    <w:rsid w:val="00832E26"/>
    <w:rsid w:val="008371DB"/>
    <w:rsid w:val="00837414"/>
    <w:rsid w:val="008423FB"/>
    <w:rsid w:val="0084312E"/>
    <w:rsid w:val="00856253"/>
    <w:rsid w:val="00857714"/>
    <w:rsid w:val="00857D49"/>
    <w:rsid w:val="00861C20"/>
    <w:rsid w:val="00862827"/>
    <w:rsid w:val="00863D53"/>
    <w:rsid w:val="00864CF2"/>
    <w:rsid w:val="008657D3"/>
    <w:rsid w:val="00865B11"/>
    <w:rsid w:val="00866411"/>
    <w:rsid w:val="00867710"/>
    <w:rsid w:val="0087174D"/>
    <w:rsid w:val="00873ABB"/>
    <w:rsid w:val="00873C4C"/>
    <w:rsid w:val="00873DA1"/>
    <w:rsid w:val="00880E6B"/>
    <w:rsid w:val="00881BA5"/>
    <w:rsid w:val="00882F3C"/>
    <w:rsid w:val="00886731"/>
    <w:rsid w:val="00887F6B"/>
    <w:rsid w:val="00890DFC"/>
    <w:rsid w:val="00895BAB"/>
    <w:rsid w:val="008A0AD2"/>
    <w:rsid w:val="008A2331"/>
    <w:rsid w:val="008A49C7"/>
    <w:rsid w:val="008A4C9F"/>
    <w:rsid w:val="008A68DC"/>
    <w:rsid w:val="008A7D51"/>
    <w:rsid w:val="008B3885"/>
    <w:rsid w:val="008B41C3"/>
    <w:rsid w:val="008B6984"/>
    <w:rsid w:val="008C1620"/>
    <w:rsid w:val="008C2D51"/>
    <w:rsid w:val="008C2EAF"/>
    <w:rsid w:val="008C445A"/>
    <w:rsid w:val="008C4A08"/>
    <w:rsid w:val="008C4D87"/>
    <w:rsid w:val="008C6F38"/>
    <w:rsid w:val="008D0047"/>
    <w:rsid w:val="008D148E"/>
    <w:rsid w:val="008D2B6E"/>
    <w:rsid w:val="008D2F8A"/>
    <w:rsid w:val="008D5AF0"/>
    <w:rsid w:val="008D780F"/>
    <w:rsid w:val="008E15EA"/>
    <w:rsid w:val="008E48A4"/>
    <w:rsid w:val="008E4FE5"/>
    <w:rsid w:val="008E60AA"/>
    <w:rsid w:val="008E71E8"/>
    <w:rsid w:val="008E7EDD"/>
    <w:rsid w:val="008F2BFC"/>
    <w:rsid w:val="008F448C"/>
    <w:rsid w:val="008F5889"/>
    <w:rsid w:val="00906D4B"/>
    <w:rsid w:val="00907576"/>
    <w:rsid w:val="00907E6E"/>
    <w:rsid w:val="00907F6D"/>
    <w:rsid w:val="009115C8"/>
    <w:rsid w:val="009122FA"/>
    <w:rsid w:val="009122FB"/>
    <w:rsid w:val="0091259A"/>
    <w:rsid w:val="00913B44"/>
    <w:rsid w:val="009154ED"/>
    <w:rsid w:val="00915BDD"/>
    <w:rsid w:val="00915F13"/>
    <w:rsid w:val="00917CA0"/>
    <w:rsid w:val="00921694"/>
    <w:rsid w:val="00921E40"/>
    <w:rsid w:val="0092498C"/>
    <w:rsid w:val="00930156"/>
    <w:rsid w:val="00932109"/>
    <w:rsid w:val="009333BA"/>
    <w:rsid w:val="00934241"/>
    <w:rsid w:val="009366CA"/>
    <w:rsid w:val="00936796"/>
    <w:rsid w:val="00936967"/>
    <w:rsid w:val="009400AC"/>
    <w:rsid w:val="00940460"/>
    <w:rsid w:val="00940AB3"/>
    <w:rsid w:val="00941619"/>
    <w:rsid w:val="0094376A"/>
    <w:rsid w:val="009444BF"/>
    <w:rsid w:val="00944629"/>
    <w:rsid w:val="00947510"/>
    <w:rsid w:val="00951F53"/>
    <w:rsid w:val="00952A62"/>
    <w:rsid w:val="009534DA"/>
    <w:rsid w:val="009548E1"/>
    <w:rsid w:val="00963ADC"/>
    <w:rsid w:val="00970C22"/>
    <w:rsid w:val="00972A03"/>
    <w:rsid w:val="00974085"/>
    <w:rsid w:val="00980AFE"/>
    <w:rsid w:val="00981036"/>
    <w:rsid w:val="00981062"/>
    <w:rsid w:val="00982C93"/>
    <w:rsid w:val="00983558"/>
    <w:rsid w:val="00983D95"/>
    <w:rsid w:val="00984205"/>
    <w:rsid w:val="00986299"/>
    <w:rsid w:val="00990946"/>
    <w:rsid w:val="00990985"/>
    <w:rsid w:val="00992B7A"/>
    <w:rsid w:val="0099348F"/>
    <w:rsid w:val="009A006E"/>
    <w:rsid w:val="009A031D"/>
    <w:rsid w:val="009A0512"/>
    <w:rsid w:val="009A2342"/>
    <w:rsid w:val="009A376D"/>
    <w:rsid w:val="009A3953"/>
    <w:rsid w:val="009A3B64"/>
    <w:rsid w:val="009A6EE7"/>
    <w:rsid w:val="009B07E4"/>
    <w:rsid w:val="009B2E7D"/>
    <w:rsid w:val="009B3750"/>
    <w:rsid w:val="009B3931"/>
    <w:rsid w:val="009B6D5A"/>
    <w:rsid w:val="009B723C"/>
    <w:rsid w:val="009B73EA"/>
    <w:rsid w:val="009C02B8"/>
    <w:rsid w:val="009C2687"/>
    <w:rsid w:val="009C3930"/>
    <w:rsid w:val="009C3F1D"/>
    <w:rsid w:val="009C5019"/>
    <w:rsid w:val="009D0518"/>
    <w:rsid w:val="009D1213"/>
    <w:rsid w:val="009D40CC"/>
    <w:rsid w:val="009E13B2"/>
    <w:rsid w:val="009E1B2D"/>
    <w:rsid w:val="009E5DA3"/>
    <w:rsid w:val="009F0787"/>
    <w:rsid w:val="009F0EEA"/>
    <w:rsid w:val="009F1EF9"/>
    <w:rsid w:val="009F2888"/>
    <w:rsid w:val="009F2F7C"/>
    <w:rsid w:val="009F34B8"/>
    <w:rsid w:val="009F5E22"/>
    <w:rsid w:val="009F6A1E"/>
    <w:rsid w:val="009F6AF5"/>
    <w:rsid w:val="009F70CD"/>
    <w:rsid w:val="009F7603"/>
    <w:rsid w:val="009F7D08"/>
    <w:rsid w:val="00A0264F"/>
    <w:rsid w:val="00A03469"/>
    <w:rsid w:val="00A03A88"/>
    <w:rsid w:val="00A06E67"/>
    <w:rsid w:val="00A07720"/>
    <w:rsid w:val="00A07F01"/>
    <w:rsid w:val="00A112FC"/>
    <w:rsid w:val="00A12696"/>
    <w:rsid w:val="00A14BB5"/>
    <w:rsid w:val="00A2027E"/>
    <w:rsid w:val="00A21DA3"/>
    <w:rsid w:val="00A225EB"/>
    <w:rsid w:val="00A23461"/>
    <w:rsid w:val="00A23968"/>
    <w:rsid w:val="00A25D26"/>
    <w:rsid w:val="00A30720"/>
    <w:rsid w:val="00A32A32"/>
    <w:rsid w:val="00A32CAB"/>
    <w:rsid w:val="00A36B60"/>
    <w:rsid w:val="00A37B08"/>
    <w:rsid w:val="00A416E1"/>
    <w:rsid w:val="00A44373"/>
    <w:rsid w:val="00A4535D"/>
    <w:rsid w:val="00A47CB1"/>
    <w:rsid w:val="00A47E80"/>
    <w:rsid w:val="00A52529"/>
    <w:rsid w:val="00A53D0A"/>
    <w:rsid w:val="00A60AFD"/>
    <w:rsid w:val="00A657C0"/>
    <w:rsid w:val="00A65FD1"/>
    <w:rsid w:val="00A72078"/>
    <w:rsid w:val="00A72545"/>
    <w:rsid w:val="00A81148"/>
    <w:rsid w:val="00A83D14"/>
    <w:rsid w:val="00A8610C"/>
    <w:rsid w:val="00A86673"/>
    <w:rsid w:val="00A90E16"/>
    <w:rsid w:val="00A9234D"/>
    <w:rsid w:val="00A92892"/>
    <w:rsid w:val="00A9650D"/>
    <w:rsid w:val="00A9758F"/>
    <w:rsid w:val="00AA22DC"/>
    <w:rsid w:val="00AA2D66"/>
    <w:rsid w:val="00AA4D42"/>
    <w:rsid w:val="00AA5145"/>
    <w:rsid w:val="00AA532E"/>
    <w:rsid w:val="00AA634F"/>
    <w:rsid w:val="00AA6539"/>
    <w:rsid w:val="00AA71A0"/>
    <w:rsid w:val="00AB2645"/>
    <w:rsid w:val="00AB26BE"/>
    <w:rsid w:val="00AB3580"/>
    <w:rsid w:val="00AB4675"/>
    <w:rsid w:val="00AB620F"/>
    <w:rsid w:val="00AB6D7C"/>
    <w:rsid w:val="00AB7194"/>
    <w:rsid w:val="00AB7283"/>
    <w:rsid w:val="00AB7FB8"/>
    <w:rsid w:val="00AC02BE"/>
    <w:rsid w:val="00AC0837"/>
    <w:rsid w:val="00AC36BF"/>
    <w:rsid w:val="00AC42BB"/>
    <w:rsid w:val="00AC51BD"/>
    <w:rsid w:val="00AC5F7A"/>
    <w:rsid w:val="00AD1CA1"/>
    <w:rsid w:val="00AD3CAA"/>
    <w:rsid w:val="00AD533A"/>
    <w:rsid w:val="00AD5DCA"/>
    <w:rsid w:val="00AD682C"/>
    <w:rsid w:val="00AE1D9F"/>
    <w:rsid w:val="00AE202D"/>
    <w:rsid w:val="00AE2980"/>
    <w:rsid w:val="00AE3E42"/>
    <w:rsid w:val="00AE3E70"/>
    <w:rsid w:val="00AE6728"/>
    <w:rsid w:val="00AE675C"/>
    <w:rsid w:val="00AE6B31"/>
    <w:rsid w:val="00AE726D"/>
    <w:rsid w:val="00AE7724"/>
    <w:rsid w:val="00AE7FD6"/>
    <w:rsid w:val="00AF0C6E"/>
    <w:rsid w:val="00AF4D6E"/>
    <w:rsid w:val="00AF4DC1"/>
    <w:rsid w:val="00AF4EEC"/>
    <w:rsid w:val="00AF6473"/>
    <w:rsid w:val="00B0258C"/>
    <w:rsid w:val="00B0611F"/>
    <w:rsid w:val="00B07D1E"/>
    <w:rsid w:val="00B10DC3"/>
    <w:rsid w:val="00B163A6"/>
    <w:rsid w:val="00B165D3"/>
    <w:rsid w:val="00B17E65"/>
    <w:rsid w:val="00B2323C"/>
    <w:rsid w:val="00B249A9"/>
    <w:rsid w:val="00B26812"/>
    <w:rsid w:val="00B30401"/>
    <w:rsid w:val="00B3149A"/>
    <w:rsid w:val="00B31D89"/>
    <w:rsid w:val="00B32F5B"/>
    <w:rsid w:val="00B34096"/>
    <w:rsid w:val="00B34315"/>
    <w:rsid w:val="00B36A3F"/>
    <w:rsid w:val="00B402A4"/>
    <w:rsid w:val="00B4210E"/>
    <w:rsid w:val="00B42320"/>
    <w:rsid w:val="00B425E1"/>
    <w:rsid w:val="00B502D7"/>
    <w:rsid w:val="00B523B3"/>
    <w:rsid w:val="00B5280E"/>
    <w:rsid w:val="00B5499B"/>
    <w:rsid w:val="00B55EFC"/>
    <w:rsid w:val="00B569B5"/>
    <w:rsid w:val="00B5704C"/>
    <w:rsid w:val="00B613C8"/>
    <w:rsid w:val="00B61503"/>
    <w:rsid w:val="00B6165C"/>
    <w:rsid w:val="00B623E5"/>
    <w:rsid w:val="00B6266E"/>
    <w:rsid w:val="00B6297F"/>
    <w:rsid w:val="00B62E24"/>
    <w:rsid w:val="00B639B6"/>
    <w:rsid w:val="00B7059E"/>
    <w:rsid w:val="00B71DAD"/>
    <w:rsid w:val="00B73512"/>
    <w:rsid w:val="00B749FC"/>
    <w:rsid w:val="00B75325"/>
    <w:rsid w:val="00B76EDE"/>
    <w:rsid w:val="00B82E67"/>
    <w:rsid w:val="00B82EEC"/>
    <w:rsid w:val="00B832D8"/>
    <w:rsid w:val="00B83E7C"/>
    <w:rsid w:val="00B86F25"/>
    <w:rsid w:val="00B9290A"/>
    <w:rsid w:val="00B933E7"/>
    <w:rsid w:val="00B9365A"/>
    <w:rsid w:val="00B96DE7"/>
    <w:rsid w:val="00BA04D0"/>
    <w:rsid w:val="00BA12F5"/>
    <w:rsid w:val="00BA1CCC"/>
    <w:rsid w:val="00BA5C09"/>
    <w:rsid w:val="00BA75AD"/>
    <w:rsid w:val="00BB5AA4"/>
    <w:rsid w:val="00BB7275"/>
    <w:rsid w:val="00BC1D2E"/>
    <w:rsid w:val="00BC342C"/>
    <w:rsid w:val="00BC3A4D"/>
    <w:rsid w:val="00BC4B89"/>
    <w:rsid w:val="00BC4C71"/>
    <w:rsid w:val="00BC59FA"/>
    <w:rsid w:val="00BC72D3"/>
    <w:rsid w:val="00BD0E20"/>
    <w:rsid w:val="00BD144F"/>
    <w:rsid w:val="00BD1453"/>
    <w:rsid w:val="00BD34EF"/>
    <w:rsid w:val="00BD3C3C"/>
    <w:rsid w:val="00BD4CDA"/>
    <w:rsid w:val="00BD5286"/>
    <w:rsid w:val="00BD671F"/>
    <w:rsid w:val="00BD715E"/>
    <w:rsid w:val="00BE00DC"/>
    <w:rsid w:val="00BE1324"/>
    <w:rsid w:val="00BE2ECE"/>
    <w:rsid w:val="00BE59C2"/>
    <w:rsid w:val="00BE5A72"/>
    <w:rsid w:val="00BE5B0E"/>
    <w:rsid w:val="00BE6F6A"/>
    <w:rsid w:val="00BF3451"/>
    <w:rsid w:val="00BF5C58"/>
    <w:rsid w:val="00BF5DEE"/>
    <w:rsid w:val="00BF6B2E"/>
    <w:rsid w:val="00C0014A"/>
    <w:rsid w:val="00C03574"/>
    <w:rsid w:val="00C0385F"/>
    <w:rsid w:val="00C049CA"/>
    <w:rsid w:val="00C0668D"/>
    <w:rsid w:val="00C068B0"/>
    <w:rsid w:val="00C10182"/>
    <w:rsid w:val="00C11657"/>
    <w:rsid w:val="00C117E0"/>
    <w:rsid w:val="00C11EBA"/>
    <w:rsid w:val="00C1356C"/>
    <w:rsid w:val="00C2090D"/>
    <w:rsid w:val="00C2206B"/>
    <w:rsid w:val="00C23487"/>
    <w:rsid w:val="00C234C9"/>
    <w:rsid w:val="00C241AC"/>
    <w:rsid w:val="00C25B2B"/>
    <w:rsid w:val="00C25D9C"/>
    <w:rsid w:val="00C26949"/>
    <w:rsid w:val="00C27CB8"/>
    <w:rsid w:val="00C32934"/>
    <w:rsid w:val="00C32EB1"/>
    <w:rsid w:val="00C34A80"/>
    <w:rsid w:val="00C449BA"/>
    <w:rsid w:val="00C46C49"/>
    <w:rsid w:val="00C50753"/>
    <w:rsid w:val="00C52127"/>
    <w:rsid w:val="00C52CDB"/>
    <w:rsid w:val="00C5350B"/>
    <w:rsid w:val="00C55C6B"/>
    <w:rsid w:val="00C56251"/>
    <w:rsid w:val="00C56417"/>
    <w:rsid w:val="00C57165"/>
    <w:rsid w:val="00C605DC"/>
    <w:rsid w:val="00C63304"/>
    <w:rsid w:val="00C643F0"/>
    <w:rsid w:val="00C656DF"/>
    <w:rsid w:val="00C66337"/>
    <w:rsid w:val="00C66BD8"/>
    <w:rsid w:val="00C70E8F"/>
    <w:rsid w:val="00C723FB"/>
    <w:rsid w:val="00C7310F"/>
    <w:rsid w:val="00C754D2"/>
    <w:rsid w:val="00C76C1D"/>
    <w:rsid w:val="00C76D35"/>
    <w:rsid w:val="00C7724D"/>
    <w:rsid w:val="00C84729"/>
    <w:rsid w:val="00C84EB4"/>
    <w:rsid w:val="00C853ED"/>
    <w:rsid w:val="00C8557B"/>
    <w:rsid w:val="00C90F05"/>
    <w:rsid w:val="00C9159C"/>
    <w:rsid w:val="00C9328C"/>
    <w:rsid w:val="00C96E96"/>
    <w:rsid w:val="00CA1439"/>
    <w:rsid w:val="00CA31F7"/>
    <w:rsid w:val="00CA3968"/>
    <w:rsid w:val="00CA48C1"/>
    <w:rsid w:val="00CA4D66"/>
    <w:rsid w:val="00CB0A86"/>
    <w:rsid w:val="00CB1F52"/>
    <w:rsid w:val="00CB572C"/>
    <w:rsid w:val="00CB58B4"/>
    <w:rsid w:val="00CB7CE5"/>
    <w:rsid w:val="00CC0A63"/>
    <w:rsid w:val="00CC237F"/>
    <w:rsid w:val="00CC30BA"/>
    <w:rsid w:val="00CC3332"/>
    <w:rsid w:val="00CC5967"/>
    <w:rsid w:val="00CC63BE"/>
    <w:rsid w:val="00CD1970"/>
    <w:rsid w:val="00CD25F7"/>
    <w:rsid w:val="00CD7DF4"/>
    <w:rsid w:val="00CE0726"/>
    <w:rsid w:val="00CE1B6F"/>
    <w:rsid w:val="00CE2986"/>
    <w:rsid w:val="00CE2EB7"/>
    <w:rsid w:val="00CE309F"/>
    <w:rsid w:val="00CE76C4"/>
    <w:rsid w:val="00CE7847"/>
    <w:rsid w:val="00CF07EC"/>
    <w:rsid w:val="00CF1BED"/>
    <w:rsid w:val="00CF3303"/>
    <w:rsid w:val="00CF3EB9"/>
    <w:rsid w:val="00CF5CB2"/>
    <w:rsid w:val="00CF6426"/>
    <w:rsid w:val="00CF6A86"/>
    <w:rsid w:val="00CF71E4"/>
    <w:rsid w:val="00D0186D"/>
    <w:rsid w:val="00D037AF"/>
    <w:rsid w:val="00D04DFC"/>
    <w:rsid w:val="00D10092"/>
    <w:rsid w:val="00D10C3D"/>
    <w:rsid w:val="00D10C8B"/>
    <w:rsid w:val="00D12B97"/>
    <w:rsid w:val="00D162AB"/>
    <w:rsid w:val="00D22087"/>
    <w:rsid w:val="00D23BB9"/>
    <w:rsid w:val="00D23C21"/>
    <w:rsid w:val="00D314BB"/>
    <w:rsid w:val="00D31A13"/>
    <w:rsid w:val="00D32812"/>
    <w:rsid w:val="00D335CB"/>
    <w:rsid w:val="00D36640"/>
    <w:rsid w:val="00D40710"/>
    <w:rsid w:val="00D42F11"/>
    <w:rsid w:val="00D45BC8"/>
    <w:rsid w:val="00D461BB"/>
    <w:rsid w:val="00D50283"/>
    <w:rsid w:val="00D509EE"/>
    <w:rsid w:val="00D50AAD"/>
    <w:rsid w:val="00D51870"/>
    <w:rsid w:val="00D53D99"/>
    <w:rsid w:val="00D552CD"/>
    <w:rsid w:val="00D55D0F"/>
    <w:rsid w:val="00D55D84"/>
    <w:rsid w:val="00D56D6D"/>
    <w:rsid w:val="00D572C8"/>
    <w:rsid w:val="00D61BD1"/>
    <w:rsid w:val="00D624F8"/>
    <w:rsid w:val="00D63483"/>
    <w:rsid w:val="00D63D68"/>
    <w:rsid w:val="00D64132"/>
    <w:rsid w:val="00D64857"/>
    <w:rsid w:val="00D65C1C"/>
    <w:rsid w:val="00D670C4"/>
    <w:rsid w:val="00D7041F"/>
    <w:rsid w:val="00D732D1"/>
    <w:rsid w:val="00D74982"/>
    <w:rsid w:val="00D74FA3"/>
    <w:rsid w:val="00D75CAE"/>
    <w:rsid w:val="00D774D1"/>
    <w:rsid w:val="00D81086"/>
    <w:rsid w:val="00D81F4B"/>
    <w:rsid w:val="00D82C0A"/>
    <w:rsid w:val="00D839FC"/>
    <w:rsid w:val="00D84BC0"/>
    <w:rsid w:val="00D8735E"/>
    <w:rsid w:val="00D91DB2"/>
    <w:rsid w:val="00D932D8"/>
    <w:rsid w:val="00D972E7"/>
    <w:rsid w:val="00DA347E"/>
    <w:rsid w:val="00DA6BC2"/>
    <w:rsid w:val="00DA6BCD"/>
    <w:rsid w:val="00DA70EB"/>
    <w:rsid w:val="00DB194C"/>
    <w:rsid w:val="00DB21FB"/>
    <w:rsid w:val="00DB378F"/>
    <w:rsid w:val="00DC12E4"/>
    <w:rsid w:val="00DC344E"/>
    <w:rsid w:val="00DC3989"/>
    <w:rsid w:val="00DC6202"/>
    <w:rsid w:val="00DC63E0"/>
    <w:rsid w:val="00DC6FD7"/>
    <w:rsid w:val="00DC74BE"/>
    <w:rsid w:val="00DC7CDF"/>
    <w:rsid w:val="00DD1808"/>
    <w:rsid w:val="00DD195F"/>
    <w:rsid w:val="00DD2215"/>
    <w:rsid w:val="00DD5A83"/>
    <w:rsid w:val="00DD6E62"/>
    <w:rsid w:val="00DD7FC9"/>
    <w:rsid w:val="00DE2419"/>
    <w:rsid w:val="00DE3EE0"/>
    <w:rsid w:val="00DE480A"/>
    <w:rsid w:val="00DE4E70"/>
    <w:rsid w:val="00DE5858"/>
    <w:rsid w:val="00DF038D"/>
    <w:rsid w:val="00DF2A22"/>
    <w:rsid w:val="00DF4B54"/>
    <w:rsid w:val="00DF5237"/>
    <w:rsid w:val="00DF6606"/>
    <w:rsid w:val="00DF71C3"/>
    <w:rsid w:val="00E01EEF"/>
    <w:rsid w:val="00E0681D"/>
    <w:rsid w:val="00E076C6"/>
    <w:rsid w:val="00E10856"/>
    <w:rsid w:val="00E10D61"/>
    <w:rsid w:val="00E14F62"/>
    <w:rsid w:val="00E15275"/>
    <w:rsid w:val="00E15300"/>
    <w:rsid w:val="00E164EC"/>
    <w:rsid w:val="00E16D07"/>
    <w:rsid w:val="00E210A3"/>
    <w:rsid w:val="00E21677"/>
    <w:rsid w:val="00E228DD"/>
    <w:rsid w:val="00E22914"/>
    <w:rsid w:val="00E253B8"/>
    <w:rsid w:val="00E25C1B"/>
    <w:rsid w:val="00E25D9A"/>
    <w:rsid w:val="00E261E4"/>
    <w:rsid w:val="00E26B91"/>
    <w:rsid w:val="00E270F7"/>
    <w:rsid w:val="00E3055F"/>
    <w:rsid w:val="00E3320F"/>
    <w:rsid w:val="00E33E35"/>
    <w:rsid w:val="00E346BD"/>
    <w:rsid w:val="00E35527"/>
    <w:rsid w:val="00E3556A"/>
    <w:rsid w:val="00E37184"/>
    <w:rsid w:val="00E40201"/>
    <w:rsid w:val="00E43CAF"/>
    <w:rsid w:val="00E45DCD"/>
    <w:rsid w:val="00E46FCE"/>
    <w:rsid w:val="00E50BA0"/>
    <w:rsid w:val="00E53409"/>
    <w:rsid w:val="00E5341E"/>
    <w:rsid w:val="00E54B44"/>
    <w:rsid w:val="00E56B89"/>
    <w:rsid w:val="00E56CB7"/>
    <w:rsid w:val="00E56FE0"/>
    <w:rsid w:val="00E676DF"/>
    <w:rsid w:val="00E7662A"/>
    <w:rsid w:val="00E7785A"/>
    <w:rsid w:val="00E77AD7"/>
    <w:rsid w:val="00E808B1"/>
    <w:rsid w:val="00E81394"/>
    <w:rsid w:val="00E82B52"/>
    <w:rsid w:val="00E836ED"/>
    <w:rsid w:val="00E8604E"/>
    <w:rsid w:val="00E862E5"/>
    <w:rsid w:val="00E86880"/>
    <w:rsid w:val="00E874C8"/>
    <w:rsid w:val="00EA0A27"/>
    <w:rsid w:val="00EA1223"/>
    <w:rsid w:val="00EA3D51"/>
    <w:rsid w:val="00EA4B51"/>
    <w:rsid w:val="00EA69A5"/>
    <w:rsid w:val="00EA6C73"/>
    <w:rsid w:val="00EB171D"/>
    <w:rsid w:val="00EB2856"/>
    <w:rsid w:val="00EB34FE"/>
    <w:rsid w:val="00EC213B"/>
    <w:rsid w:val="00EC2846"/>
    <w:rsid w:val="00EC28A9"/>
    <w:rsid w:val="00EC28C1"/>
    <w:rsid w:val="00EC2E47"/>
    <w:rsid w:val="00ED5268"/>
    <w:rsid w:val="00ED6496"/>
    <w:rsid w:val="00ED6DDA"/>
    <w:rsid w:val="00ED7D82"/>
    <w:rsid w:val="00EE0661"/>
    <w:rsid w:val="00EE0F19"/>
    <w:rsid w:val="00EE4F64"/>
    <w:rsid w:val="00EE66F2"/>
    <w:rsid w:val="00EE7CBF"/>
    <w:rsid w:val="00EE7FBE"/>
    <w:rsid w:val="00EF2F47"/>
    <w:rsid w:val="00EF3E20"/>
    <w:rsid w:val="00EF5612"/>
    <w:rsid w:val="00EF72D0"/>
    <w:rsid w:val="00F01FDF"/>
    <w:rsid w:val="00F02724"/>
    <w:rsid w:val="00F06310"/>
    <w:rsid w:val="00F07D31"/>
    <w:rsid w:val="00F1278D"/>
    <w:rsid w:val="00F13632"/>
    <w:rsid w:val="00F13E09"/>
    <w:rsid w:val="00F14BBB"/>
    <w:rsid w:val="00F14BC8"/>
    <w:rsid w:val="00F15A98"/>
    <w:rsid w:val="00F15DB0"/>
    <w:rsid w:val="00F16BBC"/>
    <w:rsid w:val="00F231FD"/>
    <w:rsid w:val="00F235A7"/>
    <w:rsid w:val="00F24F6B"/>
    <w:rsid w:val="00F26244"/>
    <w:rsid w:val="00F32A34"/>
    <w:rsid w:val="00F334EE"/>
    <w:rsid w:val="00F3507F"/>
    <w:rsid w:val="00F356C7"/>
    <w:rsid w:val="00F35910"/>
    <w:rsid w:val="00F36673"/>
    <w:rsid w:val="00F3672E"/>
    <w:rsid w:val="00F40A99"/>
    <w:rsid w:val="00F42146"/>
    <w:rsid w:val="00F44793"/>
    <w:rsid w:val="00F44C74"/>
    <w:rsid w:val="00F45562"/>
    <w:rsid w:val="00F46B81"/>
    <w:rsid w:val="00F47D29"/>
    <w:rsid w:val="00F5034E"/>
    <w:rsid w:val="00F54B8A"/>
    <w:rsid w:val="00F55C9B"/>
    <w:rsid w:val="00F57DA5"/>
    <w:rsid w:val="00F63886"/>
    <w:rsid w:val="00F64240"/>
    <w:rsid w:val="00F66F07"/>
    <w:rsid w:val="00F66FE4"/>
    <w:rsid w:val="00F67C37"/>
    <w:rsid w:val="00F706CE"/>
    <w:rsid w:val="00F70D8B"/>
    <w:rsid w:val="00F725E6"/>
    <w:rsid w:val="00F72C96"/>
    <w:rsid w:val="00F75C1A"/>
    <w:rsid w:val="00F776B9"/>
    <w:rsid w:val="00F77A83"/>
    <w:rsid w:val="00F81093"/>
    <w:rsid w:val="00F81966"/>
    <w:rsid w:val="00F823FF"/>
    <w:rsid w:val="00F84134"/>
    <w:rsid w:val="00F9271D"/>
    <w:rsid w:val="00F94787"/>
    <w:rsid w:val="00F950A3"/>
    <w:rsid w:val="00F9626D"/>
    <w:rsid w:val="00F9685D"/>
    <w:rsid w:val="00F97C19"/>
    <w:rsid w:val="00FA0918"/>
    <w:rsid w:val="00FA0F85"/>
    <w:rsid w:val="00FA22E5"/>
    <w:rsid w:val="00FA29F2"/>
    <w:rsid w:val="00FA3BCF"/>
    <w:rsid w:val="00FA3C5F"/>
    <w:rsid w:val="00FA4E39"/>
    <w:rsid w:val="00FA704F"/>
    <w:rsid w:val="00FB1026"/>
    <w:rsid w:val="00FB2211"/>
    <w:rsid w:val="00FB25F3"/>
    <w:rsid w:val="00FB28CF"/>
    <w:rsid w:val="00FB2B13"/>
    <w:rsid w:val="00FB4F58"/>
    <w:rsid w:val="00FB5908"/>
    <w:rsid w:val="00FB65A2"/>
    <w:rsid w:val="00FC0203"/>
    <w:rsid w:val="00FC043C"/>
    <w:rsid w:val="00FC1B8F"/>
    <w:rsid w:val="00FC1CBC"/>
    <w:rsid w:val="00FC1E67"/>
    <w:rsid w:val="00FC25CC"/>
    <w:rsid w:val="00FC262D"/>
    <w:rsid w:val="00FC277B"/>
    <w:rsid w:val="00FC55CC"/>
    <w:rsid w:val="00FC6CD4"/>
    <w:rsid w:val="00FC75BB"/>
    <w:rsid w:val="00FD0B6C"/>
    <w:rsid w:val="00FD1010"/>
    <w:rsid w:val="00FD40D5"/>
    <w:rsid w:val="00FD5820"/>
    <w:rsid w:val="00FE17BE"/>
    <w:rsid w:val="00FE1895"/>
    <w:rsid w:val="00FE1DB2"/>
    <w:rsid w:val="00FE70C8"/>
    <w:rsid w:val="00FF502E"/>
    <w:rsid w:val="00FF5681"/>
    <w:rsid w:val="00FF5A1B"/>
    <w:rsid w:val="00FF6B8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IE" w:eastAsia="en-IE"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rPr>
  </w:style>
  <w:style w:type="paragraph" w:styleId="Heading1">
    <w:name w:val="heading 1"/>
    <w:aliases w:val="Thesis Heading 1,Heading 1 T"/>
    <w:basedOn w:val="Normal"/>
    <w:next w:val="Normal"/>
    <w:link w:val="Heading1Char"/>
    <w:uiPriority w:val="9"/>
    <w:qFormat/>
    <w:rsid w:val="006470B6"/>
    <w:pPr>
      <w:keepNext/>
      <w:numPr>
        <w:numId w:val="3"/>
      </w:numPr>
      <w:spacing w:before="240" w:after="60" w:line="360" w:lineRule="auto"/>
      <w:outlineLvl w:val="0"/>
    </w:pPr>
    <w:rPr>
      <w:rFonts w:cs="Arial"/>
      <w:b/>
      <w:bCs/>
      <w:kern w:val="24"/>
      <w:sz w:val="26"/>
      <w:szCs w:val="26"/>
      <w:lang w:eastAsia="en-US"/>
    </w:rPr>
  </w:style>
  <w:style w:type="paragraph" w:styleId="Heading2">
    <w:name w:val="heading 2"/>
    <w:basedOn w:val="Normal"/>
    <w:next w:val="Normal"/>
    <w:link w:val="Heading2Char"/>
    <w:uiPriority w:val="9"/>
    <w:qFormat/>
    <w:rsid w:val="00645687"/>
    <w:pPr>
      <w:keepNext/>
      <w:numPr>
        <w:ilvl w:val="1"/>
        <w:numId w:val="3"/>
      </w:numPr>
      <w:spacing w:before="240" w:after="60" w:line="276" w:lineRule="auto"/>
      <w:ind w:left="0" w:firstLine="0"/>
      <w:jc w:val="both"/>
      <w:outlineLvl w:val="1"/>
    </w:pPr>
    <w:rPr>
      <w:rFonts w:cs="Arial"/>
      <w:b/>
      <w:bCs/>
      <w:iCs/>
      <w:sz w:val="26"/>
      <w:szCs w:val="26"/>
      <w:lang w:eastAsia="en-US"/>
    </w:rPr>
  </w:style>
  <w:style w:type="paragraph" w:styleId="Heading3">
    <w:name w:val="heading 3"/>
    <w:basedOn w:val="Normal"/>
    <w:next w:val="Normal"/>
    <w:link w:val="Heading3Char"/>
    <w:uiPriority w:val="9"/>
    <w:qFormat/>
    <w:rsid w:val="00645687"/>
    <w:pPr>
      <w:numPr>
        <w:ilvl w:val="2"/>
        <w:numId w:val="3"/>
      </w:numPr>
      <w:spacing w:after="240" w:line="360" w:lineRule="auto"/>
      <w:outlineLvl w:val="2"/>
    </w:pPr>
    <w:rPr>
      <w:b/>
      <w:color w:val="000000"/>
      <w:sz w:val="26"/>
      <w:szCs w:val="26"/>
      <w:lang w:eastAsia="en-US"/>
    </w:rPr>
  </w:style>
  <w:style w:type="paragraph" w:styleId="Heading4">
    <w:name w:val="heading 4"/>
    <w:basedOn w:val="Normal"/>
    <w:next w:val="Normal"/>
    <w:link w:val="Heading4Char"/>
    <w:uiPriority w:val="9"/>
    <w:qFormat/>
    <w:rsid w:val="00645687"/>
    <w:pPr>
      <w:keepNext/>
      <w:numPr>
        <w:ilvl w:val="3"/>
        <w:numId w:val="3"/>
      </w:numPr>
      <w:spacing w:before="240" w:line="360" w:lineRule="auto"/>
      <w:ind w:left="0" w:firstLine="0"/>
      <w:outlineLvl w:val="3"/>
    </w:pPr>
    <w:rPr>
      <w:b/>
      <w:bCs/>
      <w:sz w:val="26"/>
      <w:szCs w:val="26"/>
      <w:lang w:eastAsia="en-US"/>
    </w:rPr>
  </w:style>
  <w:style w:type="paragraph" w:styleId="Heading5">
    <w:name w:val="heading 5"/>
    <w:basedOn w:val="Normal"/>
    <w:next w:val="Normal"/>
    <w:link w:val="Heading5Char"/>
    <w:uiPriority w:val="9"/>
    <w:qFormat/>
    <w:rsid w:val="00321273"/>
    <w:pPr>
      <w:numPr>
        <w:ilvl w:val="4"/>
        <w:numId w:val="3"/>
      </w:numPr>
      <w:spacing w:before="240" w:after="60"/>
      <w:jc w:val="both"/>
      <w:outlineLvl w:val="4"/>
    </w:pPr>
    <w:rPr>
      <w:b/>
      <w:bCs/>
      <w:iCs/>
      <w:sz w:val="26"/>
      <w:szCs w:val="26"/>
      <w:lang w:eastAsia="en-US"/>
    </w:rPr>
  </w:style>
  <w:style w:type="paragraph" w:styleId="Heading6">
    <w:name w:val="heading 6"/>
    <w:basedOn w:val="Normal"/>
    <w:next w:val="Normal"/>
    <w:link w:val="Heading6Char"/>
    <w:uiPriority w:val="9"/>
    <w:qFormat/>
    <w:rsid w:val="00FE70C8"/>
    <w:pPr>
      <w:numPr>
        <w:ilvl w:val="5"/>
        <w:numId w:val="3"/>
      </w:numPr>
      <w:spacing w:before="240" w:after="60"/>
      <w:outlineLvl w:val="5"/>
    </w:pPr>
    <w:rPr>
      <w:b/>
      <w:bCs/>
      <w:sz w:val="26"/>
      <w:szCs w:val="26"/>
    </w:rPr>
  </w:style>
  <w:style w:type="paragraph" w:styleId="Heading7">
    <w:name w:val="heading 7"/>
    <w:basedOn w:val="Normal"/>
    <w:next w:val="Normal"/>
    <w:link w:val="Heading7Char"/>
    <w:uiPriority w:val="9"/>
    <w:qFormat/>
    <w:rsid w:val="00A30720"/>
    <w:pPr>
      <w:numPr>
        <w:ilvl w:val="6"/>
        <w:numId w:val="3"/>
      </w:numPr>
      <w:spacing w:before="240" w:after="60"/>
      <w:outlineLvl w:val="6"/>
    </w:pPr>
  </w:style>
  <w:style w:type="paragraph" w:styleId="Heading8">
    <w:name w:val="heading 8"/>
    <w:basedOn w:val="Normal"/>
    <w:next w:val="Normal"/>
    <w:link w:val="Heading8Char"/>
    <w:uiPriority w:val="9"/>
    <w:qFormat/>
    <w:rsid w:val="00A30720"/>
    <w:pPr>
      <w:numPr>
        <w:ilvl w:val="7"/>
        <w:numId w:val="3"/>
      </w:numPr>
      <w:spacing w:before="240" w:after="60"/>
      <w:outlineLvl w:val="7"/>
    </w:pPr>
    <w:rPr>
      <w:i/>
      <w:iCs/>
    </w:rPr>
  </w:style>
  <w:style w:type="paragraph" w:styleId="Heading9">
    <w:name w:val="heading 9"/>
    <w:basedOn w:val="Normal"/>
    <w:next w:val="Normal"/>
    <w:link w:val="Heading9Char"/>
    <w:uiPriority w:val="9"/>
    <w:qFormat/>
    <w:rsid w:val="00A30720"/>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NumberedArial16ptBold">
    <w:name w:val="Style Numbered Arial 16 pt Bold"/>
    <w:basedOn w:val="NoList"/>
    <w:rsid w:val="00932109"/>
    <w:pPr>
      <w:numPr>
        <w:numId w:val="1"/>
      </w:numPr>
    </w:pPr>
  </w:style>
  <w:style w:type="paragraph" w:styleId="Caption">
    <w:name w:val="caption"/>
    <w:basedOn w:val="Normal"/>
    <w:next w:val="Normal"/>
    <w:qFormat/>
    <w:rsid w:val="000F417D"/>
    <w:pPr>
      <w:spacing w:line="360" w:lineRule="auto"/>
    </w:pPr>
    <w:rPr>
      <w:b/>
      <w:bCs/>
      <w:szCs w:val="20"/>
    </w:rPr>
  </w:style>
  <w:style w:type="paragraph" w:styleId="Footer">
    <w:name w:val="footer"/>
    <w:basedOn w:val="Normal"/>
    <w:link w:val="FooterChar"/>
    <w:uiPriority w:val="99"/>
    <w:rsid w:val="001A2C41"/>
    <w:pPr>
      <w:tabs>
        <w:tab w:val="center" w:pos="4153"/>
        <w:tab w:val="right" w:pos="8306"/>
      </w:tabs>
    </w:pPr>
  </w:style>
  <w:style w:type="character" w:styleId="PageNumber">
    <w:name w:val="page number"/>
    <w:basedOn w:val="DefaultParagraphFont"/>
    <w:rsid w:val="001A2C41"/>
  </w:style>
  <w:style w:type="paragraph" w:customStyle="1" w:styleId="StyleHeading1TimesNewRoman12ptBlackLinespacingDou">
    <w:name w:val="Style Heading 1. + Times New Roman 12 pt Black Line spacing:  Dou..."/>
    <w:basedOn w:val="Heading1"/>
    <w:rsid w:val="00464B9A"/>
    <w:pPr>
      <w:spacing w:line="480" w:lineRule="auto"/>
    </w:pPr>
    <w:rPr>
      <w:rFonts w:eastAsia="Times New Roman" w:cs="Times New Roman"/>
      <w:color w:val="000000"/>
      <w:szCs w:val="20"/>
    </w:rPr>
  </w:style>
  <w:style w:type="character" w:styleId="Emphasis">
    <w:name w:val="Emphasis"/>
    <w:uiPriority w:val="20"/>
    <w:qFormat/>
    <w:rsid w:val="001D4896"/>
    <w:rPr>
      <w:i/>
      <w:iCs/>
    </w:rPr>
  </w:style>
  <w:style w:type="paragraph" w:customStyle="1" w:styleId="FTH3">
    <w:name w:val="FTH 3"/>
    <w:basedOn w:val="Normal"/>
    <w:rsid w:val="002E16AD"/>
  </w:style>
  <w:style w:type="paragraph" w:styleId="NormalWeb">
    <w:name w:val="Normal (Web)"/>
    <w:basedOn w:val="Normal"/>
    <w:uiPriority w:val="99"/>
    <w:rsid w:val="00FC6CD4"/>
    <w:pPr>
      <w:spacing w:before="100" w:beforeAutospacing="1" w:after="100" w:afterAutospacing="1"/>
    </w:pPr>
    <w:rPr>
      <w:rFonts w:eastAsia="Times New Roman"/>
      <w:lang w:val="en-GB" w:eastAsia="en-GB"/>
    </w:rPr>
  </w:style>
  <w:style w:type="character" w:customStyle="1" w:styleId="h1">
    <w:name w:val="h1"/>
    <w:basedOn w:val="DefaultParagraphFont"/>
    <w:rsid w:val="00FC6CD4"/>
  </w:style>
  <w:style w:type="character" w:styleId="Hyperlink">
    <w:name w:val="Hyperlink"/>
    <w:uiPriority w:val="99"/>
    <w:rsid w:val="00FC6CD4"/>
    <w:rPr>
      <w:color w:val="0000FF"/>
      <w:u w:val="single"/>
    </w:rPr>
  </w:style>
  <w:style w:type="character" w:customStyle="1" w:styleId="apple-style-span">
    <w:name w:val="apple-style-span"/>
    <w:basedOn w:val="DefaultParagraphFont"/>
    <w:rsid w:val="003E6E43"/>
  </w:style>
  <w:style w:type="character" w:customStyle="1" w:styleId="apple-converted-space">
    <w:name w:val="apple-converted-space"/>
    <w:basedOn w:val="DefaultParagraphFont"/>
    <w:rsid w:val="003E6E43"/>
  </w:style>
  <w:style w:type="character" w:customStyle="1" w:styleId="i">
    <w:name w:val="i"/>
    <w:basedOn w:val="DefaultParagraphFont"/>
    <w:rsid w:val="003E6E43"/>
  </w:style>
  <w:style w:type="paragraph" w:customStyle="1" w:styleId="Style1">
    <w:name w:val="Style1"/>
    <w:basedOn w:val="Heading4"/>
    <w:rsid w:val="004127C4"/>
    <w:rPr>
      <w:sz w:val="24"/>
      <w:szCs w:val="24"/>
      <w:lang w:val="en-GB"/>
    </w:rPr>
  </w:style>
  <w:style w:type="paragraph" w:customStyle="1" w:styleId="Style2">
    <w:name w:val="Style2"/>
    <w:basedOn w:val="Heading4"/>
    <w:rsid w:val="004127C4"/>
    <w:rPr>
      <w:sz w:val="24"/>
    </w:rPr>
  </w:style>
  <w:style w:type="paragraph" w:customStyle="1" w:styleId="shared-figure-table-caption">
    <w:name w:val="shared-figure-table-caption"/>
    <w:basedOn w:val="Normal"/>
    <w:rsid w:val="0087174D"/>
    <w:pPr>
      <w:spacing w:before="100" w:beforeAutospacing="1" w:after="100" w:afterAutospacing="1"/>
    </w:pPr>
    <w:rPr>
      <w:rFonts w:eastAsia="Times New Roman"/>
      <w:lang w:val="en-GB" w:eastAsia="en-GB"/>
    </w:rPr>
  </w:style>
  <w:style w:type="character" w:styleId="Strong">
    <w:name w:val="Strong"/>
    <w:uiPriority w:val="22"/>
    <w:qFormat/>
    <w:rsid w:val="0087174D"/>
    <w:rPr>
      <w:b/>
      <w:bCs/>
    </w:rPr>
  </w:style>
  <w:style w:type="character" w:customStyle="1" w:styleId="ext-reflink">
    <w:name w:val="ext-reflink"/>
    <w:basedOn w:val="DefaultParagraphFont"/>
    <w:rsid w:val="0087174D"/>
  </w:style>
  <w:style w:type="paragraph" w:customStyle="1" w:styleId="ThesisHeading412pt">
    <w:name w:val="Thesis Heading 4 + 12 pt"/>
    <w:basedOn w:val="Heading4"/>
    <w:link w:val="ThesisHeading412ptCharChar"/>
    <w:rsid w:val="00A30720"/>
    <w:pPr>
      <w:numPr>
        <w:numId w:val="2"/>
      </w:numPr>
      <w:spacing w:line="480" w:lineRule="auto"/>
    </w:pPr>
    <w:rPr>
      <w:sz w:val="24"/>
    </w:rPr>
  </w:style>
  <w:style w:type="character" w:customStyle="1" w:styleId="Heading4Char">
    <w:name w:val="Heading 4 Char"/>
    <w:link w:val="Heading4"/>
    <w:uiPriority w:val="9"/>
    <w:rsid w:val="00645687"/>
    <w:rPr>
      <w:b/>
      <w:bCs/>
      <w:sz w:val="26"/>
      <w:szCs w:val="26"/>
      <w:lang w:eastAsia="en-US"/>
    </w:rPr>
  </w:style>
  <w:style w:type="character" w:customStyle="1" w:styleId="ThesisHeading412ptCharChar">
    <w:name w:val="Thesis Heading 4 + 12 pt Char Char"/>
    <w:link w:val="ThesisHeading412pt"/>
    <w:rsid w:val="00A30720"/>
    <w:rPr>
      <w:b/>
      <w:bCs/>
      <w:sz w:val="24"/>
      <w:szCs w:val="26"/>
      <w:lang w:eastAsia="en-US"/>
    </w:rPr>
  </w:style>
  <w:style w:type="paragraph" w:customStyle="1" w:styleId="ThesisHeading2TimesNewRoman12ptBlackLinespacingDou">
    <w:name w:val="Thesis Heading 2 + Times New Roman 12 pt Black Line spacing:  Dou..."/>
    <w:basedOn w:val="Heading2"/>
    <w:rsid w:val="007B2B32"/>
    <w:pPr>
      <w:spacing w:line="480" w:lineRule="auto"/>
    </w:pPr>
    <w:rPr>
      <w:rFonts w:eastAsia="Times New Roman" w:cs="Times New Roman"/>
      <w:iCs w:val="0"/>
      <w:color w:val="000000"/>
      <w:sz w:val="24"/>
      <w:szCs w:val="20"/>
    </w:rPr>
  </w:style>
  <w:style w:type="paragraph" w:customStyle="1" w:styleId="thesisHeading3">
    <w:name w:val="thesis Heading 3"/>
    <w:basedOn w:val="Normal"/>
    <w:qFormat/>
    <w:rsid w:val="00A30720"/>
    <w:pPr>
      <w:numPr>
        <w:ilvl w:val="2"/>
        <w:numId w:val="2"/>
      </w:numPr>
    </w:pPr>
  </w:style>
  <w:style w:type="character" w:customStyle="1" w:styleId="StyleHeading3TimesNewRoman12ptBlackLinespacingDouCharChar">
    <w:name w:val="Style Heading 3 + Times New Roman 12 pt Black Line spacing:  Dou... Char Char"/>
    <w:link w:val="StyleHeading3TimesNewRoman12ptBlackLinespacingDou"/>
    <w:rsid w:val="00056E62"/>
    <w:rPr>
      <w:rFonts w:eastAsia="Times New Roman"/>
      <w:b/>
      <w:color w:val="000000"/>
      <w:sz w:val="26"/>
      <w:lang w:eastAsia="en-US"/>
    </w:rPr>
  </w:style>
  <w:style w:type="character" w:customStyle="1" w:styleId="Heading3Char">
    <w:name w:val="Heading 3 Char"/>
    <w:link w:val="Heading3"/>
    <w:uiPriority w:val="9"/>
    <w:rsid w:val="00645687"/>
    <w:rPr>
      <w:b/>
      <w:color w:val="000000"/>
      <w:sz w:val="26"/>
      <w:szCs w:val="26"/>
      <w:lang w:eastAsia="en-US"/>
    </w:rPr>
  </w:style>
  <w:style w:type="paragraph" w:styleId="BodyText">
    <w:name w:val="Body Text"/>
    <w:basedOn w:val="Normal"/>
    <w:rsid w:val="001D4896"/>
    <w:pPr>
      <w:spacing w:after="120"/>
    </w:pPr>
    <w:rPr>
      <w:rFonts w:eastAsia="Times New Roman"/>
      <w:szCs w:val="20"/>
      <w:lang w:eastAsia="en-US"/>
    </w:rPr>
  </w:style>
  <w:style w:type="paragraph" w:styleId="BlockText">
    <w:name w:val="Block Text"/>
    <w:basedOn w:val="Normal"/>
    <w:semiHidden/>
    <w:rsid w:val="00106058"/>
    <w:pPr>
      <w:tabs>
        <w:tab w:val="left" w:pos="9360"/>
      </w:tabs>
      <w:spacing w:line="280" w:lineRule="exact"/>
      <w:ind w:left="1440" w:right="720"/>
    </w:pPr>
    <w:rPr>
      <w:rFonts w:ascii="Times (PCL6)" w:eastAsia="Times New Roman" w:hAnsi="Times (PCL6)"/>
      <w:b/>
      <w:sz w:val="20"/>
      <w:szCs w:val="20"/>
      <w:lang w:eastAsia="en-US"/>
    </w:rPr>
  </w:style>
  <w:style w:type="paragraph" w:styleId="BodyTextIndent2">
    <w:name w:val="Body Text Indent 2"/>
    <w:basedOn w:val="Normal"/>
    <w:link w:val="BodyTextIndent2Char"/>
    <w:rsid w:val="008101D7"/>
    <w:pPr>
      <w:spacing w:after="120" w:line="480" w:lineRule="auto"/>
      <w:ind w:left="283"/>
    </w:pPr>
    <w:rPr>
      <w:rFonts w:eastAsia="Times New Roman"/>
      <w:szCs w:val="20"/>
      <w:lang w:eastAsia="en-US"/>
    </w:rPr>
  </w:style>
  <w:style w:type="paragraph" w:styleId="BalloonText">
    <w:name w:val="Balloon Text"/>
    <w:basedOn w:val="Normal"/>
    <w:link w:val="BalloonTextChar"/>
    <w:rsid w:val="00B4210E"/>
    <w:rPr>
      <w:rFonts w:ascii="Tahoma" w:hAnsi="Tahoma" w:cs="Tahoma"/>
      <w:sz w:val="16"/>
      <w:szCs w:val="16"/>
    </w:rPr>
  </w:style>
  <w:style w:type="paragraph" w:styleId="DocumentMap">
    <w:name w:val="Document Map"/>
    <w:basedOn w:val="Normal"/>
    <w:semiHidden/>
    <w:rsid w:val="00F706CE"/>
    <w:pPr>
      <w:shd w:val="clear" w:color="auto" w:fill="000080"/>
    </w:pPr>
    <w:rPr>
      <w:rFonts w:ascii="Tahoma" w:hAnsi="Tahoma" w:cs="Tahoma"/>
      <w:sz w:val="20"/>
      <w:szCs w:val="20"/>
    </w:rPr>
  </w:style>
  <w:style w:type="paragraph" w:customStyle="1" w:styleId="StyleHeading412pt">
    <w:name w:val="Style Heading 4 + 12 pt"/>
    <w:basedOn w:val="Heading4"/>
    <w:rsid w:val="00B3149A"/>
    <w:pPr>
      <w:spacing w:line="480" w:lineRule="auto"/>
      <w:ind w:left="864"/>
    </w:pPr>
    <w:rPr>
      <w:sz w:val="24"/>
    </w:rPr>
  </w:style>
  <w:style w:type="paragraph" w:customStyle="1" w:styleId="StyleThesisHeading412ptUnderline">
    <w:name w:val="Style Thesis Heading 4 + 12 pt + Underline"/>
    <w:basedOn w:val="ThesisHeading412pt"/>
    <w:rsid w:val="00B34096"/>
    <w:rPr>
      <w:u w:val="single"/>
    </w:rPr>
  </w:style>
  <w:style w:type="paragraph" w:styleId="BodyText3">
    <w:name w:val="Body Text 3"/>
    <w:basedOn w:val="Normal"/>
    <w:rsid w:val="00B34096"/>
    <w:pPr>
      <w:spacing w:after="120"/>
    </w:pPr>
    <w:rPr>
      <w:sz w:val="16"/>
      <w:szCs w:val="16"/>
    </w:rPr>
  </w:style>
  <w:style w:type="paragraph" w:customStyle="1" w:styleId="StyleHeading4Left032cmFirstline0cm">
    <w:name w:val="Style Heading 4 + Left:  0.32 cm First line:  0 cm"/>
    <w:basedOn w:val="Heading4"/>
    <w:rsid w:val="003C4BEF"/>
    <w:rPr>
      <w:rFonts w:eastAsia="Times New Roman"/>
      <w:sz w:val="24"/>
      <w:szCs w:val="20"/>
    </w:rPr>
  </w:style>
  <w:style w:type="paragraph" w:customStyle="1" w:styleId="StyleThesisHeading412ptNotBold">
    <w:name w:val="Style Thesis Heading 4 + 12 pt + Not Bold"/>
    <w:basedOn w:val="ThesisHeading412pt"/>
    <w:rsid w:val="003C4BEF"/>
    <w:rPr>
      <w:b w:val="0"/>
      <w:bCs w:val="0"/>
    </w:rPr>
  </w:style>
  <w:style w:type="paragraph" w:styleId="TableofFigures">
    <w:name w:val="table of figures"/>
    <w:basedOn w:val="Normal"/>
    <w:next w:val="Normal"/>
    <w:uiPriority w:val="99"/>
    <w:rsid w:val="00CB0A86"/>
    <w:pPr>
      <w:ind w:left="480" w:hanging="480"/>
    </w:pPr>
    <w:rPr>
      <w:smallCaps/>
      <w:sz w:val="20"/>
      <w:szCs w:val="20"/>
    </w:rPr>
  </w:style>
  <w:style w:type="paragraph" w:styleId="TOC1">
    <w:name w:val="toc 1"/>
    <w:basedOn w:val="Normal"/>
    <w:next w:val="Normal"/>
    <w:autoRedefine/>
    <w:uiPriority w:val="39"/>
    <w:qFormat/>
    <w:rsid w:val="0069406F"/>
    <w:pPr>
      <w:tabs>
        <w:tab w:val="left" w:pos="1200"/>
        <w:tab w:val="right" w:leader="dot" w:pos="8153"/>
      </w:tabs>
      <w:spacing w:before="120" w:after="120"/>
    </w:pPr>
    <w:rPr>
      <w:bCs/>
      <w:caps/>
      <w:noProof/>
      <w:sz w:val="22"/>
      <w:szCs w:val="20"/>
    </w:rPr>
  </w:style>
  <w:style w:type="paragraph" w:styleId="TOC2">
    <w:name w:val="toc 2"/>
    <w:basedOn w:val="Normal"/>
    <w:next w:val="Normal"/>
    <w:autoRedefine/>
    <w:uiPriority w:val="39"/>
    <w:rsid w:val="000E08D5"/>
    <w:pPr>
      <w:tabs>
        <w:tab w:val="left" w:pos="1276"/>
        <w:tab w:val="right" w:leader="dot" w:pos="8222"/>
        <w:tab w:val="right" w:leader="dot" w:pos="8476"/>
      </w:tabs>
      <w:ind w:right="83"/>
    </w:pPr>
    <w:rPr>
      <w:smallCaps/>
      <w:sz w:val="20"/>
      <w:szCs w:val="20"/>
    </w:rPr>
  </w:style>
  <w:style w:type="paragraph" w:styleId="TOC3">
    <w:name w:val="toc 3"/>
    <w:basedOn w:val="Normal"/>
    <w:next w:val="Normal"/>
    <w:autoRedefine/>
    <w:uiPriority w:val="39"/>
    <w:qFormat/>
    <w:rsid w:val="00323BB1"/>
    <w:pPr>
      <w:tabs>
        <w:tab w:val="left" w:pos="1200"/>
        <w:tab w:val="right" w:leader="dot" w:pos="8476"/>
      </w:tabs>
    </w:pPr>
    <w:rPr>
      <w:i/>
      <w:iCs/>
      <w:sz w:val="20"/>
      <w:szCs w:val="20"/>
    </w:rPr>
  </w:style>
  <w:style w:type="paragraph" w:styleId="TOC4">
    <w:name w:val="toc 4"/>
    <w:basedOn w:val="Normal"/>
    <w:next w:val="Normal"/>
    <w:autoRedefine/>
    <w:uiPriority w:val="39"/>
    <w:rsid w:val="00566383"/>
    <w:pPr>
      <w:tabs>
        <w:tab w:val="left" w:pos="1276"/>
        <w:tab w:val="right" w:leader="dot" w:pos="8476"/>
      </w:tabs>
      <w:spacing w:line="480" w:lineRule="auto"/>
    </w:pPr>
    <w:rPr>
      <w:sz w:val="18"/>
      <w:szCs w:val="18"/>
    </w:rPr>
  </w:style>
  <w:style w:type="paragraph" w:styleId="TOC5">
    <w:name w:val="toc 5"/>
    <w:basedOn w:val="Normal"/>
    <w:next w:val="Normal"/>
    <w:autoRedefine/>
    <w:uiPriority w:val="39"/>
    <w:rsid w:val="00CB0A86"/>
    <w:pPr>
      <w:ind w:left="960"/>
    </w:pPr>
    <w:rPr>
      <w:sz w:val="18"/>
      <w:szCs w:val="18"/>
    </w:rPr>
  </w:style>
  <w:style w:type="paragraph" w:styleId="TOC6">
    <w:name w:val="toc 6"/>
    <w:basedOn w:val="Normal"/>
    <w:next w:val="Normal"/>
    <w:autoRedefine/>
    <w:uiPriority w:val="39"/>
    <w:rsid w:val="00CB0A86"/>
    <w:pPr>
      <w:ind w:left="1200"/>
    </w:pPr>
    <w:rPr>
      <w:sz w:val="18"/>
      <w:szCs w:val="18"/>
    </w:rPr>
  </w:style>
  <w:style w:type="paragraph" w:styleId="TOC7">
    <w:name w:val="toc 7"/>
    <w:basedOn w:val="Normal"/>
    <w:next w:val="Normal"/>
    <w:autoRedefine/>
    <w:uiPriority w:val="39"/>
    <w:rsid w:val="00CB0A86"/>
    <w:pPr>
      <w:ind w:left="1440"/>
    </w:pPr>
    <w:rPr>
      <w:sz w:val="18"/>
      <w:szCs w:val="18"/>
    </w:rPr>
  </w:style>
  <w:style w:type="paragraph" w:styleId="TOC8">
    <w:name w:val="toc 8"/>
    <w:basedOn w:val="Normal"/>
    <w:next w:val="Normal"/>
    <w:autoRedefine/>
    <w:uiPriority w:val="39"/>
    <w:rsid w:val="00CB0A86"/>
    <w:pPr>
      <w:ind w:left="1680"/>
    </w:pPr>
    <w:rPr>
      <w:sz w:val="18"/>
      <w:szCs w:val="18"/>
    </w:rPr>
  </w:style>
  <w:style w:type="paragraph" w:styleId="TOC9">
    <w:name w:val="toc 9"/>
    <w:basedOn w:val="Normal"/>
    <w:next w:val="Normal"/>
    <w:autoRedefine/>
    <w:uiPriority w:val="39"/>
    <w:rsid w:val="00CB0A86"/>
    <w:pPr>
      <w:ind w:left="1920"/>
    </w:pPr>
    <w:rPr>
      <w:sz w:val="18"/>
      <w:szCs w:val="18"/>
    </w:rPr>
  </w:style>
  <w:style w:type="character" w:customStyle="1" w:styleId="small-black">
    <w:name w:val="small-black"/>
    <w:basedOn w:val="DefaultParagraphFont"/>
    <w:semiHidden/>
    <w:rsid w:val="00D335CB"/>
  </w:style>
  <w:style w:type="paragraph" w:customStyle="1" w:styleId="StyleHeading3TimesNewRoman12ptBlackLinespacingDou">
    <w:name w:val="Style Heading 3 + Times New Roman 12 pt Black Line spacing:  Dou..."/>
    <w:basedOn w:val="Heading3"/>
    <w:link w:val="StyleHeading3TimesNewRoman12ptBlackLinespacingDouCharChar"/>
    <w:rsid w:val="00056E62"/>
    <w:pPr>
      <w:spacing w:line="480" w:lineRule="auto"/>
    </w:pPr>
    <w:rPr>
      <w:rFonts w:eastAsia="Times New Roman"/>
      <w:szCs w:val="20"/>
    </w:rPr>
  </w:style>
  <w:style w:type="paragraph" w:customStyle="1" w:styleId="StyleThesisHeading2TimesNewRoman12ptBlackLinespacing">
    <w:name w:val="Style Thesis Heading 2 + Times New Roman 12 pt Black Line spacing: ..."/>
    <w:basedOn w:val="ThesisHeading2TimesNewRoman12ptBlackLinespacingDou"/>
    <w:rsid w:val="00A30720"/>
    <w:pPr>
      <w:numPr>
        <w:numId w:val="2"/>
      </w:numPr>
    </w:pPr>
  </w:style>
  <w:style w:type="character" w:customStyle="1" w:styleId="BalloonTextChar">
    <w:name w:val="Balloon Text Char"/>
    <w:link w:val="BalloonText"/>
    <w:rsid w:val="00B4210E"/>
    <w:rPr>
      <w:rFonts w:ascii="Tahoma" w:hAnsi="Tahoma" w:cs="Tahoma"/>
      <w:sz w:val="16"/>
      <w:szCs w:val="16"/>
      <w:lang w:eastAsia="ja-JP"/>
    </w:rPr>
  </w:style>
  <w:style w:type="numbering" w:customStyle="1" w:styleId="NoList1">
    <w:name w:val="No List1"/>
    <w:next w:val="NoList"/>
    <w:uiPriority w:val="99"/>
    <w:semiHidden/>
    <w:unhideWhenUsed/>
    <w:rsid w:val="006B72EF"/>
  </w:style>
  <w:style w:type="character" w:customStyle="1" w:styleId="Heading1Char">
    <w:name w:val="Heading 1 Char"/>
    <w:aliases w:val="Thesis Heading 1 Char,Heading 1 T Char"/>
    <w:link w:val="Heading1"/>
    <w:uiPriority w:val="9"/>
    <w:rsid w:val="006470B6"/>
    <w:rPr>
      <w:rFonts w:cs="Arial"/>
      <w:b/>
      <w:bCs/>
      <w:kern w:val="24"/>
      <w:sz w:val="26"/>
      <w:szCs w:val="26"/>
      <w:lang w:eastAsia="en-US"/>
    </w:rPr>
  </w:style>
  <w:style w:type="character" w:customStyle="1" w:styleId="Heading2Char">
    <w:name w:val="Heading 2 Char"/>
    <w:link w:val="Heading2"/>
    <w:uiPriority w:val="9"/>
    <w:rsid w:val="00645687"/>
    <w:rPr>
      <w:rFonts w:cs="Arial"/>
      <w:b/>
      <w:bCs/>
      <w:iCs/>
      <w:sz w:val="26"/>
      <w:szCs w:val="26"/>
      <w:lang w:eastAsia="en-US"/>
    </w:rPr>
  </w:style>
  <w:style w:type="character" w:customStyle="1" w:styleId="Heading5Char">
    <w:name w:val="Heading 5 Char"/>
    <w:link w:val="Heading5"/>
    <w:uiPriority w:val="9"/>
    <w:rsid w:val="00321273"/>
    <w:rPr>
      <w:b/>
      <w:bCs/>
      <w:iCs/>
      <w:sz w:val="26"/>
      <w:szCs w:val="26"/>
      <w:lang w:eastAsia="en-US"/>
    </w:rPr>
  </w:style>
  <w:style w:type="character" w:customStyle="1" w:styleId="Heading6Char">
    <w:name w:val="Heading 6 Char"/>
    <w:link w:val="Heading6"/>
    <w:uiPriority w:val="9"/>
    <w:rsid w:val="006B72EF"/>
    <w:rPr>
      <w:b/>
      <w:bCs/>
      <w:sz w:val="26"/>
      <w:szCs w:val="26"/>
      <w:lang w:eastAsia="ja-JP"/>
    </w:rPr>
  </w:style>
  <w:style w:type="character" w:customStyle="1" w:styleId="Heading7Char">
    <w:name w:val="Heading 7 Char"/>
    <w:link w:val="Heading7"/>
    <w:uiPriority w:val="9"/>
    <w:rsid w:val="006B72EF"/>
    <w:rPr>
      <w:sz w:val="24"/>
      <w:szCs w:val="24"/>
      <w:lang w:eastAsia="ja-JP"/>
    </w:rPr>
  </w:style>
  <w:style w:type="character" w:customStyle="1" w:styleId="Heading8Char">
    <w:name w:val="Heading 8 Char"/>
    <w:link w:val="Heading8"/>
    <w:uiPriority w:val="9"/>
    <w:rsid w:val="006B72EF"/>
    <w:rPr>
      <w:i/>
      <w:iCs/>
      <w:sz w:val="24"/>
      <w:szCs w:val="24"/>
      <w:lang w:eastAsia="ja-JP"/>
    </w:rPr>
  </w:style>
  <w:style w:type="character" w:customStyle="1" w:styleId="Heading9Char">
    <w:name w:val="Heading 9 Char"/>
    <w:link w:val="Heading9"/>
    <w:uiPriority w:val="9"/>
    <w:rsid w:val="006B72EF"/>
    <w:rPr>
      <w:rFonts w:ascii="Arial" w:hAnsi="Arial" w:cs="Arial"/>
      <w:sz w:val="22"/>
      <w:szCs w:val="22"/>
      <w:lang w:eastAsia="ja-JP"/>
    </w:rPr>
  </w:style>
  <w:style w:type="paragraph" w:customStyle="1" w:styleId="Title1">
    <w:name w:val="Title1"/>
    <w:basedOn w:val="Normal"/>
    <w:next w:val="Normal"/>
    <w:uiPriority w:val="10"/>
    <w:qFormat/>
    <w:rsid w:val="006B72EF"/>
    <w:pPr>
      <w:spacing w:after="240"/>
    </w:pPr>
    <w:rPr>
      <w:rFonts w:eastAsia="Times New Roman"/>
      <w:b/>
      <w:bCs/>
      <w:i/>
      <w:iCs/>
      <w:color w:val="0D0D0D"/>
      <w:spacing w:val="10"/>
      <w:sz w:val="60"/>
      <w:szCs w:val="60"/>
      <w:lang w:eastAsia="en-US"/>
    </w:rPr>
  </w:style>
  <w:style w:type="character" w:customStyle="1" w:styleId="TitleChar">
    <w:name w:val="Title Char"/>
    <w:link w:val="Title"/>
    <w:uiPriority w:val="10"/>
    <w:rsid w:val="006B72EF"/>
    <w:rPr>
      <w:rFonts w:ascii="Times New Roman" w:eastAsia="Times New Roman" w:hAnsi="Times New Roman" w:cs="Times New Roman"/>
      <w:b/>
      <w:bCs/>
      <w:i/>
      <w:iCs/>
      <w:spacing w:val="10"/>
      <w:sz w:val="60"/>
      <w:szCs w:val="60"/>
    </w:rPr>
  </w:style>
  <w:style w:type="paragraph" w:customStyle="1" w:styleId="Subtitle1">
    <w:name w:val="Subtitle1"/>
    <w:basedOn w:val="Normal"/>
    <w:next w:val="Normal"/>
    <w:uiPriority w:val="11"/>
    <w:qFormat/>
    <w:rsid w:val="006B72EF"/>
    <w:pPr>
      <w:spacing w:after="320" w:line="480" w:lineRule="auto"/>
      <w:jc w:val="right"/>
    </w:pPr>
    <w:rPr>
      <w:rFonts w:eastAsia="Times New Roman"/>
      <w:i/>
      <w:iCs/>
      <w:color w:val="808080"/>
      <w:spacing w:val="10"/>
      <w:lang w:eastAsia="en-US"/>
    </w:rPr>
  </w:style>
  <w:style w:type="character" w:customStyle="1" w:styleId="SubtitleChar">
    <w:name w:val="Subtitle Char"/>
    <w:link w:val="Subtitle"/>
    <w:uiPriority w:val="11"/>
    <w:rsid w:val="006B72EF"/>
    <w:rPr>
      <w:i/>
      <w:iCs/>
      <w:color w:val="808080"/>
      <w:spacing w:val="10"/>
      <w:sz w:val="24"/>
      <w:szCs w:val="24"/>
    </w:rPr>
  </w:style>
  <w:style w:type="paragraph" w:styleId="NoSpacing">
    <w:name w:val="No Spacing"/>
    <w:basedOn w:val="Normal"/>
    <w:uiPriority w:val="1"/>
    <w:qFormat/>
    <w:rsid w:val="006B72EF"/>
    <w:rPr>
      <w:rFonts w:eastAsia="Times New Roman"/>
      <w:color w:val="0D0D0D"/>
      <w:lang w:eastAsia="en-US"/>
    </w:rPr>
  </w:style>
  <w:style w:type="paragraph" w:styleId="ListParagraph">
    <w:name w:val="List Paragraph"/>
    <w:basedOn w:val="Normal"/>
    <w:link w:val="ListParagraphChar"/>
    <w:uiPriority w:val="34"/>
    <w:qFormat/>
    <w:rsid w:val="006B72EF"/>
    <w:pPr>
      <w:spacing w:after="240" w:line="480" w:lineRule="auto"/>
      <w:ind w:left="720"/>
      <w:contextualSpacing/>
    </w:pPr>
    <w:rPr>
      <w:rFonts w:eastAsia="Times New Roman"/>
      <w:color w:val="0D0D0D"/>
      <w:lang w:eastAsia="en-US"/>
    </w:rPr>
  </w:style>
  <w:style w:type="paragraph" w:customStyle="1" w:styleId="Quote1">
    <w:name w:val="Quote1"/>
    <w:basedOn w:val="Normal"/>
    <w:next w:val="Normal"/>
    <w:uiPriority w:val="29"/>
    <w:qFormat/>
    <w:rsid w:val="006B72EF"/>
    <w:pPr>
      <w:spacing w:after="240" w:line="480" w:lineRule="auto"/>
    </w:pPr>
    <w:rPr>
      <w:rFonts w:eastAsia="Times New Roman"/>
      <w:color w:val="5A5A5A"/>
      <w:lang w:eastAsia="en-US"/>
    </w:rPr>
  </w:style>
  <w:style w:type="character" w:customStyle="1" w:styleId="QuoteChar">
    <w:name w:val="Quote Char"/>
    <w:link w:val="Quote"/>
    <w:uiPriority w:val="29"/>
    <w:rsid w:val="006B72EF"/>
    <w:rPr>
      <w:rFonts w:ascii="Times New Roman"/>
      <w:color w:val="5A5A5A"/>
    </w:rPr>
  </w:style>
  <w:style w:type="paragraph" w:customStyle="1" w:styleId="IntenseQuote1">
    <w:name w:val="Intense Quote1"/>
    <w:basedOn w:val="Normal"/>
    <w:next w:val="Normal"/>
    <w:uiPriority w:val="30"/>
    <w:qFormat/>
    <w:rsid w:val="006B72EF"/>
    <w:pPr>
      <w:spacing w:before="320" w:after="480"/>
      <w:ind w:left="720" w:right="720"/>
      <w:jc w:val="center"/>
    </w:pPr>
    <w:rPr>
      <w:rFonts w:eastAsia="Times New Roman"/>
      <w:i/>
      <w:iCs/>
      <w:color w:val="0D0D0D"/>
      <w:sz w:val="20"/>
      <w:szCs w:val="20"/>
      <w:lang w:eastAsia="en-US"/>
    </w:rPr>
  </w:style>
  <w:style w:type="character" w:customStyle="1" w:styleId="IntenseQuoteChar">
    <w:name w:val="Intense Quote Char"/>
    <w:link w:val="IntenseQuote"/>
    <w:uiPriority w:val="30"/>
    <w:rsid w:val="006B72EF"/>
    <w:rPr>
      <w:rFonts w:ascii="Times New Roman" w:eastAsia="Times New Roman" w:hAnsi="Times New Roman" w:cs="Times New Roman"/>
      <w:i/>
      <w:iCs/>
      <w:sz w:val="20"/>
      <w:szCs w:val="20"/>
    </w:rPr>
  </w:style>
  <w:style w:type="character" w:customStyle="1" w:styleId="SubtleEmphasis1">
    <w:name w:val="Subtle Emphasis1"/>
    <w:uiPriority w:val="19"/>
    <w:qFormat/>
    <w:rsid w:val="006B72EF"/>
    <w:rPr>
      <w:i/>
      <w:iCs/>
      <w:color w:val="5A5A5A"/>
    </w:rPr>
  </w:style>
  <w:style w:type="character" w:styleId="IntenseEmphasis">
    <w:name w:val="Intense Emphasis"/>
    <w:uiPriority w:val="21"/>
    <w:qFormat/>
    <w:rsid w:val="006B72EF"/>
    <w:rPr>
      <w:b/>
      <w:bCs/>
      <w:i/>
      <w:iCs/>
      <w:color w:val="auto"/>
      <w:u w:val="single"/>
    </w:rPr>
  </w:style>
  <w:style w:type="character" w:styleId="SubtleReference">
    <w:name w:val="Subtle Reference"/>
    <w:uiPriority w:val="31"/>
    <w:qFormat/>
    <w:rsid w:val="006B72EF"/>
    <w:rPr>
      <w:smallCaps/>
    </w:rPr>
  </w:style>
  <w:style w:type="character" w:styleId="IntenseReference">
    <w:name w:val="Intense Reference"/>
    <w:uiPriority w:val="32"/>
    <w:qFormat/>
    <w:rsid w:val="006B72EF"/>
    <w:rPr>
      <w:b/>
      <w:bCs/>
      <w:smallCaps/>
      <w:color w:val="auto"/>
    </w:rPr>
  </w:style>
  <w:style w:type="character" w:customStyle="1" w:styleId="BookTitle1">
    <w:name w:val="Book Title1"/>
    <w:uiPriority w:val="33"/>
    <w:qFormat/>
    <w:rsid w:val="006B72EF"/>
    <w:rPr>
      <w:rFonts w:ascii="Times New Roman" w:eastAsia="Times New Roman" w:hAnsi="Times New Roman" w:cs="Times New Roman"/>
      <w:b/>
      <w:bCs/>
      <w:smallCaps/>
      <w:color w:val="auto"/>
      <w:u w:val="single"/>
    </w:rPr>
  </w:style>
  <w:style w:type="paragraph" w:styleId="TOCHeading">
    <w:name w:val="TOC Heading"/>
    <w:basedOn w:val="Heading1"/>
    <w:next w:val="Normal"/>
    <w:uiPriority w:val="39"/>
    <w:unhideWhenUsed/>
    <w:qFormat/>
    <w:rsid w:val="006B72EF"/>
    <w:pPr>
      <w:keepNext w:val="0"/>
      <w:tabs>
        <w:tab w:val="num" w:pos="360"/>
      </w:tabs>
      <w:spacing w:before="0" w:after="240" w:line="480" w:lineRule="auto"/>
      <w:contextualSpacing/>
      <w:jc w:val="both"/>
      <w:outlineLvl w:val="9"/>
    </w:pPr>
    <w:rPr>
      <w:rFonts w:eastAsia="Times New Roman" w:cs="Times New Roman"/>
      <w:bCs w:val="0"/>
      <w:color w:val="0D0D0D"/>
      <w:kern w:val="0"/>
      <w:sz w:val="28"/>
      <w:szCs w:val="24"/>
    </w:rPr>
  </w:style>
  <w:style w:type="paragraph" w:styleId="Header">
    <w:name w:val="header"/>
    <w:basedOn w:val="Normal"/>
    <w:link w:val="HeaderChar"/>
    <w:rsid w:val="006B72EF"/>
    <w:pPr>
      <w:tabs>
        <w:tab w:val="center" w:pos="4513"/>
        <w:tab w:val="right" w:pos="9026"/>
      </w:tabs>
    </w:pPr>
    <w:rPr>
      <w:rFonts w:eastAsia="Times New Roman"/>
      <w:color w:val="0D0D0D"/>
      <w:lang w:eastAsia="en-US"/>
    </w:rPr>
  </w:style>
  <w:style w:type="character" w:customStyle="1" w:styleId="HeaderChar">
    <w:name w:val="Header Char"/>
    <w:link w:val="Header"/>
    <w:rsid w:val="006B72EF"/>
    <w:rPr>
      <w:rFonts w:eastAsia="Times New Roman"/>
      <w:color w:val="0D0D0D"/>
      <w:sz w:val="24"/>
      <w:szCs w:val="24"/>
      <w:lang w:eastAsia="en-US"/>
    </w:rPr>
  </w:style>
  <w:style w:type="character" w:customStyle="1" w:styleId="FooterChar">
    <w:name w:val="Footer Char"/>
    <w:link w:val="Footer"/>
    <w:uiPriority w:val="99"/>
    <w:rsid w:val="006B72EF"/>
    <w:rPr>
      <w:sz w:val="24"/>
      <w:szCs w:val="24"/>
      <w:lang w:eastAsia="ja-JP"/>
    </w:rPr>
  </w:style>
  <w:style w:type="paragraph" w:styleId="Index1">
    <w:name w:val="index 1"/>
    <w:basedOn w:val="Normal"/>
    <w:next w:val="Normal"/>
    <w:autoRedefine/>
    <w:rsid w:val="006B72EF"/>
    <w:pPr>
      <w:ind w:left="220" w:hanging="220"/>
    </w:pPr>
    <w:rPr>
      <w:rFonts w:eastAsia="Times New Roman"/>
      <w:b/>
      <w:color w:val="0D0D0D"/>
      <w:lang w:eastAsia="en-US"/>
    </w:rPr>
  </w:style>
  <w:style w:type="paragraph" w:customStyle="1" w:styleId="Index21">
    <w:name w:val="Index 21"/>
    <w:basedOn w:val="Normal"/>
    <w:next w:val="Normal"/>
    <w:autoRedefine/>
    <w:rsid w:val="006B72EF"/>
    <w:pPr>
      <w:spacing w:line="480" w:lineRule="auto"/>
      <w:ind w:left="480" w:hanging="240"/>
    </w:pPr>
    <w:rPr>
      <w:rFonts w:eastAsia="Times New Roman"/>
      <w:color w:val="0D0D0D"/>
      <w:sz w:val="18"/>
      <w:szCs w:val="18"/>
      <w:lang w:eastAsia="en-US"/>
    </w:rPr>
  </w:style>
  <w:style w:type="paragraph" w:customStyle="1" w:styleId="Index31">
    <w:name w:val="Index 31"/>
    <w:basedOn w:val="Normal"/>
    <w:next w:val="Normal"/>
    <w:autoRedefine/>
    <w:rsid w:val="006B72EF"/>
    <w:pPr>
      <w:spacing w:line="480" w:lineRule="auto"/>
      <w:ind w:left="720" w:hanging="240"/>
    </w:pPr>
    <w:rPr>
      <w:rFonts w:eastAsia="Times New Roman"/>
      <w:color w:val="0D0D0D"/>
      <w:sz w:val="18"/>
      <w:szCs w:val="18"/>
      <w:lang w:eastAsia="en-US"/>
    </w:rPr>
  </w:style>
  <w:style w:type="paragraph" w:customStyle="1" w:styleId="Index41">
    <w:name w:val="Index 41"/>
    <w:basedOn w:val="Normal"/>
    <w:next w:val="Normal"/>
    <w:autoRedefine/>
    <w:rsid w:val="006B72EF"/>
    <w:pPr>
      <w:spacing w:line="480" w:lineRule="auto"/>
      <w:ind w:left="960" w:hanging="240"/>
    </w:pPr>
    <w:rPr>
      <w:rFonts w:eastAsia="Times New Roman"/>
      <w:color w:val="0D0D0D"/>
      <w:sz w:val="18"/>
      <w:szCs w:val="18"/>
      <w:lang w:eastAsia="en-US"/>
    </w:rPr>
  </w:style>
  <w:style w:type="paragraph" w:customStyle="1" w:styleId="Index51">
    <w:name w:val="Index 51"/>
    <w:basedOn w:val="Normal"/>
    <w:next w:val="Normal"/>
    <w:autoRedefine/>
    <w:rsid w:val="006B72EF"/>
    <w:pPr>
      <w:spacing w:line="480" w:lineRule="auto"/>
      <w:ind w:left="1200" w:hanging="240"/>
    </w:pPr>
    <w:rPr>
      <w:rFonts w:eastAsia="Times New Roman"/>
      <w:color w:val="0D0D0D"/>
      <w:sz w:val="18"/>
      <w:szCs w:val="18"/>
      <w:lang w:eastAsia="en-US"/>
    </w:rPr>
  </w:style>
  <w:style w:type="paragraph" w:customStyle="1" w:styleId="Index61">
    <w:name w:val="Index 61"/>
    <w:basedOn w:val="Normal"/>
    <w:next w:val="Normal"/>
    <w:autoRedefine/>
    <w:rsid w:val="006B72EF"/>
    <w:pPr>
      <w:spacing w:line="480" w:lineRule="auto"/>
      <w:ind w:left="1440" w:hanging="240"/>
    </w:pPr>
    <w:rPr>
      <w:rFonts w:eastAsia="Times New Roman"/>
      <w:color w:val="0D0D0D"/>
      <w:sz w:val="18"/>
      <w:szCs w:val="18"/>
      <w:lang w:eastAsia="en-US"/>
    </w:rPr>
  </w:style>
  <w:style w:type="paragraph" w:customStyle="1" w:styleId="Index71">
    <w:name w:val="Index 71"/>
    <w:basedOn w:val="Normal"/>
    <w:next w:val="Normal"/>
    <w:autoRedefine/>
    <w:rsid w:val="006B72EF"/>
    <w:pPr>
      <w:spacing w:line="480" w:lineRule="auto"/>
      <w:ind w:left="1680" w:hanging="240"/>
    </w:pPr>
    <w:rPr>
      <w:rFonts w:eastAsia="Times New Roman"/>
      <w:color w:val="0D0D0D"/>
      <w:sz w:val="18"/>
      <w:szCs w:val="18"/>
      <w:lang w:eastAsia="en-US"/>
    </w:rPr>
  </w:style>
  <w:style w:type="paragraph" w:customStyle="1" w:styleId="Index81">
    <w:name w:val="Index 81"/>
    <w:basedOn w:val="Normal"/>
    <w:next w:val="Normal"/>
    <w:autoRedefine/>
    <w:rsid w:val="006B72EF"/>
    <w:pPr>
      <w:spacing w:line="480" w:lineRule="auto"/>
      <w:ind w:left="1920" w:hanging="240"/>
    </w:pPr>
    <w:rPr>
      <w:rFonts w:eastAsia="Times New Roman"/>
      <w:color w:val="0D0D0D"/>
      <w:sz w:val="18"/>
      <w:szCs w:val="18"/>
      <w:lang w:eastAsia="en-US"/>
    </w:rPr>
  </w:style>
  <w:style w:type="paragraph" w:customStyle="1" w:styleId="Index91">
    <w:name w:val="Index 91"/>
    <w:basedOn w:val="Normal"/>
    <w:next w:val="Normal"/>
    <w:autoRedefine/>
    <w:rsid w:val="006B72EF"/>
    <w:pPr>
      <w:spacing w:line="480" w:lineRule="auto"/>
      <w:ind w:left="2160" w:hanging="240"/>
    </w:pPr>
    <w:rPr>
      <w:rFonts w:eastAsia="Times New Roman"/>
      <w:color w:val="0D0D0D"/>
      <w:sz w:val="18"/>
      <w:szCs w:val="18"/>
      <w:lang w:eastAsia="en-US"/>
    </w:rPr>
  </w:style>
  <w:style w:type="paragraph" w:customStyle="1" w:styleId="IndexHeading1">
    <w:name w:val="Index Heading1"/>
    <w:basedOn w:val="Normal"/>
    <w:next w:val="Index1"/>
    <w:rsid w:val="006B72EF"/>
    <w:pPr>
      <w:spacing w:before="240" w:after="120" w:line="480" w:lineRule="auto"/>
      <w:ind w:left="140"/>
    </w:pPr>
    <w:rPr>
      <w:rFonts w:eastAsia="Times New Roman"/>
      <w:b/>
      <w:bCs/>
      <w:color w:val="0D0D0D"/>
      <w:sz w:val="28"/>
      <w:szCs w:val="28"/>
      <w:lang w:eastAsia="en-US"/>
    </w:rPr>
  </w:style>
  <w:style w:type="paragraph" w:styleId="Revision">
    <w:name w:val="Revision"/>
    <w:hidden/>
    <w:uiPriority w:val="99"/>
    <w:semiHidden/>
    <w:rsid w:val="006B72EF"/>
    <w:rPr>
      <w:rFonts w:eastAsia="Times New Roman"/>
      <w:color w:val="0D0D0D"/>
      <w:sz w:val="24"/>
      <w:szCs w:val="24"/>
      <w:lang w:eastAsia="en-US"/>
    </w:rPr>
  </w:style>
  <w:style w:type="paragraph" w:styleId="BodyText2">
    <w:name w:val="Body Text 2"/>
    <w:basedOn w:val="Normal"/>
    <w:link w:val="BodyText2Char"/>
    <w:rsid w:val="006B72EF"/>
    <w:pPr>
      <w:spacing w:after="120" w:line="480" w:lineRule="auto"/>
    </w:pPr>
    <w:rPr>
      <w:rFonts w:eastAsia="Times New Roman"/>
      <w:color w:val="0D0D0D"/>
      <w:lang w:eastAsia="en-US"/>
    </w:rPr>
  </w:style>
  <w:style w:type="character" w:customStyle="1" w:styleId="BodyText2Char">
    <w:name w:val="Body Text 2 Char"/>
    <w:link w:val="BodyText2"/>
    <w:rsid w:val="006B72EF"/>
    <w:rPr>
      <w:rFonts w:eastAsia="Times New Roman"/>
      <w:color w:val="0D0D0D"/>
      <w:sz w:val="24"/>
      <w:szCs w:val="24"/>
      <w:lang w:eastAsia="en-US"/>
    </w:rPr>
  </w:style>
  <w:style w:type="numbering" w:customStyle="1" w:styleId="ThesisFinal">
    <w:name w:val="Thesis Final"/>
    <w:uiPriority w:val="99"/>
    <w:rsid w:val="006B72EF"/>
    <w:pPr>
      <w:numPr>
        <w:numId w:val="12"/>
      </w:numPr>
    </w:pPr>
  </w:style>
  <w:style w:type="paragraph" w:customStyle="1" w:styleId="Theses4">
    <w:name w:val="Theses 4"/>
    <w:basedOn w:val="Heading4"/>
    <w:link w:val="Theses4Char"/>
    <w:qFormat/>
    <w:rsid w:val="00F70D8B"/>
    <w:rPr>
      <w:lang w:val="en"/>
    </w:rPr>
  </w:style>
  <w:style w:type="character" w:customStyle="1" w:styleId="ListParagraphChar">
    <w:name w:val="List Paragraph Char"/>
    <w:link w:val="ListParagraph"/>
    <w:uiPriority w:val="34"/>
    <w:rsid w:val="006B72EF"/>
    <w:rPr>
      <w:rFonts w:eastAsia="Times New Roman"/>
      <w:color w:val="0D0D0D"/>
      <w:sz w:val="24"/>
      <w:szCs w:val="24"/>
      <w:lang w:eastAsia="en-US"/>
    </w:rPr>
  </w:style>
  <w:style w:type="character" w:customStyle="1" w:styleId="Theses4Char">
    <w:name w:val="Theses 4 Char"/>
    <w:link w:val="Theses4"/>
    <w:rsid w:val="00F70D8B"/>
    <w:rPr>
      <w:b/>
      <w:bCs/>
      <w:sz w:val="26"/>
      <w:szCs w:val="26"/>
      <w:lang w:val="en" w:eastAsia="en-US"/>
    </w:rPr>
  </w:style>
  <w:style w:type="paragraph" w:styleId="Title">
    <w:name w:val="Title"/>
    <w:basedOn w:val="Normal"/>
    <w:next w:val="Normal"/>
    <w:link w:val="TitleChar"/>
    <w:uiPriority w:val="10"/>
    <w:qFormat/>
    <w:rsid w:val="006B72EF"/>
    <w:pPr>
      <w:spacing w:before="240" w:after="60"/>
      <w:jc w:val="center"/>
      <w:outlineLvl w:val="0"/>
    </w:pPr>
    <w:rPr>
      <w:rFonts w:eastAsia="Times New Roman"/>
      <w:b/>
      <w:bCs/>
      <w:i/>
      <w:iCs/>
      <w:spacing w:val="10"/>
      <w:sz w:val="60"/>
      <w:szCs w:val="60"/>
      <w:lang w:eastAsia="en-IE"/>
    </w:rPr>
  </w:style>
  <w:style w:type="character" w:customStyle="1" w:styleId="TitleChar1">
    <w:name w:val="Title Char1"/>
    <w:rsid w:val="006B72EF"/>
    <w:rPr>
      <w:rFonts w:ascii="Cambria" w:eastAsia="Times New Roman" w:hAnsi="Cambria" w:cs="Times New Roman"/>
      <w:b/>
      <w:bCs/>
      <w:kern w:val="28"/>
      <w:sz w:val="32"/>
      <w:szCs w:val="32"/>
      <w:lang w:eastAsia="ja-JP"/>
    </w:rPr>
  </w:style>
  <w:style w:type="paragraph" w:styleId="Subtitle">
    <w:name w:val="Subtitle"/>
    <w:basedOn w:val="Normal"/>
    <w:next w:val="Normal"/>
    <w:link w:val="SubtitleChar"/>
    <w:uiPriority w:val="11"/>
    <w:qFormat/>
    <w:rsid w:val="006B72EF"/>
    <w:pPr>
      <w:spacing w:after="60"/>
      <w:jc w:val="center"/>
      <w:outlineLvl w:val="1"/>
    </w:pPr>
    <w:rPr>
      <w:i/>
      <w:iCs/>
      <w:color w:val="808080"/>
      <w:spacing w:val="10"/>
      <w:lang w:eastAsia="en-IE"/>
    </w:rPr>
  </w:style>
  <w:style w:type="character" w:customStyle="1" w:styleId="SubtitleChar1">
    <w:name w:val="Subtitle Char1"/>
    <w:rsid w:val="006B72EF"/>
    <w:rPr>
      <w:rFonts w:ascii="Cambria" w:eastAsia="Times New Roman" w:hAnsi="Cambria" w:cs="Times New Roman"/>
      <w:sz w:val="24"/>
      <w:szCs w:val="24"/>
      <w:lang w:eastAsia="ja-JP"/>
    </w:rPr>
  </w:style>
  <w:style w:type="paragraph" w:styleId="Quote">
    <w:name w:val="Quote"/>
    <w:basedOn w:val="Normal"/>
    <w:next w:val="Normal"/>
    <w:link w:val="QuoteChar"/>
    <w:uiPriority w:val="29"/>
    <w:qFormat/>
    <w:rsid w:val="006B72EF"/>
    <w:rPr>
      <w:color w:val="5A5A5A"/>
      <w:sz w:val="20"/>
      <w:szCs w:val="20"/>
      <w:lang w:eastAsia="en-IE"/>
    </w:rPr>
  </w:style>
  <w:style w:type="character" w:customStyle="1" w:styleId="QuoteChar1">
    <w:name w:val="Quote Char1"/>
    <w:uiPriority w:val="29"/>
    <w:rsid w:val="006B72EF"/>
    <w:rPr>
      <w:i/>
      <w:iCs/>
      <w:color w:val="000000"/>
      <w:sz w:val="24"/>
      <w:szCs w:val="24"/>
      <w:lang w:eastAsia="ja-JP"/>
    </w:rPr>
  </w:style>
  <w:style w:type="paragraph" w:styleId="IntenseQuote">
    <w:name w:val="Intense Quote"/>
    <w:basedOn w:val="Normal"/>
    <w:next w:val="Normal"/>
    <w:link w:val="IntenseQuoteChar"/>
    <w:uiPriority w:val="30"/>
    <w:qFormat/>
    <w:rsid w:val="006B72EF"/>
    <w:pPr>
      <w:pBdr>
        <w:bottom w:val="single" w:sz="4" w:space="4" w:color="4F81BD"/>
      </w:pBdr>
      <w:spacing w:before="200" w:after="280"/>
      <w:ind w:left="936" w:right="936"/>
    </w:pPr>
    <w:rPr>
      <w:rFonts w:eastAsia="Times New Roman"/>
      <w:i/>
      <w:iCs/>
      <w:sz w:val="20"/>
      <w:szCs w:val="20"/>
      <w:lang w:eastAsia="en-IE"/>
    </w:rPr>
  </w:style>
  <w:style w:type="character" w:customStyle="1" w:styleId="IntenseQuoteChar1">
    <w:name w:val="Intense Quote Char1"/>
    <w:uiPriority w:val="30"/>
    <w:rsid w:val="006B72EF"/>
    <w:rPr>
      <w:b/>
      <w:bCs/>
      <w:i/>
      <w:iCs/>
      <w:color w:val="4F81BD"/>
      <w:sz w:val="24"/>
      <w:szCs w:val="24"/>
      <w:lang w:eastAsia="ja-JP"/>
    </w:rPr>
  </w:style>
  <w:style w:type="character" w:styleId="SubtleEmphasis">
    <w:name w:val="Subtle Emphasis"/>
    <w:uiPriority w:val="19"/>
    <w:qFormat/>
    <w:rsid w:val="006B72EF"/>
    <w:rPr>
      <w:i/>
      <w:iCs/>
      <w:color w:val="808080"/>
    </w:rPr>
  </w:style>
  <w:style w:type="character" w:styleId="BookTitle">
    <w:name w:val="Book Title"/>
    <w:uiPriority w:val="33"/>
    <w:qFormat/>
    <w:rsid w:val="006B72EF"/>
    <w:rPr>
      <w:b/>
      <w:bCs/>
      <w:smallCaps/>
      <w:spacing w:val="5"/>
    </w:rPr>
  </w:style>
  <w:style w:type="paragraph" w:customStyle="1" w:styleId="Default">
    <w:name w:val="Default"/>
    <w:rsid w:val="00B61503"/>
    <w:pPr>
      <w:autoSpaceDE w:val="0"/>
      <w:autoSpaceDN w:val="0"/>
      <w:adjustRightInd w:val="0"/>
    </w:pPr>
    <w:rPr>
      <w:rFonts w:eastAsia="Times New Roman"/>
      <w:color w:val="000000"/>
      <w:sz w:val="24"/>
      <w:szCs w:val="24"/>
    </w:rPr>
  </w:style>
  <w:style w:type="paragraph" w:customStyle="1" w:styleId="Headng4">
    <w:name w:val="Headng 4"/>
    <w:basedOn w:val="Heading4"/>
    <w:link w:val="Headng4Char"/>
    <w:autoRedefine/>
    <w:qFormat/>
    <w:rsid w:val="000E1865"/>
  </w:style>
  <w:style w:type="character" w:customStyle="1" w:styleId="Headng4Char">
    <w:name w:val="Headng 4 Char"/>
    <w:link w:val="Headng4"/>
    <w:rsid w:val="000E1865"/>
    <w:rPr>
      <w:b/>
      <w:bCs/>
      <w:sz w:val="26"/>
      <w:szCs w:val="26"/>
      <w:lang w:eastAsia="en-US"/>
    </w:rPr>
  </w:style>
  <w:style w:type="character" w:customStyle="1" w:styleId="BodyTextIndent2Char">
    <w:name w:val="Body Text Indent 2 Char"/>
    <w:link w:val="BodyTextIndent2"/>
    <w:rsid w:val="00B61503"/>
    <w:rPr>
      <w:rFonts w:eastAsia="Times New Roman"/>
      <w:sz w:val="24"/>
      <w:lang w:eastAsia="en-US"/>
    </w:rPr>
  </w:style>
  <w:style w:type="paragraph" w:styleId="FootnoteText">
    <w:name w:val="footnote text"/>
    <w:basedOn w:val="Normal"/>
    <w:link w:val="FootnoteTextChar"/>
    <w:rsid w:val="00B61503"/>
    <w:pPr>
      <w:spacing w:after="200" w:line="276" w:lineRule="auto"/>
    </w:pPr>
    <w:rPr>
      <w:rFonts w:eastAsia="Times New Roman"/>
      <w:sz w:val="20"/>
      <w:szCs w:val="20"/>
      <w:lang w:eastAsia="en-IE"/>
    </w:rPr>
  </w:style>
  <w:style w:type="character" w:customStyle="1" w:styleId="FootnoteTextChar">
    <w:name w:val="Footnote Text Char"/>
    <w:link w:val="FootnoteText"/>
    <w:rsid w:val="00B61503"/>
    <w:rPr>
      <w:rFonts w:eastAsia="Times New Roman"/>
    </w:rPr>
  </w:style>
  <w:style w:type="character" w:styleId="FootnoteReference">
    <w:name w:val="footnote reference"/>
    <w:rsid w:val="00B61503"/>
    <w:rPr>
      <w:vertAlign w:val="superscript"/>
    </w:rPr>
  </w:style>
  <w:style w:type="character" w:customStyle="1" w:styleId="nbapihighlight">
    <w:name w:val="nbapihighlight"/>
    <w:rsid w:val="00B61503"/>
  </w:style>
  <w:style w:type="table" w:styleId="TableGrid">
    <w:name w:val="Table Grid"/>
    <w:basedOn w:val="TableNormal"/>
    <w:uiPriority w:val="59"/>
    <w:rsid w:val="00B61503"/>
    <w:pPr>
      <w:jc w:val="both"/>
    </w:pPr>
    <w:rPr>
      <w:rFonts w:eastAsia="Times New Roman"/>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7F4506"/>
  </w:style>
  <w:style w:type="paragraph" w:customStyle="1" w:styleId="TableContents">
    <w:name w:val="Table Contents"/>
    <w:basedOn w:val="Normal"/>
    <w:rsid w:val="00596E2B"/>
    <w:pPr>
      <w:widowControl w:val="0"/>
      <w:suppressLineNumbers/>
      <w:suppressAutoHyphens/>
    </w:pPr>
    <w:rPr>
      <w:rFonts w:ascii="Nimbus Roman No9 L" w:eastAsia="DejaVu Sans" w:hAnsi="Nimbus Roman No9 L"/>
      <w:kern w:val="1"/>
    </w:rPr>
  </w:style>
  <w:style w:type="character" w:styleId="FollowedHyperlink">
    <w:name w:val="FollowedHyperlink"/>
    <w:basedOn w:val="DefaultParagraphFont"/>
    <w:rsid w:val="007023EB"/>
    <w:rPr>
      <w:color w:val="800080" w:themeColor="followedHyperlink"/>
      <w:u w:val="single"/>
    </w:rPr>
  </w:style>
  <w:style w:type="character" w:customStyle="1" w:styleId="summary-keypoint">
    <w:name w:val="summary-keypoint"/>
    <w:basedOn w:val="DefaultParagraphFont"/>
    <w:rsid w:val="00F063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IE" w:eastAsia="en-IE"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rPr>
  </w:style>
  <w:style w:type="paragraph" w:styleId="Heading1">
    <w:name w:val="heading 1"/>
    <w:aliases w:val="Thesis Heading 1,Heading 1 T"/>
    <w:basedOn w:val="Normal"/>
    <w:next w:val="Normal"/>
    <w:link w:val="Heading1Char"/>
    <w:uiPriority w:val="9"/>
    <w:qFormat/>
    <w:rsid w:val="006470B6"/>
    <w:pPr>
      <w:keepNext/>
      <w:numPr>
        <w:numId w:val="3"/>
      </w:numPr>
      <w:spacing w:before="240" w:after="60" w:line="360" w:lineRule="auto"/>
      <w:outlineLvl w:val="0"/>
    </w:pPr>
    <w:rPr>
      <w:rFonts w:cs="Arial"/>
      <w:b/>
      <w:bCs/>
      <w:kern w:val="24"/>
      <w:sz w:val="26"/>
      <w:szCs w:val="26"/>
      <w:lang w:eastAsia="en-US"/>
    </w:rPr>
  </w:style>
  <w:style w:type="paragraph" w:styleId="Heading2">
    <w:name w:val="heading 2"/>
    <w:basedOn w:val="Normal"/>
    <w:next w:val="Normal"/>
    <w:link w:val="Heading2Char"/>
    <w:uiPriority w:val="9"/>
    <w:qFormat/>
    <w:rsid w:val="00645687"/>
    <w:pPr>
      <w:keepNext/>
      <w:numPr>
        <w:ilvl w:val="1"/>
        <w:numId w:val="3"/>
      </w:numPr>
      <w:spacing w:before="240" w:after="60" w:line="276" w:lineRule="auto"/>
      <w:ind w:left="0" w:firstLine="0"/>
      <w:jc w:val="both"/>
      <w:outlineLvl w:val="1"/>
    </w:pPr>
    <w:rPr>
      <w:rFonts w:cs="Arial"/>
      <w:b/>
      <w:bCs/>
      <w:iCs/>
      <w:sz w:val="26"/>
      <w:szCs w:val="26"/>
      <w:lang w:eastAsia="en-US"/>
    </w:rPr>
  </w:style>
  <w:style w:type="paragraph" w:styleId="Heading3">
    <w:name w:val="heading 3"/>
    <w:basedOn w:val="Normal"/>
    <w:next w:val="Normal"/>
    <w:link w:val="Heading3Char"/>
    <w:uiPriority w:val="9"/>
    <w:qFormat/>
    <w:rsid w:val="00645687"/>
    <w:pPr>
      <w:numPr>
        <w:ilvl w:val="2"/>
        <w:numId w:val="3"/>
      </w:numPr>
      <w:spacing w:after="240" w:line="360" w:lineRule="auto"/>
      <w:outlineLvl w:val="2"/>
    </w:pPr>
    <w:rPr>
      <w:b/>
      <w:color w:val="000000"/>
      <w:sz w:val="26"/>
      <w:szCs w:val="26"/>
      <w:lang w:eastAsia="en-US"/>
    </w:rPr>
  </w:style>
  <w:style w:type="paragraph" w:styleId="Heading4">
    <w:name w:val="heading 4"/>
    <w:basedOn w:val="Normal"/>
    <w:next w:val="Normal"/>
    <w:link w:val="Heading4Char"/>
    <w:uiPriority w:val="9"/>
    <w:qFormat/>
    <w:rsid w:val="00645687"/>
    <w:pPr>
      <w:keepNext/>
      <w:numPr>
        <w:ilvl w:val="3"/>
        <w:numId w:val="3"/>
      </w:numPr>
      <w:spacing w:before="240" w:line="360" w:lineRule="auto"/>
      <w:ind w:left="0" w:firstLine="0"/>
      <w:outlineLvl w:val="3"/>
    </w:pPr>
    <w:rPr>
      <w:b/>
      <w:bCs/>
      <w:sz w:val="26"/>
      <w:szCs w:val="26"/>
      <w:lang w:eastAsia="en-US"/>
    </w:rPr>
  </w:style>
  <w:style w:type="paragraph" w:styleId="Heading5">
    <w:name w:val="heading 5"/>
    <w:basedOn w:val="Normal"/>
    <w:next w:val="Normal"/>
    <w:link w:val="Heading5Char"/>
    <w:uiPriority w:val="9"/>
    <w:qFormat/>
    <w:rsid w:val="00321273"/>
    <w:pPr>
      <w:numPr>
        <w:ilvl w:val="4"/>
        <w:numId w:val="3"/>
      </w:numPr>
      <w:spacing w:before="240" w:after="60"/>
      <w:jc w:val="both"/>
      <w:outlineLvl w:val="4"/>
    </w:pPr>
    <w:rPr>
      <w:b/>
      <w:bCs/>
      <w:iCs/>
      <w:sz w:val="26"/>
      <w:szCs w:val="26"/>
      <w:lang w:eastAsia="en-US"/>
    </w:rPr>
  </w:style>
  <w:style w:type="paragraph" w:styleId="Heading6">
    <w:name w:val="heading 6"/>
    <w:basedOn w:val="Normal"/>
    <w:next w:val="Normal"/>
    <w:link w:val="Heading6Char"/>
    <w:uiPriority w:val="9"/>
    <w:qFormat/>
    <w:rsid w:val="00FE70C8"/>
    <w:pPr>
      <w:numPr>
        <w:ilvl w:val="5"/>
        <w:numId w:val="3"/>
      </w:numPr>
      <w:spacing w:before="240" w:after="60"/>
      <w:outlineLvl w:val="5"/>
    </w:pPr>
    <w:rPr>
      <w:b/>
      <w:bCs/>
      <w:sz w:val="26"/>
      <w:szCs w:val="26"/>
    </w:rPr>
  </w:style>
  <w:style w:type="paragraph" w:styleId="Heading7">
    <w:name w:val="heading 7"/>
    <w:basedOn w:val="Normal"/>
    <w:next w:val="Normal"/>
    <w:link w:val="Heading7Char"/>
    <w:uiPriority w:val="9"/>
    <w:qFormat/>
    <w:rsid w:val="00A30720"/>
    <w:pPr>
      <w:numPr>
        <w:ilvl w:val="6"/>
        <w:numId w:val="3"/>
      </w:numPr>
      <w:spacing w:before="240" w:after="60"/>
      <w:outlineLvl w:val="6"/>
    </w:pPr>
  </w:style>
  <w:style w:type="paragraph" w:styleId="Heading8">
    <w:name w:val="heading 8"/>
    <w:basedOn w:val="Normal"/>
    <w:next w:val="Normal"/>
    <w:link w:val="Heading8Char"/>
    <w:uiPriority w:val="9"/>
    <w:qFormat/>
    <w:rsid w:val="00A30720"/>
    <w:pPr>
      <w:numPr>
        <w:ilvl w:val="7"/>
        <w:numId w:val="3"/>
      </w:numPr>
      <w:spacing w:before="240" w:after="60"/>
      <w:outlineLvl w:val="7"/>
    </w:pPr>
    <w:rPr>
      <w:i/>
      <w:iCs/>
    </w:rPr>
  </w:style>
  <w:style w:type="paragraph" w:styleId="Heading9">
    <w:name w:val="heading 9"/>
    <w:basedOn w:val="Normal"/>
    <w:next w:val="Normal"/>
    <w:link w:val="Heading9Char"/>
    <w:uiPriority w:val="9"/>
    <w:qFormat/>
    <w:rsid w:val="00A30720"/>
    <w:pPr>
      <w:numPr>
        <w:ilvl w:val="8"/>
        <w:numId w:val="3"/>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NumberedArial16ptBold">
    <w:name w:val="Style Numbered Arial 16 pt Bold"/>
    <w:basedOn w:val="NoList"/>
    <w:rsid w:val="00932109"/>
    <w:pPr>
      <w:numPr>
        <w:numId w:val="1"/>
      </w:numPr>
    </w:pPr>
  </w:style>
  <w:style w:type="paragraph" w:styleId="Caption">
    <w:name w:val="caption"/>
    <w:basedOn w:val="Normal"/>
    <w:next w:val="Normal"/>
    <w:qFormat/>
    <w:rsid w:val="000F417D"/>
    <w:pPr>
      <w:spacing w:line="360" w:lineRule="auto"/>
    </w:pPr>
    <w:rPr>
      <w:b/>
      <w:bCs/>
      <w:szCs w:val="20"/>
    </w:rPr>
  </w:style>
  <w:style w:type="paragraph" w:styleId="Footer">
    <w:name w:val="footer"/>
    <w:basedOn w:val="Normal"/>
    <w:link w:val="FooterChar"/>
    <w:uiPriority w:val="99"/>
    <w:rsid w:val="001A2C41"/>
    <w:pPr>
      <w:tabs>
        <w:tab w:val="center" w:pos="4153"/>
        <w:tab w:val="right" w:pos="8306"/>
      </w:tabs>
    </w:pPr>
  </w:style>
  <w:style w:type="character" w:styleId="PageNumber">
    <w:name w:val="page number"/>
    <w:basedOn w:val="DefaultParagraphFont"/>
    <w:rsid w:val="001A2C41"/>
  </w:style>
  <w:style w:type="paragraph" w:customStyle="1" w:styleId="StyleHeading1TimesNewRoman12ptBlackLinespacingDou">
    <w:name w:val="Style Heading 1. + Times New Roman 12 pt Black Line spacing:  Dou..."/>
    <w:basedOn w:val="Heading1"/>
    <w:rsid w:val="00464B9A"/>
    <w:pPr>
      <w:spacing w:line="480" w:lineRule="auto"/>
    </w:pPr>
    <w:rPr>
      <w:rFonts w:eastAsia="Times New Roman" w:cs="Times New Roman"/>
      <w:color w:val="000000"/>
      <w:szCs w:val="20"/>
    </w:rPr>
  </w:style>
  <w:style w:type="character" w:styleId="Emphasis">
    <w:name w:val="Emphasis"/>
    <w:uiPriority w:val="20"/>
    <w:qFormat/>
    <w:rsid w:val="001D4896"/>
    <w:rPr>
      <w:i/>
      <w:iCs/>
    </w:rPr>
  </w:style>
  <w:style w:type="paragraph" w:customStyle="1" w:styleId="FTH3">
    <w:name w:val="FTH 3"/>
    <w:basedOn w:val="Normal"/>
    <w:rsid w:val="002E16AD"/>
  </w:style>
  <w:style w:type="paragraph" w:styleId="NormalWeb">
    <w:name w:val="Normal (Web)"/>
    <w:basedOn w:val="Normal"/>
    <w:uiPriority w:val="99"/>
    <w:rsid w:val="00FC6CD4"/>
    <w:pPr>
      <w:spacing w:before="100" w:beforeAutospacing="1" w:after="100" w:afterAutospacing="1"/>
    </w:pPr>
    <w:rPr>
      <w:rFonts w:eastAsia="Times New Roman"/>
      <w:lang w:val="en-GB" w:eastAsia="en-GB"/>
    </w:rPr>
  </w:style>
  <w:style w:type="character" w:customStyle="1" w:styleId="h1">
    <w:name w:val="h1"/>
    <w:basedOn w:val="DefaultParagraphFont"/>
    <w:rsid w:val="00FC6CD4"/>
  </w:style>
  <w:style w:type="character" w:styleId="Hyperlink">
    <w:name w:val="Hyperlink"/>
    <w:uiPriority w:val="99"/>
    <w:rsid w:val="00FC6CD4"/>
    <w:rPr>
      <w:color w:val="0000FF"/>
      <w:u w:val="single"/>
    </w:rPr>
  </w:style>
  <w:style w:type="character" w:customStyle="1" w:styleId="apple-style-span">
    <w:name w:val="apple-style-span"/>
    <w:basedOn w:val="DefaultParagraphFont"/>
    <w:rsid w:val="003E6E43"/>
  </w:style>
  <w:style w:type="character" w:customStyle="1" w:styleId="apple-converted-space">
    <w:name w:val="apple-converted-space"/>
    <w:basedOn w:val="DefaultParagraphFont"/>
    <w:rsid w:val="003E6E43"/>
  </w:style>
  <w:style w:type="character" w:customStyle="1" w:styleId="i">
    <w:name w:val="i"/>
    <w:basedOn w:val="DefaultParagraphFont"/>
    <w:rsid w:val="003E6E43"/>
  </w:style>
  <w:style w:type="paragraph" w:customStyle="1" w:styleId="Style1">
    <w:name w:val="Style1"/>
    <w:basedOn w:val="Heading4"/>
    <w:rsid w:val="004127C4"/>
    <w:rPr>
      <w:sz w:val="24"/>
      <w:szCs w:val="24"/>
      <w:lang w:val="en-GB"/>
    </w:rPr>
  </w:style>
  <w:style w:type="paragraph" w:customStyle="1" w:styleId="Style2">
    <w:name w:val="Style2"/>
    <w:basedOn w:val="Heading4"/>
    <w:rsid w:val="004127C4"/>
    <w:rPr>
      <w:sz w:val="24"/>
    </w:rPr>
  </w:style>
  <w:style w:type="paragraph" w:customStyle="1" w:styleId="shared-figure-table-caption">
    <w:name w:val="shared-figure-table-caption"/>
    <w:basedOn w:val="Normal"/>
    <w:rsid w:val="0087174D"/>
    <w:pPr>
      <w:spacing w:before="100" w:beforeAutospacing="1" w:after="100" w:afterAutospacing="1"/>
    </w:pPr>
    <w:rPr>
      <w:rFonts w:eastAsia="Times New Roman"/>
      <w:lang w:val="en-GB" w:eastAsia="en-GB"/>
    </w:rPr>
  </w:style>
  <w:style w:type="character" w:styleId="Strong">
    <w:name w:val="Strong"/>
    <w:uiPriority w:val="22"/>
    <w:qFormat/>
    <w:rsid w:val="0087174D"/>
    <w:rPr>
      <w:b/>
      <w:bCs/>
    </w:rPr>
  </w:style>
  <w:style w:type="character" w:customStyle="1" w:styleId="ext-reflink">
    <w:name w:val="ext-reflink"/>
    <w:basedOn w:val="DefaultParagraphFont"/>
    <w:rsid w:val="0087174D"/>
  </w:style>
  <w:style w:type="paragraph" w:customStyle="1" w:styleId="ThesisHeading412pt">
    <w:name w:val="Thesis Heading 4 + 12 pt"/>
    <w:basedOn w:val="Heading4"/>
    <w:link w:val="ThesisHeading412ptCharChar"/>
    <w:rsid w:val="00A30720"/>
    <w:pPr>
      <w:numPr>
        <w:numId w:val="2"/>
      </w:numPr>
      <w:spacing w:line="480" w:lineRule="auto"/>
    </w:pPr>
    <w:rPr>
      <w:sz w:val="24"/>
    </w:rPr>
  </w:style>
  <w:style w:type="character" w:customStyle="1" w:styleId="Heading4Char">
    <w:name w:val="Heading 4 Char"/>
    <w:link w:val="Heading4"/>
    <w:uiPriority w:val="9"/>
    <w:rsid w:val="00645687"/>
    <w:rPr>
      <w:b/>
      <w:bCs/>
      <w:sz w:val="26"/>
      <w:szCs w:val="26"/>
      <w:lang w:eastAsia="en-US"/>
    </w:rPr>
  </w:style>
  <w:style w:type="character" w:customStyle="1" w:styleId="ThesisHeading412ptCharChar">
    <w:name w:val="Thesis Heading 4 + 12 pt Char Char"/>
    <w:link w:val="ThesisHeading412pt"/>
    <w:rsid w:val="00A30720"/>
    <w:rPr>
      <w:b/>
      <w:bCs/>
      <w:sz w:val="24"/>
      <w:szCs w:val="26"/>
      <w:lang w:eastAsia="en-US"/>
    </w:rPr>
  </w:style>
  <w:style w:type="paragraph" w:customStyle="1" w:styleId="ThesisHeading2TimesNewRoman12ptBlackLinespacingDou">
    <w:name w:val="Thesis Heading 2 + Times New Roman 12 pt Black Line spacing:  Dou..."/>
    <w:basedOn w:val="Heading2"/>
    <w:rsid w:val="007B2B32"/>
    <w:pPr>
      <w:spacing w:line="480" w:lineRule="auto"/>
    </w:pPr>
    <w:rPr>
      <w:rFonts w:eastAsia="Times New Roman" w:cs="Times New Roman"/>
      <w:iCs w:val="0"/>
      <w:color w:val="000000"/>
      <w:sz w:val="24"/>
      <w:szCs w:val="20"/>
    </w:rPr>
  </w:style>
  <w:style w:type="paragraph" w:customStyle="1" w:styleId="thesisHeading3">
    <w:name w:val="thesis Heading 3"/>
    <w:basedOn w:val="Normal"/>
    <w:qFormat/>
    <w:rsid w:val="00A30720"/>
    <w:pPr>
      <w:numPr>
        <w:ilvl w:val="2"/>
        <w:numId w:val="2"/>
      </w:numPr>
    </w:pPr>
  </w:style>
  <w:style w:type="character" w:customStyle="1" w:styleId="StyleHeading3TimesNewRoman12ptBlackLinespacingDouCharChar">
    <w:name w:val="Style Heading 3 + Times New Roman 12 pt Black Line spacing:  Dou... Char Char"/>
    <w:link w:val="StyleHeading3TimesNewRoman12ptBlackLinespacingDou"/>
    <w:rsid w:val="00056E62"/>
    <w:rPr>
      <w:rFonts w:eastAsia="Times New Roman"/>
      <w:b/>
      <w:color w:val="000000"/>
      <w:sz w:val="26"/>
      <w:lang w:eastAsia="en-US"/>
    </w:rPr>
  </w:style>
  <w:style w:type="character" w:customStyle="1" w:styleId="Heading3Char">
    <w:name w:val="Heading 3 Char"/>
    <w:link w:val="Heading3"/>
    <w:uiPriority w:val="9"/>
    <w:rsid w:val="00645687"/>
    <w:rPr>
      <w:b/>
      <w:color w:val="000000"/>
      <w:sz w:val="26"/>
      <w:szCs w:val="26"/>
      <w:lang w:eastAsia="en-US"/>
    </w:rPr>
  </w:style>
  <w:style w:type="paragraph" w:styleId="BodyText">
    <w:name w:val="Body Text"/>
    <w:basedOn w:val="Normal"/>
    <w:rsid w:val="001D4896"/>
    <w:pPr>
      <w:spacing w:after="120"/>
    </w:pPr>
    <w:rPr>
      <w:rFonts w:eastAsia="Times New Roman"/>
      <w:szCs w:val="20"/>
      <w:lang w:eastAsia="en-US"/>
    </w:rPr>
  </w:style>
  <w:style w:type="paragraph" w:styleId="BlockText">
    <w:name w:val="Block Text"/>
    <w:basedOn w:val="Normal"/>
    <w:semiHidden/>
    <w:rsid w:val="00106058"/>
    <w:pPr>
      <w:tabs>
        <w:tab w:val="left" w:pos="9360"/>
      </w:tabs>
      <w:spacing w:line="280" w:lineRule="exact"/>
      <w:ind w:left="1440" w:right="720"/>
    </w:pPr>
    <w:rPr>
      <w:rFonts w:ascii="Times (PCL6)" w:eastAsia="Times New Roman" w:hAnsi="Times (PCL6)"/>
      <w:b/>
      <w:sz w:val="20"/>
      <w:szCs w:val="20"/>
      <w:lang w:eastAsia="en-US"/>
    </w:rPr>
  </w:style>
  <w:style w:type="paragraph" w:styleId="BodyTextIndent2">
    <w:name w:val="Body Text Indent 2"/>
    <w:basedOn w:val="Normal"/>
    <w:link w:val="BodyTextIndent2Char"/>
    <w:rsid w:val="008101D7"/>
    <w:pPr>
      <w:spacing w:after="120" w:line="480" w:lineRule="auto"/>
      <w:ind w:left="283"/>
    </w:pPr>
    <w:rPr>
      <w:rFonts w:eastAsia="Times New Roman"/>
      <w:szCs w:val="20"/>
      <w:lang w:eastAsia="en-US"/>
    </w:rPr>
  </w:style>
  <w:style w:type="paragraph" w:styleId="BalloonText">
    <w:name w:val="Balloon Text"/>
    <w:basedOn w:val="Normal"/>
    <w:link w:val="BalloonTextChar"/>
    <w:rsid w:val="00B4210E"/>
    <w:rPr>
      <w:rFonts w:ascii="Tahoma" w:hAnsi="Tahoma" w:cs="Tahoma"/>
      <w:sz w:val="16"/>
      <w:szCs w:val="16"/>
    </w:rPr>
  </w:style>
  <w:style w:type="paragraph" w:styleId="DocumentMap">
    <w:name w:val="Document Map"/>
    <w:basedOn w:val="Normal"/>
    <w:semiHidden/>
    <w:rsid w:val="00F706CE"/>
    <w:pPr>
      <w:shd w:val="clear" w:color="auto" w:fill="000080"/>
    </w:pPr>
    <w:rPr>
      <w:rFonts w:ascii="Tahoma" w:hAnsi="Tahoma" w:cs="Tahoma"/>
      <w:sz w:val="20"/>
      <w:szCs w:val="20"/>
    </w:rPr>
  </w:style>
  <w:style w:type="paragraph" w:customStyle="1" w:styleId="StyleHeading412pt">
    <w:name w:val="Style Heading 4 + 12 pt"/>
    <w:basedOn w:val="Heading4"/>
    <w:rsid w:val="00B3149A"/>
    <w:pPr>
      <w:spacing w:line="480" w:lineRule="auto"/>
      <w:ind w:left="864"/>
    </w:pPr>
    <w:rPr>
      <w:sz w:val="24"/>
    </w:rPr>
  </w:style>
  <w:style w:type="paragraph" w:customStyle="1" w:styleId="StyleThesisHeading412ptUnderline">
    <w:name w:val="Style Thesis Heading 4 + 12 pt + Underline"/>
    <w:basedOn w:val="ThesisHeading412pt"/>
    <w:rsid w:val="00B34096"/>
    <w:rPr>
      <w:u w:val="single"/>
    </w:rPr>
  </w:style>
  <w:style w:type="paragraph" w:styleId="BodyText3">
    <w:name w:val="Body Text 3"/>
    <w:basedOn w:val="Normal"/>
    <w:rsid w:val="00B34096"/>
    <w:pPr>
      <w:spacing w:after="120"/>
    </w:pPr>
    <w:rPr>
      <w:sz w:val="16"/>
      <w:szCs w:val="16"/>
    </w:rPr>
  </w:style>
  <w:style w:type="paragraph" w:customStyle="1" w:styleId="StyleHeading4Left032cmFirstline0cm">
    <w:name w:val="Style Heading 4 + Left:  0.32 cm First line:  0 cm"/>
    <w:basedOn w:val="Heading4"/>
    <w:rsid w:val="003C4BEF"/>
    <w:rPr>
      <w:rFonts w:eastAsia="Times New Roman"/>
      <w:sz w:val="24"/>
      <w:szCs w:val="20"/>
    </w:rPr>
  </w:style>
  <w:style w:type="paragraph" w:customStyle="1" w:styleId="StyleThesisHeading412ptNotBold">
    <w:name w:val="Style Thesis Heading 4 + 12 pt + Not Bold"/>
    <w:basedOn w:val="ThesisHeading412pt"/>
    <w:rsid w:val="003C4BEF"/>
    <w:rPr>
      <w:b w:val="0"/>
      <w:bCs w:val="0"/>
    </w:rPr>
  </w:style>
  <w:style w:type="paragraph" w:styleId="TableofFigures">
    <w:name w:val="table of figures"/>
    <w:basedOn w:val="Normal"/>
    <w:next w:val="Normal"/>
    <w:uiPriority w:val="99"/>
    <w:rsid w:val="00CB0A86"/>
    <w:pPr>
      <w:ind w:left="480" w:hanging="480"/>
    </w:pPr>
    <w:rPr>
      <w:smallCaps/>
      <w:sz w:val="20"/>
      <w:szCs w:val="20"/>
    </w:rPr>
  </w:style>
  <w:style w:type="paragraph" w:styleId="TOC1">
    <w:name w:val="toc 1"/>
    <w:basedOn w:val="Normal"/>
    <w:next w:val="Normal"/>
    <w:autoRedefine/>
    <w:uiPriority w:val="39"/>
    <w:qFormat/>
    <w:rsid w:val="0069406F"/>
    <w:pPr>
      <w:tabs>
        <w:tab w:val="left" w:pos="1200"/>
        <w:tab w:val="right" w:leader="dot" w:pos="8153"/>
      </w:tabs>
      <w:spacing w:before="120" w:after="120"/>
    </w:pPr>
    <w:rPr>
      <w:bCs/>
      <w:caps/>
      <w:noProof/>
      <w:sz w:val="22"/>
      <w:szCs w:val="20"/>
    </w:rPr>
  </w:style>
  <w:style w:type="paragraph" w:styleId="TOC2">
    <w:name w:val="toc 2"/>
    <w:basedOn w:val="Normal"/>
    <w:next w:val="Normal"/>
    <w:autoRedefine/>
    <w:uiPriority w:val="39"/>
    <w:rsid w:val="000E08D5"/>
    <w:pPr>
      <w:tabs>
        <w:tab w:val="left" w:pos="1276"/>
        <w:tab w:val="right" w:leader="dot" w:pos="8222"/>
        <w:tab w:val="right" w:leader="dot" w:pos="8476"/>
      </w:tabs>
      <w:ind w:right="83"/>
    </w:pPr>
    <w:rPr>
      <w:smallCaps/>
      <w:sz w:val="20"/>
      <w:szCs w:val="20"/>
    </w:rPr>
  </w:style>
  <w:style w:type="paragraph" w:styleId="TOC3">
    <w:name w:val="toc 3"/>
    <w:basedOn w:val="Normal"/>
    <w:next w:val="Normal"/>
    <w:autoRedefine/>
    <w:uiPriority w:val="39"/>
    <w:qFormat/>
    <w:rsid w:val="00323BB1"/>
    <w:pPr>
      <w:tabs>
        <w:tab w:val="left" w:pos="1200"/>
        <w:tab w:val="right" w:leader="dot" w:pos="8476"/>
      </w:tabs>
    </w:pPr>
    <w:rPr>
      <w:i/>
      <w:iCs/>
      <w:sz w:val="20"/>
      <w:szCs w:val="20"/>
    </w:rPr>
  </w:style>
  <w:style w:type="paragraph" w:styleId="TOC4">
    <w:name w:val="toc 4"/>
    <w:basedOn w:val="Normal"/>
    <w:next w:val="Normal"/>
    <w:autoRedefine/>
    <w:uiPriority w:val="39"/>
    <w:rsid w:val="00566383"/>
    <w:pPr>
      <w:tabs>
        <w:tab w:val="left" w:pos="1276"/>
        <w:tab w:val="right" w:leader="dot" w:pos="8476"/>
      </w:tabs>
      <w:spacing w:line="480" w:lineRule="auto"/>
    </w:pPr>
    <w:rPr>
      <w:sz w:val="18"/>
      <w:szCs w:val="18"/>
    </w:rPr>
  </w:style>
  <w:style w:type="paragraph" w:styleId="TOC5">
    <w:name w:val="toc 5"/>
    <w:basedOn w:val="Normal"/>
    <w:next w:val="Normal"/>
    <w:autoRedefine/>
    <w:uiPriority w:val="39"/>
    <w:rsid w:val="00CB0A86"/>
    <w:pPr>
      <w:ind w:left="960"/>
    </w:pPr>
    <w:rPr>
      <w:sz w:val="18"/>
      <w:szCs w:val="18"/>
    </w:rPr>
  </w:style>
  <w:style w:type="paragraph" w:styleId="TOC6">
    <w:name w:val="toc 6"/>
    <w:basedOn w:val="Normal"/>
    <w:next w:val="Normal"/>
    <w:autoRedefine/>
    <w:uiPriority w:val="39"/>
    <w:rsid w:val="00CB0A86"/>
    <w:pPr>
      <w:ind w:left="1200"/>
    </w:pPr>
    <w:rPr>
      <w:sz w:val="18"/>
      <w:szCs w:val="18"/>
    </w:rPr>
  </w:style>
  <w:style w:type="paragraph" w:styleId="TOC7">
    <w:name w:val="toc 7"/>
    <w:basedOn w:val="Normal"/>
    <w:next w:val="Normal"/>
    <w:autoRedefine/>
    <w:uiPriority w:val="39"/>
    <w:rsid w:val="00CB0A86"/>
    <w:pPr>
      <w:ind w:left="1440"/>
    </w:pPr>
    <w:rPr>
      <w:sz w:val="18"/>
      <w:szCs w:val="18"/>
    </w:rPr>
  </w:style>
  <w:style w:type="paragraph" w:styleId="TOC8">
    <w:name w:val="toc 8"/>
    <w:basedOn w:val="Normal"/>
    <w:next w:val="Normal"/>
    <w:autoRedefine/>
    <w:uiPriority w:val="39"/>
    <w:rsid w:val="00CB0A86"/>
    <w:pPr>
      <w:ind w:left="1680"/>
    </w:pPr>
    <w:rPr>
      <w:sz w:val="18"/>
      <w:szCs w:val="18"/>
    </w:rPr>
  </w:style>
  <w:style w:type="paragraph" w:styleId="TOC9">
    <w:name w:val="toc 9"/>
    <w:basedOn w:val="Normal"/>
    <w:next w:val="Normal"/>
    <w:autoRedefine/>
    <w:uiPriority w:val="39"/>
    <w:rsid w:val="00CB0A86"/>
    <w:pPr>
      <w:ind w:left="1920"/>
    </w:pPr>
    <w:rPr>
      <w:sz w:val="18"/>
      <w:szCs w:val="18"/>
    </w:rPr>
  </w:style>
  <w:style w:type="character" w:customStyle="1" w:styleId="small-black">
    <w:name w:val="small-black"/>
    <w:basedOn w:val="DefaultParagraphFont"/>
    <w:semiHidden/>
    <w:rsid w:val="00D335CB"/>
  </w:style>
  <w:style w:type="paragraph" w:customStyle="1" w:styleId="StyleHeading3TimesNewRoman12ptBlackLinespacingDou">
    <w:name w:val="Style Heading 3 + Times New Roman 12 pt Black Line spacing:  Dou..."/>
    <w:basedOn w:val="Heading3"/>
    <w:link w:val="StyleHeading3TimesNewRoman12ptBlackLinespacingDouCharChar"/>
    <w:rsid w:val="00056E62"/>
    <w:pPr>
      <w:spacing w:line="480" w:lineRule="auto"/>
    </w:pPr>
    <w:rPr>
      <w:rFonts w:eastAsia="Times New Roman"/>
      <w:szCs w:val="20"/>
    </w:rPr>
  </w:style>
  <w:style w:type="paragraph" w:customStyle="1" w:styleId="StyleThesisHeading2TimesNewRoman12ptBlackLinespacing">
    <w:name w:val="Style Thesis Heading 2 + Times New Roman 12 pt Black Line spacing: ..."/>
    <w:basedOn w:val="ThesisHeading2TimesNewRoman12ptBlackLinespacingDou"/>
    <w:rsid w:val="00A30720"/>
    <w:pPr>
      <w:numPr>
        <w:numId w:val="2"/>
      </w:numPr>
    </w:pPr>
  </w:style>
  <w:style w:type="character" w:customStyle="1" w:styleId="BalloonTextChar">
    <w:name w:val="Balloon Text Char"/>
    <w:link w:val="BalloonText"/>
    <w:rsid w:val="00B4210E"/>
    <w:rPr>
      <w:rFonts w:ascii="Tahoma" w:hAnsi="Tahoma" w:cs="Tahoma"/>
      <w:sz w:val="16"/>
      <w:szCs w:val="16"/>
      <w:lang w:eastAsia="ja-JP"/>
    </w:rPr>
  </w:style>
  <w:style w:type="numbering" w:customStyle="1" w:styleId="NoList1">
    <w:name w:val="No List1"/>
    <w:next w:val="NoList"/>
    <w:uiPriority w:val="99"/>
    <w:semiHidden/>
    <w:unhideWhenUsed/>
    <w:rsid w:val="006B72EF"/>
  </w:style>
  <w:style w:type="character" w:customStyle="1" w:styleId="Heading1Char">
    <w:name w:val="Heading 1 Char"/>
    <w:aliases w:val="Thesis Heading 1 Char,Heading 1 T Char"/>
    <w:link w:val="Heading1"/>
    <w:uiPriority w:val="9"/>
    <w:rsid w:val="006470B6"/>
    <w:rPr>
      <w:rFonts w:cs="Arial"/>
      <w:b/>
      <w:bCs/>
      <w:kern w:val="24"/>
      <w:sz w:val="26"/>
      <w:szCs w:val="26"/>
      <w:lang w:eastAsia="en-US"/>
    </w:rPr>
  </w:style>
  <w:style w:type="character" w:customStyle="1" w:styleId="Heading2Char">
    <w:name w:val="Heading 2 Char"/>
    <w:link w:val="Heading2"/>
    <w:uiPriority w:val="9"/>
    <w:rsid w:val="00645687"/>
    <w:rPr>
      <w:rFonts w:cs="Arial"/>
      <w:b/>
      <w:bCs/>
      <w:iCs/>
      <w:sz w:val="26"/>
      <w:szCs w:val="26"/>
      <w:lang w:eastAsia="en-US"/>
    </w:rPr>
  </w:style>
  <w:style w:type="character" w:customStyle="1" w:styleId="Heading5Char">
    <w:name w:val="Heading 5 Char"/>
    <w:link w:val="Heading5"/>
    <w:uiPriority w:val="9"/>
    <w:rsid w:val="00321273"/>
    <w:rPr>
      <w:b/>
      <w:bCs/>
      <w:iCs/>
      <w:sz w:val="26"/>
      <w:szCs w:val="26"/>
      <w:lang w:eastAsia="en-US"/>
    </w:rPr>
  </w:style>
  <w:style w:type="character" w:customStyle="1" w:styleId="Heading6Char">
    <w:name w:val="Heading 6 Char"/>
    <w:link w:val="Heading6"/>
    <w:uiPriority w:val="9"/>
    <w:rsid w:val="006B72EF"/>
    <w:rPr>
      <w:b/>
      <w:bCs/>
      <w:sz w:val="26"/>
      <w:szCs w:val="26"/>
      <w:lang w:eastAsia="ja-JP"/>
    </w:rPr>
  </w:style>
  <w:style w:type="character" w:customStyle="1" w:styleId="Heading7Char">
    <w:name w:val="Heading 7 Char"/>
    <w:link w:val="Heading7"/>
    <w:uiPriority w:val="9"/>
    <w:rsid w:val="006B72EF"/>
    <w:rPr>
      <w:sz w:val="24"/>
      <w:szCs w:val="24"/>
      <w:lang w:eastAsia="ja-JP"/>
    </w:rPr>
  </w:style>
  <w:style w:type="character" w:customStyle="1" w:styleId="Heading8Char">
    <w:name w:val="Heading 8 Char"/>
    <w:link w:val="Heading8"/>
    <w:uiPriority w:val="9"/>
    <w:rsid w:val="006B72EF"/>
    <w:rPr>
      <w:i/>
      <w:iCs/>
      <w:sz w:val="24"/>
      <w:szCs w:val="24"/>
      <w:lang w:eastAsia="ja-JP"/>
    </w:rPr>
  </w:style>
  <w:style w:type="character" w:customStyle="1" w:styleId="Heading9Char">
    <w:name w:val="Heading 9 Char"/>
    <w:link w:val="Heading9"/>
    <w:uiPriority w:val="9"/>
    <w:rsid w:val="006B72EF"/>
    <w:rPr>
      <w:rFonts w:ascii="Arial" w:hAnsi="Arial" w:cs="Arial"/>
      <w:sz w:val="22"/>
      <w:szCs w:val="22"/>
      <w:lang w:eastAsia="ja-JP"/>
    </w:rPr>
  </w:style>
  <w:style w:type="paragraph" w:customStyle="1" w:styleId="Title1">
    <w:name w:val="Title1"/>
    <w:basedOn w:val="Normal"/>
    <w:next w:val="Normal"/>
    <w:uiPriority w:val="10"/>
    <w:qFormat/>
    <w:rsid w:val="006B72EF"/>
    <w:pPr>
      <w:spacing w:after="240"/>
    </w:pPr>
    <w:rPr>
      <w:rFonts w:eastAsia="Times New Roman"/>
      <w:b/>
      <w:bCs/>
      <w:i/>
      <w:iCs/>
      <w:color w:val="0D0D0D"/>
      <w:spacing w:val="10"/>
      <w:sz w:val="60"/>
      <w:szCs w:val="60"/>
      <w:lang w:eastAsia="en-US"/>
    </w:rPr>
  </w:style>
  <w:style w:type="character" w:customStyle="1" w:styleId="TitleChar">
    <w:name w:val="Title Char"/>
    <w:link w:val="Title"/>
    <w:uiPriority w:val="10"/>
    <w:rsid w:val="006B72EF"/>
    <w:rPr>
      <w:rFonts w:ascii="Times New Roman" w:eastAsia="Times New Roman" w:hAnsi="Times New Roman" w:cs="Times New Roman"/>
      <w:b/>
      <w:bCs/>
      <w:i/>
      <w:iCs/>
      <w:spacing w:val="10"/>
      <w:sz w:val="60"/>
      <w:szCs w:val="60"/>
    </w:rPr>
  </w:style>
  <w:style w:type="paragraph" w:customStyle="1" w:styleId="Subtitle1">
    <w:name w:val="Subtitle1"/>
    <w:basedOn w:val="Normal"/>
    <w:next w:val="Normal"/>
    <w:uiPriority w:val="11"/>
    <w:qFormat/>
    <w:rsid w:val="006B72EF"/>
    <w:pPr>
      <w:spacing w:after="320" w:line="480" w:lineRule="auto"/>
      <w:jc w:val="right"/>
    </w:pPr>
    <w:rPr>
      <w:rFonts w:eastAsia="Times New Roman"/>
      <w:i/>
      <w:iCs/>
      <w:color w:val="808080"/>
      <w:spacing w:val="10"/>
      <w:lang w:eastAsia="en-US"/>
    </w:rPr>
  </w:style>
  <w:style w:type="character" w:customStyle="1" w:styleId="SubtitleChar">
    <w:name w:val="Subtitle Char"/>
    <w:link w:val="Subtitle"/>
    <w:uiPriority w:val="11"/>
    <w:rsid w:val="006B72EF"/>
    <w:rPr>
      <w:i/>
      <w:iCs/>
      <w:color w:val="808080"/>
      <w:spacing w:val="10"/>
      <w:sz w:val="24"/>
      <w:szCs w:val="24"/>
    </w:rPr>
  </w:style>
  <w:style w:type="paragraph" w:styleId="NoSpacing">
    <w:name w:val="No Spacing"/>
    <w:basedOn w:val="Normal"/>
    <w:uiPriority w:val="1"/>
    <w:qFormat/>
    <w:rsid w:val="006B72EF"/>
    <w:rPr>
      <w:rFonts w:eastAsia="Times New Roman"/>
      <w:color w:val="0D0D0D"/>
      <w:lang w:eastAsia="en-US"/>
    </w:rPr>
  </w:style>
  <w:style w:type="paragraph" w:styleId="ListParagraph">
    <w:name w:val="List Paragraph"/>
    <w:basedOn w:val="Normal"/>
    <w:link w:val="ListParagraphChar"/>
    <w:uiPriority w:val="34"/>
    <w:qFormat/>
    <w:rsid w:val="006B72EF"/>
    <w:pPr>
      <w:spacing w:after="240" w:line="480" w:lineRule="auto"/>
      <w:ind w:left="720"/>
      <w:contextualSpacing/>
    </w:pPr>
    <w:rPr>
      <w:rFonts w:eastAsia="Times New Roman"/>
      <w:color w:val="0D0D0D"/>
      <w:lang w:eastAsia="en-US"/>
    </w:rPr>
  </w:style>
  <w:style w:type="paragraph" w:customStyle="1" w:styleId="Quote1">
    <w:name w:val="Quote1"/>
    <w:basedOn w:val="Normal"/>
    <w:next w:val="Normal"/>
    <w:uiPriority w:val="29"/>
    <w:qFormat/>
    <w:rsid w:val="006B72EF"/>
    <w:pPr>
      <w:spacing w:after="240" w:line="480" w:lineRule="auto"/>
    </w:pPr>
    <w:rPr>
      <w:rFonts w:eastAsia="Times New Roman"/>
      <w:color w:val="5A5A5A"/>
      <w:lang w:eastAsia="en-US"/>
    </w:rPr>
  </w:style>
  <w:style w:type="character" w:customStyle="1" w:styleId="QuoteChar">
    <w:name w:val="Quote Char"/>
    <w:link w:val="Quote"/>
    <w:uiPriority w:val="29"/>
    <w:rsid w:val="006B72EF"/>
    <w:rPr>
      <w:rFonts w:ascii="Times New Roman"/>
      <w:color w:val="5A5A5A"/>
    </w:rPr>
  </w:style>
  <w:style w:type="paragraph" w:customStyle="1" w:styleId="IntenseQuote1">
    <w:name w:val="Intense Quote1"/>
    <w:basedOn w:val="Normal"/>
    <w:next w:val="Normal"/>
    <w:uiPriority w:val="30"/>
    <w:qFormat/>
    <w:rsid w:val="006B72EF"/>
    <w:pPr>
      <w:spacing w:before="320" w:after="480"/>
      <w:ind w:left="720" w:right="720"/>
      <w:jc w:val="center"/>
    </w:pPr>
    <w:rPr>
      <w:rFonts w:eastAsia="Times New Roman"/>
      <w:i/>
      <w:iCs/>
      <w:color w:val="0D0D0D"/>
      <w:sz w:val="20"/>
      <w:szCs w:val="20"/>
      <w:lang w:eastAsia="en-US"/>
    </w:rPr>
  </w:style>
  <w:style w:type="character" w:customStyle="1" w:styleId="IntenseQuoteChar">
    <w:name w:val="Intense Quote Char"/>
    <w:link w:val="IntenseQuote"/>
    <w:uiPriority w:val="30"/>
    <w:rsid w:val="006B72EF"/>
    <w:rPr>
      <w:rFonts w:ascii="Times New Roman" w:eastAsia="Times New Roman" w:hAnsi="Times New Roman" w:cs="Times New Roman"/>
      <w:i/>
      <w:iCs/>
      <w:sz w:val="20"/>
      <w:szCs w:val="20"/>
    </w:rPr>
  </w:style>
  <w:style w:type="character" w:customStyle="1" w:styleId="SubtleEmphasis1">
    <w:name w:val="Subtle Emphasis1"/>
    <w:uiPriority w:val="19"/>
    <w:qFormat/>
    <w:rsid w:val="006B72EF"/>
    <w:rPr>
      <w:i/>
      <w:iCs/>
      <w:color w:val="5A5A5A"/>
    </w:rPr>
  </w:style>
  <w:style w:type="character" w:styleId="IntenseEmphasis">
    <w:name w:val="Intense Emphasis"/>
    <w:uiPriority w:val="21"/>
    <w:qFormat/>
    <w:rsid w:val="006B72EF"/>
    <w:rPr>
      <w:b/>
      <w:bCs/>
      <w:i/>
      <w:iCs/>
      <w:color w:val="auto"/>
      <w:u w:val="single"/>
    </w:rPr>
  </w:style>
  <w:style w:type="character" w:styleId="SubtleReference">
    <w:name w:val="Subtle Reference"/>
    <w:uiPriority w:val="31"/>
    <w:qFormat/>
    <w:rsid w:val="006B72EF"/>
    <w:rPr>
      <w:smallCaps/>
    </w:rPr>
  </w:style>
  <w:style w:type="character" w:styleId="IntenseReference">
    <w:name w:val="Intense Reference"/>
    <w:uiPriority w:val="32"/>
    <w:qFormat/>
    <w:rsid w:val="006B72EF"/>
    <w:rPr>
      <w:b/>
      <w:bCs/>
      <w:smallCaps/>
      <w:color w:val="auto"/>
    </w:rPr>
  </w:style>
  <w:style w:type="character" w:customStyle="1" w:styleId="BookTitle1">
    <w:name w:val="Book Title1"/>
    <w:uiPriority w:val="33"/>
    <w:qFormat/>
    <w:rsid w:val="006B72EF"/>
    <w:rPr>
      <w:rFonts w:ascii="Times New Roman" w:eastAsia="Times New Roman" w:hAnsi="Times New Roman" w:cs="Times New Roman"/>
      <w:b/>
      <w:bCs/>
      <w:smallCaps/>
      <w:color w:val="auto"/>
      <w:u w:val="single"/>
    </w:rPr>
  </w:style>
  <w:style w:type="paragraph" w:styleId="TOCHeading">
    <w:name w:val="TOC Heading"/>
    <w:basedOn w:val="Heading1"/>
    <w:next w:val="Normal"/>
    <w:uiPriority w:val="39"/>
    <w:unhideWhenUsed/>
    <w:qFormat/>
    <w:rsid w:val="006B72EF"/>
    <w:pPr>
      <w:keepNext w:val="0"/>
      <w:tabs>
        <w:tab w:val="num" w:pos="360"/>
      </w:tabs>
      <w:spacing w:before="0" w:after="240" w:line="480" w:lineRule="auto"/>
      <w:contextualSpacing/>
      <w:jc w:val="both"/>
      <w:outlineLvl w:val="9"/>
    </w:pPr>
    <w:rPr>
      <w:rFonts w:eastAsia="Times New Roman" w:cs="Times New Roman"/>
      <w:bCs w:val="0"/>
      <w:color w:val="0D0D0D"/>
      <w:kern w:val="0"/>
      <w:sz w:val="28"/>
      <w:szCs w:val="24"/>
    </w:rPr>
  </w:style>
  <w:style w:type="paragraph" w:styleId="Header">
    <w:name w:val="header"/>
    <w:basedOn w:val="Normal"/>
    <w:link w:val="HeaderChar"/>
    <w:rsid w:val="006B72EF"/>
    <w:pPr>
      <w:tabs>
        <w:tab w:val="center" w:pos="4513"/>
        <w:tab w:val="right" w:pos="9026"/>
      </w:tabs>
    </w:pPr>
    <w:rPr>
      <w:rFonts w:eastAsia="Times New Roman"/>
      <w:color w:val="0D0D0D"/>
      <w:lang w:eastAsia="en-US"/>
    </w:rPr>
  </w:style>
  <w:style w:type="character" w:customStyle="1" w:styleId="HeaderChar">
    <w:name w:val="Header Char"/>
    <w:link w:val="Header"/>
    <w:rsid w:val="006B72EF"/>
    <w:rPr>
      <w:rFonts w:eastAsia="Times New Roman"/>
      <w:color w:val="0D0D0D"/>
      <w:sz w:val="24"/>
      <w:szCs w:val="24"/>
      <w:lang w:eastAsia="en-US"/>
    </w:rPr>
  </w:style>
  <w:style w:type="character" w:customStyle="1" w:styleId="FooterChar">
    <w:name w:val="Footer Char"/>
    <w:link w:val="Footer"/>
    <w:uiPriority w:val="99"/>
    <w:rsid w:val="006B72EF"/>
    <w:rPr>
      <w:sz w:val="24"/>
      <w:szCs w:val="24"/>
      <w:lang w:eastAsia="ja-JP"/>
    </w:rPr>
  </w:style>
  <w:style w:type="paragraph" w:styleId="Index1">
    <w:name w:val="index 1"/>
    <w:basedOn w:val="Normal"/>
    <w:next w:val="Normal"/>
    <w:autoRedefine/>
    <w:rsid w:val="006B72EF"/>
    <w:pPr>
      <w:ind w:left="220" w:hanging="220"/>
    </w:pPr>
    <w:rPr>
      <w:rFonts w:eastAsia="Times New Roman"/>
      <w:b/>
      <w:color w:val="0D0D0D"/>
      <w:lang w:eastAsia="en-US"/>
    </w:rPr>
  </w:style>
  <w:style w:type="paragraph" w:customStyle="1" w:styleId="Index21">
    <w:name w:val="Index 21"/>
    <w:basedOn w:val="Normal"/>
    <w:next w:val="Normal"/>
    <w:autoRedefine/>
    <w:rsid w:val="006B72EF"/>
    <w:pPr>
      <w:spacing w:line="480" w:lineRule="auto"/>
      <w:ind w:left="480" w:hanging="240"/>
    </w:pPr>
    <w:rPr>
      <w:rFonts w:eastAsia="Times New Roman"/>
      <w:color w:val="0D0D0D"/>
      <w:sz w:val="18"/>
      <w:szCs w:val="18"/>
      <w:lang w:eastAsia="en-US"/>
    </w:rPr>
  </w:style>
  <w:style w:type="paragraph" w:customStyle="1" w:styleId="Index31">
    <w:name w:val="Index 31"/>
    <w:basedOn w:val="Normal"/>
    <w:next w:val="Normal"/>
    <w:autoRedefine/>
    <w:rsid w:val="006B72EF"/>
    <w:pPr>
      <w:spacing w:line="480" w:lineRule="auto"/>
      <w:ind w:left="720" w:hanging="240"/>
    </w:pPr>
    <w:rPr>
      <w:rFonts w:eastAsia="Times New Roman"/>
      <w:color w:val="0D0D0D"/>
      <w:sz w:val="18"/>
      <w:szCs w:val="18"/>
      <w:lang w:eastAsia="en-US"/>
    </w:rPr>
  </w:style>
  <w:style w:type="paragraph" w:customStyle="1" w:styleId="Index41">
    <w:name w:val="Index 41"/>
    <w:basedOn w:val="Normal"/>
    <w:next w:val="Normal"/>
    <w:autoRedefine/>
    <w:rsid w:val="006B72EF"/>
    <w:pPr>
      <w:spacing w:line="480" w:lineRule="auto"/>
      <w:ind w:left="960" w:hanging="240"/>
    </w:pPr>
    <w:rPr>
      <w:rFonts w:eastAsia="Times New Roman"/>
      <w:color w:val="0D0D0D"/>
      <w:sz w:val="18"/>
      <w:szCs w:val="18"/>
      <w:lang w:eastAsia="en-US"/>
    </w:rPr>
  </w:style>
  <w:style w:type="paragraph" w:customStyle="1" w:styleId="Index51">
    <w:name w:val="Index 51"/>
    <w:basedOn w:val="Normal"/>
    <w:next w:val="Normal"/>
    <w:autoRedefine/>
    <w:rsid w:val="006B72EF"/>
    <w:pPr>
      <w:spacing w:line="480" w:lineRule="auto"/>
      <w:ind w:left="1200" w:hanging="240"/>
    </w:pPr>
    <w:rPr>
      <w:rFonts w:eastAsia="Times New Roman"/>
      <w:color w:val="0D0D0D"/>
      <w:sz w:val="18"/>
      <w:szCs w:val="18"/>
      <w:lang w:eastAsia="en-US"/>
    </w:rPr>
  </w:style>
  <w:style w:type="paragraph" w:customStyle="1" w:styleId="Index61">
    <w:name w:val="Index 61"/>
    <w:basedOn w:val="Normal"/>
    <w:next w:val="Normal"/>
    <w:autoRedefine/>
    <w:rsid w:val="006B72EF"/>
    <w:pPr>
      <w:spacing w:line="480" w:lineRule="auto"/>
      <w:ind w:left="1440" w:hanging="240"/>
    </w:pPr>
    <w:rPr>
      <w:rFonts w:eastAsia="Times New Roman"/>
      <w:color w:val="0D0D0D"/>
      <w:sz w:val="18"/>
      <w:szCs w:val="18"/>
      <w:lang w:eastAsia="en-US"/>
    </w:rPr>
  </w:style>
  <w:style w:type="paragraph" w:customStyle="1" w:styleId="Index71">
    <w:name w:val="Index 71"/>
    <w:basedOn w:val="Normal"/>
    <w:next w:val="Normal"/>
    <w:autoRedefine/>
    <w:rsid w:val="006B72EF"/>
    <w:pPr>
      <w:spacing w:line="480" w:lineRule="auto"/>
      <w:ind w:left="1680" w:hanging="240"/>
    </w:pPr>
    <w:rPr>
      <w:rFonts w:eastAsia="Times New Roman"/>
      <w:color w:val="0D0D0D"/>
      <w:sz w:val="18"/>
      <w:szCs w:val="18"/>
      <w:lang w:eastAsia="en-US"/>
    </w:rPr>
  </w:style>
  <w:style w:type="paragraph" w:customStyle="1" w:styleId="Index81">
    <w:name w:val="Index 81"/>
    <w:basedOn w:val="Normal"/>
    <w:next w:val="Normal"/>
    <w:autoRedefine/>
    <w:rsid w:val="006B72EF"/>
    <w:pPr>
      <w:spacing w:line="480" w:lineRule="auto"/>
      <w:ind w:left="1920" w:hanging="240"/>
    </w:pPr>
    <w:rPr>
      <w:rFonts w:eastAsia="Times New Roman"/>
      <w:color w:val="0D0D0D"/>
      <w:sz w:val="18"/>
      <w:szCs w:val="18"/>
      <w:lang w:eastAsia="en-US"/>
    </w:rPr>
  </w:style>
  <w:style w:type="paragraph" w:customStyle="1" w:styleId="Index91">
    <w:name w:val="Index 91"/>
    <w:basedOn w:val="Normal"/>
    <w:next w:val="Normal"/>
    <w:autoRedefine/>
    <w:rsid w:val="006B72EF"/>
    <w:pPr>
      <w:spacing w:line="480" w:lineRule="auto"/>
      <w:ind w:left="2160" w:hanging="240"/>
    </w:pPr>
    <w:rPr>
      <w:rFonts w:eastAsia="Times New Roman"/>
      <w:color w:val="0D0D0D"/>
      <w:sz w:val="18"/>
      <w:szCs w:val="18"/>
      <w:lang w:eastAsia="en-US"/>
    </w:rPr>
  </w:style>
  <w:style w:type="paragraph" w:customStyle="1" w:styleId="IndexHeading1">
    <w:name w:val="Index Heading1"/>
    <w:basedOn w:val="Normal"/>
    <w:next w:val="Index1"/>
    <w:rsid w:val="006B72EF"/>
    <w:pPr>
      <w:spacing w:before="240" w:after="120" w:line="480" w:lineRule="auto"/>
      <w:ind w:left="140"/>
    </w:pPr>
    <w:rPr>
      <w:rFonts w:eastAsia="Times New Roman"/>
      <w:b/>
      <w:bCs/>
      <w:color w:val="0D0D0D"/>
      <w:sz w:val="28"/>
      <w:szCs w:val="28"/>
      <w:lang w:eastAsia="en-US"/>
    </w:rPr>
  </w:style>
  <w:style w:type="paragraph" w:styleId="Revision">
    <w:name w:val="Revision"/>
    <w:hidden/>
    <w:uiPriority w:val="99"/>
    <w:semiHidden/>
    <w:rsid w:val="006B72EF"/>
    <w:rPr>
      <w:rFonts w:eastAsia="Times New Roman"/>
      <w:color w:val="0D0D0D"/>
      <w:sz w:val="24"/>
      <w:szCs w:val="24"/>
      <w:lang w:eastAsia="en-US"/>
    </w:rPr>
  </w:style>
  <w:style w:type="paragraph" w:styleId="BodyText2">
    <w:name w:val="Body Text 2"/>
    <w:basedOn w:val="Normal"/>
    <w:link w:val="BodyText2Char"/>
    <w:rsid w:val="006B72EF"/>
    <w:pPr>
      <w:spacing w:after="120" w:line="480" w:lineRule="auto"/>
    </w:pPr>
    <w:rPr>
      <w:rFonts w:eastAsia="Times New Roman"/>
      <w:color w:val="0D0D0D"/>
      <w:lang w:eastAsia="en-US"/>
    </w:rPr>
  </w:style>
  <w:style w:type="character" w:customStyle="1" w:styleId="BodyText2Char">
    <w:name w:val="Body Text 2 Char"/>
    <w:link w:val="BodyText2"/>
    <w:rsid w:val="006B72EF"/>
    <w:rPr>
      <w:rFonts w:eastAsia="Times New Roman"/>
      <w:color w:val="0D0D0D"/>
      <w:sz w:val="24"/>
      <w:szCs w:val="24"/>
      <w:lang w:eastAsia="en-US"/>
    </w:rPr>
  </w:style>
  <w:style w:type="numbering" w:customStyle="1" w:styleId="ThesisFinal">
    <w:name w:val="Thesis Final"/>
    <w:uiPriority w:val="99"/>
    <w:rsid w:val="006B72EF"/>
    <w:pPr>
      <w:numPr>
        <w:numId w:val="12"/>
      </w:numPr>
    </w:pPr>
  </w:style>
  <w:style w:type="paragraph" w:customStyle="1" w:styleId="Theses4">
    <w:name w:val="Theses 4"/>
    <w:basedOn w:val="Heading4"/>
    <w:link w:val="Theses4Char"/>
    <w:qFormat/>
    <w:rsid w:val="00F70D8B"/>
    <w:rPr>
      <w:lang w:val="en"/>
    </w:rPr>
  </w:style>
  <w:style w:type="character" w:customStyle="1" w:styleId="ListParagraphChar">
    <w:name w:val="List Paragraph Char"/>
    <w:link w:val="ListParagraph"/>
    <w:uiPriority w:val="34"/>
    <w:rsid w:val="006B72EF"/>
    <w:rPr>
      <w:rFonts w:eastAsia="Times New Roman"/>
      <w:color w:val="0D0D0D"/>
      <w:sz w:val="24"/>
      <w:szCs w:val="24"/>
      <w:lang w:eastAsia="en-US"/>
    </w:rPr>
  </w:style>
  <w:style w:type="character" w:customStyle="1" w:styleId="Theses4Char">
    <w:name w:val="Theses 4 Char"/>
    <w:link w:val="Theses4"/>
    <w:rsid w:val="00F70D8B"/>
    <w:rPr>
      <w:b/>
      <w:bCs/>
      <w:sz w:val="26"/>
      <w:szCs w:val="26"/>
      <w:lang w:val="en" w:eastAsia="en-US"/>
    </w:rPr>
  </w:style>
  <w:style w:type="paragraph" w:styleId="Title">
    <w:name w:val="Title"/>
    <w:basedOn w:val="Normal"/>
    <w:next w:val="Normal"/>
    <w:link w:val="TitleChar"/>
    <w:uiPriority w:val="10"/>
    <w:qFormat/>
    <w:rsid w:val="006B72EF"/>
    <w:pPr>
      <w:spacing w:before="240" w:after="60"/>
      <w:jc w:val="center"/>
      <w:outlineLvl w:val="0"/>
    </w:pPr>
    <w:rPr>
      <w:rFonts w:eastAsia="Times New Roman"/>
      <w:b/>
      <w:bCs/>
      <w:i/>
      <w:iCs/>
      <w:spacing w:val="10"/>
      <w:sz w:val="60"/>
      <w:szCs w:val="60"/>
      <w:lang w:eastAsia="en-IE"/>
    </w:rPr>
  </w:style>
  <w:style w:type="character" w:customStyle="1" w:styleId="TitleChar1">
    <w:name w:val="Title Char1"/>
    <w:rsid w:val="006B72EF"/>
    <w:rPr>
      <w:rFonts w:ascii="Cambria" w:eastAsia="Times New Roman" w:hAnsi="Cambria" w:cs="Times New Roman"/>
      <w:b/>
      <w:bCs/>
      <w:kern w:val="28"/>
      <w:sz w:val="32"/>
      <w:szCs w:val="32"/>
      <w:lang w:eastAsia="ja-JP"/>
    </w:rPr>
  </w:style>
  <w:style w:type="paragraph" w:styleId="Subtitle">
    <w:name w:val="Subtitle"/>
    <w:basedOn w:val="Normal"/>
    <w:next w:val="Normal"/>
    <w:link w:val="SubtitleChar"/>
    <w:uiPriority w:val="11"/>
    <w:qFormat/>
    <w:rsid w:val="006B72EF"/>
    <w:pPr>
      <w:spacing w:after="60"/>
      <w:jc w:val="center"/>
      <w:outlineLvl w:val="1"/>
    </w:pPr>
    <w:rPr>
      <w:i/>
      <w:iCs/>
      <w:color w:val="808080"/>
      <w:spacing w:val="10"/>
      <w:lang w:eastAsia="en-IE"/>
    </w:rPr>
  </w:style>
  <w:style w:type="character" w:customStyle="1" w:styleId="SubtitleChar1">
    <w:name w:val="Subtitle Char1"/>
    <w:rsid w:val="006B72EF"/>
    <w:rPr>
      <w:rFonts w:ascii="Cambria" w:eastAsia="Times New Roman" w:hAnsi="Cambria" w:cs="Times New Roman"/>
      <w:sz w:val="24"/>
      <w:szCs w:val="24"/>
      <w:lang w:eastAsia="ja-JP"/>
    </w:rPr>
  </w:style>
  <w:style w:type="paragraph" w:styleId="Quote">
    <w:name w:val="Quote"/>
    <w:basedOn w:val="Normal"/>
    <w:next w:val="Normal"/>
    <w:link w:val="QuoteChar"/>
    <w:uiPriority w:val="29"/>
    <w:qFormat/>
    <w:rsid w:val="006B72EF"/>
    <w:rPr>
      <w:color w:val="5A5A5A"/>
      <w:sz w:val="20"/>
      <w:szCs w:val="20"/>
      <w:lang w:eastAsia="en-IE"/>
    </w:rPr>
  </w:style>
  <w:style w:type="character" w:customStyle="1" w:styleId="QuoteChar1">
    <w:name w:val="Quote Char1"/>
    <w:uiPriority w:val="29"/>
    <w:rsid w:val="006B72EF"/>
    <w:rPr>
      <w:i/>
      <w:iCs/>
      <w:color w:val="000000"/>
      <w:sz w:val="24"/>
      <w:szCs w:val="24"/>
      <w:lang w:eastAsia="ja-JP"/>
    </w:rPr>
  </w:style>
  <w:style w:type="paragraph" w:styleId="IntenseQuote">
    <w:name w:val="Intense Quote"/>
    <w:basedOn w:val="Normal"/>
    <w:next w:val="Normal"/>
    <w:link w:val="IntenseQuoteChar"/>
    <w:uiPriority w:val="30"/>
    <w:qFormat/>
    <w:rsid w:val="006B72EF"/>
    <w:pPr>
      <w:pBdr>
        <w:bottom w:val="single" w:sz="4" w:space="4" w:color="4F81BD"/>
      </w:pBdr>
      <w:spacing w:before="200" w:after="280"/>
      <w:ind w:left="936" w:right="936"/>
    </w:pPr>
    <w:rPr>
      <w:rFonts w:eastAsia="Times New Roman"/>
      <w:i/>
      <w:iCs/>
      <w:sz w:val="20"/>
      <w:szCs w:val="20"/>
      <w:lang w:eastAsia="en-IE"/>
    </w:rPr>
  </w:style>
  <w:style w:type="character" w:customStyle="1" w:styleId="IntenseQuoteChar1">
    <w:name w:val="Intense Quote Char1"/>
    <w:uiPriority w:val="30"/>
    <w:rsid w:val="006B72EF"/>
    <w:rPr>
      <w:b/>
      <w:bCs/>
      <w:i/>
      <w:iCs/>
      <w:color w:val="4F81BD"/>
      <w:sz w:val="24"/>
      <w:szCs w:val="24"/>
      <w:lang w:eastAsia="ja-JP"/>
    </w:rPr>
  </w:style>
  <w:style w:type="character" w:styleId="SubtleEmphasis">
    <w:name w:val="Subtle Emphasis"/>
    <w:uiPriority w:val="19"/>
    <w:qFormat/>
    <w:rsid w:val="006B72EF"/>
    <w:rPr>
      <w:i/>
      <w:iCs/>
      <w:color w:val="808080"/>
    </w:rPr>
  </w:style>
  <w:style w:type="character" w:styleId="BookTitle">
    <w:name w:val="Book Title"/>
    <w:uiPriority w:val="33"/>
    <w:qFormat/>
    <w:rsid w:val="006B72EF"/>
    <w:rPr>
      <w:b/>
      <w:bCs/>
      <w:smallCaps/>
      <w:spacing w:val="5"/>
    </w:rPr>
  </w:style>
  <w:style w:type="paragraph" w:customStyle="1" w:styleId="Default">
    <w:name w:val="Default"/>
    <w:rsid w:val="00B61503"/>
    <w:pPr>
      <w:autoSpaceDE w:val="0"/>
      <w:autoSpaceDN w:val="0"/>
      <w:adjustRightInd w:val="0"/>
    </w:pPr>
    <w:rPr>
      <w:rFonts w:eastAsia="Times New Roman"/>
      <w:color w:val="000000"/>
      <w:sz w:val="24"/>
      <w:szCs w:val="24"/>
    </w:rPr>
  </w:style>
  <w:style w:type="paragraph" w:customStyle="1" w:styleId="Headng4">
    <w:name w:val="Headng 4"/>
    <w:basedOn w:val="Heading4"/>
    <w:link w:val="Headng4Char"/>
    <w:autoRedefine/>
    <w:qFormat/>
    <w:rsid w:val="000E1865"/>
  </w:style>
  <w:style w:type="character" w:customStyle="1" w:styleId="Headng4Char">
    <w:name w:val="Headng 4 Char"/>
    <w:link w:val="Headng4"/>
    <w:rsid w:val="000E1865"/>
    <w:rPr>
      <w:b/>
      <w:bCs/>
      <w:sz w:val="26"/>
      <w:szCs w:val="26"/>
      <w:lang w:eastAsia="en-US"/>
    </w:rPr>
  </w:style>
  <w:style w:type="character" w:customStyle="1" w:styleId="BodyTextIndent2Char">
    <w:name w:val="Body Text Indent 2 Char"/>
    <w:link w:val="BodyTextIndent2"/>
    <w:rsid w:val="00B61503"/>
    <w:rPr>
      <w:rFonts w:eastAsia="Times New Roman"/>
      <w:sz w:val="24"/>
      <w:lang w:eastAsia="en-US"/>
    </w:rPr>
  </w:style>
  <w:style w:type="paragraph" w:styleId="FootnoteText">
    <w:name w:val="footnote text"/>
    <w:basedOn w:val="Normal"/>
    <w:link w:val="FootnoteTextChar"/>
    <w:rsid w:val="00B61503"/>
    <w:pPr>
      <w:spacing w:after="200" w:line="276" w:lineRule="auto"/>
    </w:pPr>
    <w:rPr>
      <w:rFonts w:eastAsia="Times New Roman"/>
      <w:sz w:val="20"/>
      <w:szCs w:val="20"/>
      <w:lang w:eastAsia="en-IE"/>
    </w:rPr>
  </w:style>
  <w:style w:type="character" w:customStyle="1" w:styleId="FootnoteTextChar">
    <w:name w:val="Footnote Text Char"/>
    <w:link w:val="FootnoteText"/>
    <w:rsid w:val="00B61503"/>
    <w:rPr>
      <w:rFonts w:eastAsia="Times New Roman"/>
    </w:rPr>
  </w:style>
  <w:style w:type="character" w:styleId="FootnoteReference">
    <w:name w:val="footnote reference"/>
    <w:rsid w:val="00B61503"/>
    <w:rPr>
      <w:vertAlign w:val="superscript"/>
    </w:rPr>
  </w:style>
  <w:style w:type="character" w:customStyle="1" w:styleId="nbapihighlight">
    <w:name w:val="nbapihighlight"/>
    <w:rsid w:val="00B61503"/>
  </w:style>
  <w:style w:type="table" w:styleId="TableGrid">
    <w:name w:val="Table Grid"/>
    <w:basedOn w:val="TableNormal"/>
    <w:uiPriority w:val="59"/>
    <w:rsid w:val="00B61503"/>
    <w:pPr>
      <w:jc w:val="both"/>
    </w:pPr>
    <w:rPr>
      <w:rFonts w:eastAsia="Times New Roman"/>
      <w:sz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7F4506"/>
  </w:style>
  <w:style w:type="paragraph" w:customStyle="1" w:styleId="TableContents">
    <w:name w:val="Table Contents"/>
    <w:basedOn w:val="Normal"/>
    <w:rsid w:val="00596E2B"/>
    <w:pPr>
      <w:widowControl w:val="0"/>
      <w:suppressLineNumbers/>
      <w:suppressAutoHyphens/>
    </w:pPr>
    <w:rPr>
      <w:rFonts w:ascii="Nimbus Roman No9 L" w:eastAsia="DejaVu Sans" w:hAnsi="Nimbus Roman No9 L"/>
      <w:kern w:val="1"/>
    </w:rPr>
  </w:style>
  <w:style w:type="character" w:styleId="FollowedHyperlink">
    <w:name w:val="FollowedHyperlink"/>
    <w:basedOn w:val="DefaultParagraphFont"/>
    <w:rsid w:val="007023EB"/>
    <w:rPr>
      <w:color w:val="800080" w:themeColor="followedHyperlink"/>
      <w:u w:val="single"/>
    </w:rPr>
  </w:style>
  <w:style w:type="character" w:customStyle="1" w:styleId="summary-keypoint">
    <w:name w:val="summary-keypoint"/>
    <w:basedOn w:val="DefaultParagraphFont"/>
    <w:rsid w:val="00F063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95847">
      <w:bodyDiv w:val="1"/>
      <w:marLeft w:val="0"/>
      <w:marRight w:val="0"/>
      <w:marTop w:val="0"/>
      <w:marBottom w:val="0"/>
      <w:divBdr>
        <w:top w:val="none" w:sz="0" w:space="0" w:color="auto"/>
        <w:left w:val="none" w:sz="0" w:space="0" w:color="auto"/>
        <w:bottom w:val="none" w:sz="0" w:space="0" w:color="auto"/>
        <w:right w:val="none" w:sz="0" w:space="0" w:color="auto"/>
      </w:divBdr>
      <w:divsChild>
        <w:div w:id="1264845994">
          <w:marLeft w:val="547"/>
          <w:marRight w:val="0"/>
          <w:marTop w:val="134"/>
          <w:marBottom w:val="0"/>
          <w:divBdr>
            <w:top w:val="none" w:sz="0" w:space="0" w:color="auto"/>
            <w:left w:val="none" w:sz="0" w:space="0" w:color="auto"/>
            <w:bottom w:val="none" w:sz="0" w:space="0" w:color="auto"/>
            <w:right w:val="none" w:sz="0" w:space="0" w:color="auto"/>
          </w:divBdr>
        </w:div>
      </w:divsChild>
    </w:div>
    <w:div w:id="126975302">
      <w:bodyDiv w:val="1"/>
      <w:marLeft w:val="0"/>
      <w:marRight w:val="0"/>
      <w:marTop w:val="0"/>
      <w:marBottom w:val="0"/>
      <w:divBdr>
        <w:top w:val="none" w:sz="0" w:space="0" w:color="auto"/>
        <w:left w:val="none" w:sz="0" w:space="0" w:color="auto"/>
        <w:bottom w:val="none" w:sz="0" w:space="0" w:color="auto"/>
        <w:right w:val="none" w:sz="0" w:space="0" w:color="auto"/>
      </w:divBdr>
    </w:div>
    <w:div w:id="490490566">
      <w:bodyDiv w:val="1"/>
      <w:marLeft w:val="0"/>
      <w:marRight w:val="0"/>
      <w:marTop w:val="0"/>
      <w:marBottom w:val="0"/>
      <w:divBdr>
        <w:top w:val="none" w:sz="0" w:space="0" w:color="auto"/>
        <w:left w:val="none" w:sz="0" w:space="0" w:color="auto"/>
        <w:bottom w:val="none" w:sz="0" w:space="0" w:color="auto"/>
        <w:right w:val="none" w:sz="0" w:space="0" w:color="auto"/>
      </w:divBdr>
    </w:div>
    <w:div w:id="798962436">
      <w:bodyDiv w:val="1"/>
      <w:marLeft w:val="0"/>
      <w:marRight w:val="0"/>
      <w:marTop w:val="0"/>
      <w:marBottom w:val="0"/>
      <w:divBdr>
        <w:top w:val="none" w:sz="0" w:space="0" w:color="auto"/>
        <w:left w:val="none" w:sz="0" w:space="0" w:color="auto"/>
        <w:bottom w:val="none" w:sz="0" w:space="0" w:color="auto"/>
        <w:right w:val="none" w:sz="0" w:space="0" w:color="auto"/>
      </w:divBdr>
    </w:div>
    <w:div w:id="879198100">
      <w:bodyDiv w:val="1"/>
      <w:marLeft w:val="0"/>
      <w:marRight w:val="0"/>
      <w:marTop w:val="0"/>
      <w:marBottom w:val="0"/>
      <w:divBdr>
        <w:top w:val="none" w:sz="0" w:space="0" w:color="auto"/>
        <w:left w:val="none" w:sz="0" w:space="0" w:color="auto"/>
        <w:bottom w:val="none" w:sz="0" w:space="0" w:color="auto"/>
        <w:right w:val="none" w:sz="0" w:space="0" w:color="auto"/>
      </w:divBdr>
      <w:divsChild>
        <w:div w:id="538669529">
          <w:marLeft w:val="0"/>
          <w:marRight w:val="0"/>
          <w:marTop w:val="0"/>
          <w:marBottom w:val="0"/>
          <w:divBdr>
            <w:top w:val="none" w:sz="0" w:space="0" w:color="auto"/>
            <w:left w:val="none" w:sz="0" w:space="0" w:color="auto"/>
            <w:bottom w:val="none" w:sz="0" w:space="0" w:color="auto"/>
            <w:right w:val="none" w:sz="0" w:space="0" w:color="auto"/>
          </w:divBdr>
          <w:divsChild>
            <w:div w:id="634410692">
              <w:marLeft w:val="0"/>
              <w:marRight w:val="0"/>
              <w:marTop w:val="0"/>
              <w:marBottom w:val="0"/>
              <w:divBdr>
                <w:top w:val="none" w:sz="0" w:space="0" w:color="auto"/>
                <w:left w:val="none" w:sz="0" w:space="0" w:color="auto"/>
                <w:bottom w:val="none" w:sz="0" w:space="0" w:color="auto"/>
                <w:right w:val="none" w:sz="0" w:space="0" w:color="auto"/>
              </w:divBdr>
              <w:divsChild>
                <w:div w:id="1257863694">
                  <w:marLeft w:val="0"/>
                  <w:marRight w:val="0"/>
                  <w:marTop w:val="0"/>
                  <w:marBottom w:val="0"/>
                  <w:divBdr>
                    <w:top w:val="none" w:sz="0" w:space="0" w:color="auto"/>
                    <w:left w:val="none" w:sz="0" w:space="0" w:color="auto"/>
                    <w:bottom w:val="none" w:sz="0" w:space="0" w:color="auto"/>
                    <w:right w:val="none" w:sz="0" w:space="0" w:color="auto"/>
                  </w:divBdr>
                </w:div>
              </w:divsChild>
            </w:div>
            <w:div w:id="1035155751">
              <w:marLeft w:val="0"/>
              <w:marRight w:val="0"/>
              <w:marTop w:val="0"/>
              <w:marBottom w:val="0"/>
              <w:divBdr>
                <w:top w:val="none" w:sz="0" w:space="0" w:color="auto"/>
                <w:left w:val="none" w:sz="0" w:space="0" w:color="auto"/>
                <w:bottom w:val="none" w:sz="0" w:space="0" w:color="auto"/>
                <w:right w:val="none" w:sz="0" w:space="0" w:color="auto"/>
              </w:divBdr>
              <w:divsChild>
                <w:div w:id="101812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80551">
      <w:bodyDiv w:val="1"/>
      <w:marLeft w:val="0"/>
      <w:marRight w:val="0"/>
      <w:marTop w:val="0"/>
      <w:marBottom w:val="0"/>
      <w:divBdr>
        <w:top w:val="none" w:sz="0" w:space="0" w:color="auto"/>
        <w:left w:val="none" w:sz="0" w:space="0" w:color="auto"/>
        <w:bottom w:val="none" w:sz="0" w:space="0" w:color="auto"/>
        <w:right w:val="none" w:sz="0" w:space="0" w:color="auto"/>
      </w:divBdr>
    </w:div>
    <w:div w:id="903565779">
      <w:bodyDiv w:val="1"/>
      <w:marLeft w:val="0"/>
      <w:marRight w:val="0"/>
      <w:marTop w:val="0"/>
      <w:marBottom w:val="0"/>
      <w:divBdr>
        <w:top w:val="none" w:sz="0" w:space="0" w:color="auto"/>
        <w:left w:val="none" w:sz="0" w:space="0" w:color="auto"/>
        <w:bottom w:val="none" w:sz="0" w:space="0" w:color="auto"/>
        <w:right w:val="none" w:sz="0" w:space="0" w:color="auto"/>
      </w:divBdr>
      <w:divsChild>
        <w:div w:id="1400206485">
          <w:marLeft w:val="0"/>
          <w:marRight w:val="0"/>
          <w:marTop w:val="0"/>
          <w:marBottom w:val="0"/>
          <w:divBdr>
            <w:top w:val="none" w:sz="0" w:space="0" w:color="auto"/>
            <w:left w:val="none" w:sz="0" w:space="0" w:color="auto"/>
            <w:bottom w:val="none" w:sz="0" w:space="0" w:color="auto"/>
            <w:right w:val="none" w:sz="0" w:space="0" w:color="auto"/>
          </w:divBdr>
          <w:divsChild>
            <w:div w:id="1389037290">
              <w:marLeft w:val="0"/>
              <w:marRight w:val="0"/>
              <w:marTop w:val="0"/>
              <w:marBottom w:val="0"/>
              <w:divBdr>
                <w:top w:val="none" w:sz="0" w:space="0" w:color="auto"/>
                <w:left w:val="none" w:sz="0" w:space="0" w:color="auto"/>
                <w:bottom w:val="none" w:sz="0" w:space="0" w:color="auto"/>
                <w:right w:val="none" w:sz="0" w:space="0" w:color="auto"/>
              </w:divBdr>
              <w:divsChild>
                <w:div w:id="20730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502972">
      <w:bodyDiv w:val="1"/>
      <w:marLeft w:val="0"/>
      <w:marRight w:val="0"/>
      <w:marTop w:val="0"/>
      <w:marBottom w:val="0"/>
      <w:divBdr>
        <w:top w:val="none" w:sz="0" w:space="0" w:color="auto"/>
        <w:left w:val="none" w:sz="0" w:space="0" w:color="auto"/>
        <w:bottom w:val="none" w:sz="0" w:space="0" w:color="auto"/>
        <w:right w:val="none" w:sz="0" w:space="0" w:color="auto"/>
      </w:divBdr>
    </w:div>
    <w:div w:id="1047801922">
      <w:bodyDiv w:val="1"/>
      <w:marLeft w:val="0"/>
      <w:marRight w:val="0"/>
      <w:marTop w:val="0"/>
      <w:marBottom w:val="0"/>
      <w:divBdr>
        <w:top w:val="none" w:sz="0" w:space="0" w:color="auto"/>
        <w:left w:val="none" w:sz="0" w:space="0" w:color="auto"/>
        <w:bottom w:val="none" w:sz="0" w:space="0" w:color="auto"/>
        <w:right w:val="none" w:sz="0" w:space="0" w:color="auto"/>
      </w:divBdr>
      <w:divsChild>
        <w:div w:id="36203345">
          <w:marLeft w:val="547"/>
          <w:marRight w:val="0"/>
          <w:marTop w:val="134"/>
          <w:marBottom w:val="0"/>
          <w:divBdr>
            <w:top w:val="none" w:sz="0" w:space="0" w:color="auto"/>
            <w:left w:val="none" w:sz="0" w:space="0" w:color="auto"/>
            <w:bottom w:val="none" w:sz="0" w:space="0" w:color="auto"/>
            <w:right w:val="none" w:sz="0" w:space="0" w:color="auto"/>
          </w:divBdr>
        </w:div>
        <w:div w:id="119492749">
          <w:marLeft w:val="547"/>
          <w:marRight w:val="0"/>
          <w:marTop w:val="134"/>
          <w:marBottom w:val="0"/>
          <w:divBdr>
            <w:top w:val="none" w:sz="0" w:space="0" w:color="auto"/>
            <w:left w:val="none" w:sz="0" w:space="0" w:color="auto"/>
            <w:bottom w:val="none" w:sz="0" w:space="0" w:color="auto"/>
            <w:right w:val="none" w:sz="0" w:space="0" w:color="auto"/>
          </w:divBdr>
        </w:div>
        <w:div w:id="1262106047">
          <w:marLeft w:val="547"/>
          <w:marRight w:val="0"/>
          <w:marTop w:val="134"/>
          <w:marBottom w:val="0"/>
          <w:divBdr>
            <w:top w:val="none" w:sz="0" w:space="0" w:color="auto"/>
            <w:left w:val="none" w:sz="0" w:space="0" w:color="auto"/>
            <w:bottom w:val="none" w:sz="0" w:space="0" w:color="auto"/>
            <w:right w:val="none" w:sz="0" w:space="0" w:color="auto"/>
          </w:divBdr>
        </w:div>
      </w:divsChild>
    </w:div>
    <w:div w:id="1323898512">
      <w:bodyDiv w:val="1"/>
      <w:marLeft w:val="0"/>
      <w:marRight w:val="0"/>
      <w:marTop w:val="0"/>
      <w:marBottom w:val="0"/>
      <w:divBdr>
        <w:top w:val="none" w:sz="0" w:space="0" w:color="auto"/>
        <w:left w:val="none" w:sz="0" w:space="0" w:color="auto"/>
        <w:bottom w:val="none" w:sz="0" w:space="0" w:color="auto"/>
        <w:right w:val="none" w:sz="0" w:space="0" w:color="auto"/>
      </w:divBdr>
      <w:divsChild>
        <w:div w:id="954794666">
          <w:marLeft w:val="0"/>
          <w:marRight w:val="0"/>
          <w:marTop w:val="0"/>
          <w:marBottom w:val="0"/>
          <w:divBdr>
            <w:top w:val="none" w:sz="0" w:space="0" w:color="auto"/>
            <w:left w:val="none" w:sz="0" w:space="0" w:color="auto"/>
            <w:bottom w:val="none" w:sz="0" w:space="0" w:color="auto"/>
            <w:right w:val="none" w:sz="0" w:space="0" w:color="auto"/>
          </w:divBdr>
        </w:div>
        <w:div w:id="1096635360">
          <w:marLeft w:val="0"/>
          <w:marRight w:val="0"/>
          <w:marTop w:val="0"/>
          <w:marBottom w:val="0"/>
          <w:divBdr>
            <w:top w:val="none" w:sz="0" w:space="0" w:color="auto"/>
            <w:left w:val="none" w:sz="0" w:space="0" w:color="auto"/>
            <w:bottom w:val="none" w:sz="0" w:space="0" w:color="auto"/>
            <w:right w:val="none" w:sz="0" w:space="0" w:color="auto"/>
          </w:divBdr>
        </w:div>
      </w:divsChild>
    </w:div>
    <w:div w:id="1332828729">
      <w:bodyDiv w:val="1"/>
      <w:marLeft w:val="0"/>
      <w:marRight w:val="0"/>
      <w:marTop w:val="0"/>
      <w:marBottom w:val="0"/>
      <w:divBdr>
        <w:top w:val="none" w:sz="0" w:space="0" w:color="auto"/>
        <w:left w:val="none" w:sz="0" w:space="0" w:color="auto"/>
        <w:bottom w:val="none" w:sz="0" w:space="0" w:color="auto"/>
        <w:right w:val="none" w:sz="0" w:space="0" w:color="auto"/>
      </w:divBdr>
      <w:divsChild>
        <w:div w:id="1713084">
          <w:marLeft w:val="0"/>
          <w:marRight w:val="0"/>
          <w:marTop w:val="0"/>
          <w:marBottom w:val="0"/>
          <w:divBdr>
            <w:top w:val="none" w:sz="0" w:space="0" w:color="auto"/>
            <w:left w:val="none" w:sz="0" w:space="0" w:color="auto"/>
            <w:bottom w:val="none" w:sz="0" w:space="0" w:color="auto"/>
            <w:right w:val="none" w:sz="0" w:space="0" w:color="auto"/>
          </w:divBdr>
          <w:divsChild>
            <w:div w:id="177668489">
              <w:marLeft w:val="0"/>
              <w:marRight w:val="0"/>
              <w:marTop w:val="0"/>
              <w:marBottom w:val="0"/>
              <w:divBdr>
                <w:top w:val="none" w:sz="0" w:space="0" w:color="auto"/>
                <w:left w:val="none" w:sz="0" w:space="0" w:color="auto"/>
                <w:bottom w:val="none" w:sz="0" w:space="0" w:color="auto"/>
                <w:right w:val="none" w:sz="0" w:space="0" w:color="auto"/>
              </w:divBdr>
              <w:divsChild>
                <w:div w:id="1343240099">
                  <w:marLeft w:val="0"/>
                  <w:marRight w:val="0"/>
                  <w:marTop w:val="0"/>
                  <w:marBottom w:val="0"/>
                  <w:divBdr>
                    <w:top w:val="none" w:sz="0" w:space="0" w:color="auto"/>
                    <w:left w:val="none" w:sz="0" w:space="0" w:color="auto"/>
                    <w:bottom w:val="none" w:sz="0" w:space="0" w:color="auto"/>
                    <w:right w:val="none" w:sz="0" w:space="0" w:color="auto"/>
                  </w:divBdr>
                </w:div>
              </w:divsChild>
            </w:div>
            <w:div w:id="1995529459">
              <w:marLeft w:val="0"/>
              <w:marRight w:val="0"/>
              <w:marTop w:val="0"/>
              <w:marBottom w:val="0"/>
              <w:divBdr>
                <w:top w:val="none" w:sz="0" w:space="0" w:color="auto"/>
                <w:left w:val="none" w:sz="0" w:space="0" w:color="auto"/>
                <w:bottom w:val="none" w:sz="0" w:space="0" w:color="auto"/>
                <w:right w:val="none" w:sz="0" w:space="0" w:color="auto"/>
              </w:divBdr>
            </w:div>
          </w:divsChild>
        </w:div>
        <w:div w:id="1870756805">
          <w:marLeft w:val="0"/>
          <w:marRight w:val="0"/>
          <w:marTop w:val="0"/>
          <w:marBottom w:val="0"/>
          <w:divBdr>
            <w:top w:val="none" w:sz="0" w:space="0" w:color="auto"/>
            <w:left w:val="none" w:sz="0" w:space="0" w:color="auto"/>
            <w:bottom w:val="none" w:sz="0" w:space="0" w:color="auto"/>
            <w:right w:val="none" w:sz="0" w:space="0" w:color="auto"/>
          </w:divBdr>
          <w:divsChild>
            <w:div w:id="183864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489534">
      <w:bodyDiv w:val="1"/>
      <w:marLeft w:val="0"/>
      <w:marRight w:val="0"/>
      <w:marTop w:val="0"/>
      <w:marBottom w:val="0"/>
      <w:divBdr>
        <w:top w:val="none" w:sz="0" w:space="0" w:color="auto"/>
        <w:left w:val="none" w:sz="0" w:space="0" w:color="auto"/>
        <w:bottom w:val="none" w:sz="0" w:space="0" w:color="auto"/>
        <w:right w:val="none" w:sz="0" w:space="0" w:color="auto"/>
      </w:divBdr>
      <w:divsChild>
        <w:div w:id="1497309256">
          <w:marLeft w:val="0"/>
          <w:marRight w:val="0"/>
          <w:marTop w:val="0"/>
          <w:marBottom w:val="0"/>
          <w:divBdr>
            <w:top w:val="none" w:sz="0" w:space="0" w:color="auto"/>
            <w:left w:val="none" w:sz="0" w:space="0" w:color="auto"/>
            <w:bottom w:val="none" w:sz="0" w:space="0" w:color="auto"/>
            <w:right w:val="none" w:sz="0" w:space="0" w:color="auto"/>
          </w:divBdr>
          <w:divsChild>
            <w:div w:id="4458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541991">
      <w:bodyDiv w:val="1"/>
      <w:marLeft w:val="0"/>
      <w:marRight w:val="0"/>
      <w:marTop w:val="0"/>
      <w:marBottom w:val="0"/>
      <w:divBdr>
        <w:top w:val="none" w:sz="0" w:space="0" w:color="auto"/>
        <w:left w:val="none" w:sz="0" w:space="0" w:color="auto"/>
        <w:bottom w:val="none" w:sz="0" w:space="0" w:color="auto"/>
        <w:right w:val="none" w:sz="0" w:space="0" w:color="auto"/>
      </w:divBdr>
    </w:div>
    <w:div w:id="1559126132">
      <w:bodyDiv w:val="1"/>
      <w:marLeft w:val="0"/>
      <w:marRight w:val="0"/>
      <w:marTop w:val="0"/>
      <w:marBottom w:val="0"/>
      <w:divBdr>
        <w:top w:val="none" w:sz="0" w:space="0" w:color="auto"/>
        <w:left w:val="none" w:sz="0" w:space="0" w:color="auto"/>
        <w:bottom w:val="none" w:sz="0" w:space="0" w:color="auto"/>
        <w:right w:val="none" w:sz="0" w:space="0" w:color="auto"/>
      </w:divBdr>
    </w:div>
    <w:div w:id="1710032480">
      <w:bodyDiv w:val="1"/>
      <w:marLeft w:val="0"/>
      <w:marRight w:val="0"/>
      <w:marTop w:val="0"/>
      <w:marBottom w:val="0"/>
      <w:divBdr>
        <w:top w:val="none" w:sz="0" w:space="0" w:color="auto"/>
        <w:left w:val="none" w:sz="0" w:space="0" w:color="auto"/>
        <w:bottom w:val="none" w:sz="0" w:space="0" w:color="auto"/>
        <w:right w:val="none" w:sz="0" w:space="0" w:color="auto"/>
      </w:divBdr>
      <w:divsChild>
        <w:div w:id="360937267">
          <w:marLeft w:val="835"/>
          <w:marRight w:val="0"/>
          <w:marTop w:val="86"/>
          <w:marBottom w:val="0"/>
          <w:divBdr>
            <w:top w:val="none" w:sz="0" w:space="0" w:color="auto"/>
            <w:left w:val="none" w:sz="0" w:space="0" w:color="auto"/>
            <w:bottom w:val="none" w:sz="0" w:space="0" w:color="auto"/>
            <w:right w:val="none" w:sz="0" w:space="0" w:color="auto"/>
          </w:divBdr>
        </w:div>
        <w:div w:id="910890478">
          <w:marLeft w:val="835"/>
          <w:marRight w:val="0"/>
          <w:marTop w:val="86"/>
          <w:marBottom w:val="0"/>
          <w:divBdr>
            <w:top w:val="none" w:sz="0" w:space="0" w:color="auto"/>
            <w:left w:val="none" w:sz="0" w:space="0" w:color="auto"/>
            <w:bottom w:val="none" w:sz="0" w:space="0" w:color="auto"/>
            <w:right w:val="none" w:sz="0" w:space="0" w:color="auto"/>
          </w:divBdr>
        </w:div>
        <w:div w:id="934241966">
          <w:marLeft w:val="835"/>
          <w:marRight w:val="0"/>
          <w:marTop w:val="86"/>
          <w:marBottom w:val="0"/>
          <w:divBdr>
            <w:top w:val="none" w:sz="0" w:space="0" w:color="auto"/>
            <w:left w:val="none" w:sz="0" w:space="0" w:color="auto"/>
            <w:bottom w:val="none" w:sz="0" w:space="0" w:color="auto"/>
            <w:right w:val="none" w:sz="0" w:space="0" w:color="auto"/>
          </w:divBdr>
        </w:div>
        <w:div w:id="1132098784">
          <w:marLeft w:val="835"/>
          <w:marRight w:val="0"/>
          <w:marTop w:val="86"/>
          <w:marBottom w:val="0"/>
          <w:divBdr>
            <w:top w:val="none" w:sz="0" w:space="0" w:color="auto"/>
            <w:left w:val="none" w:sz="0" w:space="0" w:color="auto"/>
            <w:bottom w:val="none" w:sz="0" w:space="0" w:color="auto"/>
            <w:right w:val="none" w:sz="0" w:space="0" w:color="auto"/>
          </w:divBdr>
        </w:div>
        <w:div w:id="1594893089">
          <w:marLeft w:val="835"/>
          <w:marRight w:val="0"/>
          <w:marTop w:val="86"/>
          <w:marBottom w:val="0"/>
          <w:divBdr>
            <w:top w:val="none" w:sz="0" w:space="0" w:color="auto"/>
            <w:left w:val="none" w:sz="0" w:space="0" w:color="auto"/>
            <w:bottom w:val="none" w:sz="0" w:space="0" w:color="auto"/>
            <w:right w:val="none" w:sz="0" w:space="0" w:color="auto"/>
          </w:divBdr>
        </w:div>
        <w:div w:id="1862402369">
          <w:marLeft w:val="835"/>
          <w:marRight w:val="0"/>
          <w:marTop w:val="86"/>
          <w:marBottom w:val="0"/>
          <w:divBdr>
            <w:top w:val="none" w:sz="0" w:space="0" w:color="auto"/>
            <w:left w:val="none" w:sz="0" w:space="0" w:color="auto"/>
            <w:bottom w:val="none" w:sz="0" w:space="0" w:color="auto"/>
            <w:right w:val="none" w:sz="0" w:space="0" w:color="auto"/>
          </w:divBdr>
        </w:div>
      </w:divsChild>
    </w:div>
    <w:div w:id="1848330359">
      <w:bodyDiv w:val="1"/>
      <w:marLeft w:val="0"/>
      <w:marRight w:val="0"/>
      <w:marTop w:val="0"/>
      <w:marBottom w:val="0"/>
      <w:divBdr>
        <w:top w:val="none" w:sz="0" w:space="0" w:color="auto"/>
        <w:left w:val="none" w:sz="0" w:space="0" w:color="auto"/>
        <w:bottom w:val="none" w:sz="0" w:space="0" w:color="auto"/>
        <w:right w:val="none" w:sz="0" w:space="0" w:color="auto"/>
      </w:divBdr>
      <w:divsChild>
        <w:div w:id="371080790">
          <w:marLeft w:val="547"/>
          <w:marRight w:val="0"/>
          <w:marTop w:val="96"/>
          <w:marBottom w:val="0"/>
          <w:divBdr>
            <w:top w:val="none" w:sz="0" w:space="0" w:color="auto"/>
            <w:left w:val="none" w:sz="0" w:space="0" w:color="auto"/>
            <w:bottom w:val="none" w:sz="0" w:space="0" w:color="auto"/>
            <w:right w:val="none" w:sz="0" w:space="0" w:color="auto"/>
          </w:divBdr>
        </w:div>
        <w:div w:id="479078003">
          <w:marLeft w:val="547"/>
          <w:marRight w:val="0"/>
          <w:marTop w:val="96"/>
          <w:marBottom w:val="0"/>
          <w:divBdr>
            <w:top w:val="none" w:sz="0" w:space="0" w:color="auto"/>
            <w:left w:val="none" w:sz="0" w:space="0" w:color="auto"/>
            <w:bottom w:val="none" w:sz="0" w:space="0" w:color="auto"/>
            <w:right w:val="none" w:sz="0" w:space="0" w:color="auto"/>
          </w:divBdr>
        </w:div>
        <w:div w:id="922567511">
          <w:marLeft w:val="547"/>
          <w:marRight w:val="0"/>
          <w:marTop w:val="96"/>
          <w:marBottom w:val="0"/>
          <w:divBdr>
            <w:top w:val="none" w:sz="0" w:space="0" w:color="auto"/>
            <w:left w:val="none" w:sz="0" w:space="0" w:color="auto"/>
            <w:bottom w:val="none" w:sz="0" w:space="0" w:color="auto"/>
            <w:right w:val="none" w:sz="0" w:space="0" w:color="auto"/>
          </w:divBdr>
        </w:div>
        <w:div w:id="1162357974">
          <w:marLeft w:val="547"/>
          <w:marRight w:val="0"/>
          <w:marTop w:val="96"/>
          <w:marBottom w:val="0"/>
          <w:divBdr>
            <w:top w:val="none" w:sz="0" w:space="0" w:color="auto"/>
            <w:left w:val="none" w:sz="0" w:space="0" w:color="auto"/>
            <w:bottom w:val="none" w:sz="0" w:space="0" w:color="auto"/>
            <w:right w:val="none" w:sz="0" w:space="0" w:color="auto"/>
          </w:divBdr>
        </w:div>
      </w:divsChild>
    </w:div>
    <w:div w:id="1953978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90.png"/><Relationship Id="rId21" Type="http://schemas.openxmlformats.org/officeDocument/2006/relationships/image" Target="media/image13.emf"/><Relationship Id="rId42" Type="http://schemas.openxmlformats.org/officeDocument/2006/relationships/image" Target="media/image24.png"/><Relationship Id="rId47" Type="http://schemas.openxmlformats.org/officeDocument/2006/relationships/image" Target="media/image29.emf"/><Relationship Id="rId63" Type="http://schemas.openxmlformats.org/officeDocument/2006/relationships/chart" Target="charts/chart9.xml"/><Relationship Id="rId68" Type="http://schemas.openxmlformats.org/officeDocument/2006/relationships/image" Target="media/image44.emf"/><Relationship Id="rId84" Type="http://schemas.openxmlformats.org/officeDocument/2006/relationships/image" Target="media/image60.emf"/><Relationship Id="rId89" Type="http://schemas.openxmlformats.org/officeDocument/2006/relationships/image" Target="media/image65.png"/><Relationship Id="rId112" Type="http://schemas.openxmlformats.org/officeDocument/2006/relationships/chart" Target="charts/chart15.xml"/><Relationship Id="rId133" Type="http://schemas.openxmlformats.org/officeDocument/2006/relationships/fontTable" Target="fontTable.xml"/><Relationship Id="rId16" Type="http://schemas.openxmlformats.org/officeDocument/2006/relationships/image" Target="media/image9.gif"/><Relationship Id="rId107" Type="http://schemas.openxmlformats.org/officeDocument/2006/relationships/image" Target="media/image83.emf"/><Relationship Id="rId11" Type="http://schemas.openxmlformats.org/officeDocument/2006/relationships/image" Target="media/image4.emf"/><Relationship Id="rId32" Type="http://schemas.openxmlformats.org/officeDocument/2006/relationships/oleObject" Target="embeddings/oleObject3.bin"/><Relationship Id="rId37" Type="http://schemas.openxmlformats.org/officeDocument/2006/relationships/chart" Target="charts/chart4.xml"/><Relationship Id="rId53" Type="http://schemas.openxmlformats.org/officeDocument/2006/relationships/image" Target="media/image35.emf"/><Relationship Id="rId58" Type="http://schemas.openxmlformats.org/officeDocument/2006/relationships/image" Target="media/image40.png"/><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image" Target="media/image78.png"/><Relationship Id="rId123" Type="http://schemas.openxmlformats.org/officeDocument/2006/relationships/image" Target="media/image95.png"/><Relationship Id="rId128" Type="http://schemas.openxmlformats.org/officeDocument/2006/relationships/hyperlink" Target="http://www.chem.agilent.com" TargetMode="External"/><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14" Type="http://schemas.openxmlformats.org/officeDocument/2006/relationships/image" Target="media/image7.emf"/><Relationship Id="rId22" Type="http://schemas.openxmlformats.org/officeDocument/2006/relationships/hyperlink" Target="http://www.chem.agilent.com" TargetMode="External"/><Relationship Id="rId27" Type="http://schemas.openxmlformats.org/officeDocument/2006/relationships/image" Target="media/image18.wmf"/><Relationship Id="rId30" Type="http://schemas.openxmlformats.org/officeDocument/2006/relationships/oleObject" Target="embeddings/oleObject2.bin"/><Relationship Id="rId35" Type="http://schemas.openxmlformats.org/officeDocument/2006/relationships/chart" Target="charts/chart2.xml"/><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image" Target="media/image38.png"/><Relationship Id="rId64" Type="http://schemas.openxmlformats.org/officeDocument/2006/relationships/chart" Target="charts/chart10.xml"/><Relationship Id="rId69" Type="http://schemas.openxmlformats.org/officeDocument/2006/relationships/image" Target="media/image45.emf"/><Relationship Id="rId77" Type="http://schemas.openxmlformats.org/officeDocument/2006/relationships/image" Target="media/image53.emf"/><Relationship Id="rId100" Type="http://schemas.openxmlformats.org/officeDocument/2006/relationships/image" Target="media/image76.png"/><Relationship Id="rId105" Type="http://schemas.openxmlformats.org/officeDocument/2006/relationships/image" Target="media/image81.emf"/><Relationship Id="rId113" Type="http://schemas.openxmlformats.org/officeDocument/2006/relationships/image" Target="media/image86.png"/><Relationship Id="rId118" Type="http://schemas.openxmlformats.org/officeDocument/2006/relationships/image" Target="media/image91.emf"/><Relationship Id="rId126" Type="http://schemas.openxmlformats.org/officeDocument/2006/relationships/hyperlink" Target="http://www.chem.agilent.com" TargetMode="External"/><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48.emf"/><Relationship Id="rId80" Type="http://schemas.openxmlformats.org/officeDocument/2006/relationships/image" Target="media/image56.emf"/><Relationship Id="rId85" Type="http://schemas.openxmlformats.org/officeDocument/2006/relationships/image" Target="media/image61.png"/><Relationship Id="rId93" Type="http://schemas.openxmlformats.org/officeDocument/2006/relationships/image" Target="media/image69.jpeg"/><Relationship Id="rId98" Type="http://schemas.openxmlformats.org/officeDocument/2006/relationships/image" Target="media/image74.png"/><Relationship Id="rId121" Type="http://schemas.openxmlformats.org/officeDocument/2006/relationships/chart" Target="charts/chart16.xml"/><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image" Target="media/image21.png"/><Relationship Id="rId38" Type="http://schemas.openxmlformats.org/officeDocument/2006/relationships/chart" Target="charts/chart5.xml"/><Relationship Id="rId46" Type="http://schemas.openxmlformats.org/officeDocument/2006/relationships/image" Target="media/image28.emf"/><Relationship Id="rId59" Type="http://schemas.openxmlformats.org/officeDocument/2006/relationships/image" Target="media/image41.png"/><Relationship Id="rId67" Type="http://schemas.openxmlformats.org/officeDocument/2006/relationships/image" Target="media/image43.emf"/><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89.png"/><Relationship Id="rId124" Type="http://schemas.openxmlformats.org/officeDocument/2006/relationships/image" Target="media/image96.png"/><Relationship Id="rId129" Type="http://schemas.openxmlformats.org/officeDocument/2006/relationships/image" Target="media/image99.tif"/><Relationship Id="rId20" Type="http://schemas.openxmlformats.org/officeDocument/2006/relationships/hyperlink" Target="http://www.chem.agilent.com"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chart" Target="charts/chart8.xml"/><Relationship Id="rId70" Type="http://schemas.openxmlformats.org/officeDocument/2006/relationships/image" Target="media/image46.emf"/><Relationship Id="rId75" Type="http://schemas.openxmlformats.org/officeDocument/2006/relationships/image" Target="media/image51.emf"/><Relationship Id="rId83" Type="http://schemas.openxmlformats.org/officeDocument/2006/relationships/image" Target="media/image59.png"/><Relationship Id="rId88" Type="http://schemas.openxmlformats.org/officeDocument/2006/relationships/image" Target="media/image64.emf"/><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chart" Target="charts/chart14.xml"/><Relationship Id="rId13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chart" Target="charts/chart3.xml"/><Relationship Id="rId49" Type="http://schemas.openxmlformats.org/officeDocument/2006/relationships/image" Target="media/image31.emf"/><Relationship Id="rId57" Type="http://schemas.openxmlformats.org/officeDocument/2006/relationships/image" Target="media/image39.emf"/><Relationship Id="rId106" Type="http://schemas.openxmlformats.org/officeDocument/2006/relationships/image" Target="media/image82.png"/><Relationship Id="rId114" Type="http://schemas.openxmlformats.org/officeDocument/2006/relationships/image" Target="media/image87.png"/><Relationship Id="rId119" Type="http://schemas.openxmlformats.org/officeDocument/2006/relationships/image" Target="media/image92.emf"/><Relationship Id="rId127" Type="http://schemas.openxmlformats.org/officeDocument/2006/relationships/image" Target="media/image98.png"/><Relationship Id="rId10" Type="http://schemas.openxmlformats.org/officeDocument/2006/relationships/image" Target="media/image3.emf"/><Relationship Id="rId31" Type="http://schemas.openxmlformats.org/officeDocument/2006/relationships/image" Target="media/image20.wmf"/><Relationship Id="rId44" Type="http://schemas.openxmlformats.org/officeDocument/2006/relationships/image" Target="media/image26.emf"/><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chart" Target="charts/chart11.xml"/><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emf"/><Relationship Id="rId122" Type="http://schemas.openxmlformats.org/officeDocument/2006/relationships/image" Target="media/image94.emf"/><Relationship Id="rId130"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chart" Target="charts/chart6.xml"/><Relationship Id="rId109" Type="http://schemas.openxmlformats.org/officeDocument/2006/relationships/image" Target="media/image85.png"/><Relationship Id="rId34" Type="http://schemas.openxmlformats.org/officeDocument/2006/relationships/chart" Target="charts/chart1.xml"/><Relationship Id="rId50" Type="http://schemas.openxmlformats.org/officeDocument/2006/relationships/image" Target="media/image32.emf"/><Relationship Id="rId55" Type="http://schemas.openxmlformats.org/officeDocument/2006/relationships/image" Target="media/image37.png"/><Relationship Id="rId76" Type="http://schemas.openxmlformats.org/officeDocument/2006/relationships/image" Target="media/image52.emf"/><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3.emf"/><Relationship Id="rId125"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19.wmf"/><Relationship Id="rId24" Type="http://schemas.openxmlformats.org/officeDocument/2006/relationships/image" Target="media/image15.png"/><Relationship Id="rId40" Type="http://schemas.openxmlformats.org/officeDocument/2006/relationships/image" Target="media/image22.png"/><Relationship Id="rId45" Type="http://schemas.openxmlformats.org/officeDocument/2006/relationships/image" Target="media/image27.emf"/><Relationship Id="rId66" Type="http://schemas.openxmlformats.org/officeDocument/2006/relationships/chart" Target="charts/chart12.xml"/><Relationship Id="rId87" Type="http://schemas.openxmlformats.org/officeDocument/2006/relationships/image" Target="media/image63.emf"/><Relationship Id="rId110" Type="http://schemas.openxmlformats.org/officeDocument/2006/relationships/chart" Target="charts/chart13.xml"/><Relationship Id="rId115" Type="http://schemas.openxmlformats.org/officeDocument/2006/relationships/image" Target="media/image88.png"/><Relationship Id="rId131" Type="http://schemas.openxmlformats.org/officeDocument/2006/relationships/footer" Target="footer1.xml"/><Relationship Id="rId61" Type="http://schemas.openxmlformats.org/officeDocument/2006/relationships/chart" Target="charts/chart7.xml"/><Relationship Id="rId82" Type="http://schemas.openxmlformats.org/officeDocument/2006/relationships/image" Target="media/image58.emf"/><Relationship Id="rId19" Type="http://schemas.openxmlformats.org/officeDocument/2006/relationships/image" Target="media/image12.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Day100\Day100%20ELISA.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Day100\Day100%20ELISA.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Day100\Day100%20ELISA.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VGEF%20result.xls"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Bio%20bank\Biobank%20pateints%202.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Raj\Documents\DCU\PhD\PhD\Thesis\review\Final%20Thesis\Results\all%20ELISA%20full%20details%2014-10-10.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IE" sz="1200"/>
              <a:t>Bone marrow samples= 175 </a:t>
            </a:r>
          </a:p>
        </c:rich>
      </c:tx>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'bone marrow'!$D$45:$D$47</c:f>
              <c:strCache>
                <c:ptCount val="3"/>
                <c:pt idx="0">
                  <c:v>MM</c:v>
                </c:pt>
                <c:pt idx="1">
                  <c:v>MGUS</c:v>
                </c:pt>
                <c:pt idx="2">
                  <c:v>benign diseases</c:v>
                </c:pt>
              </c:strCache>
            </c:strRef>
          </c:cat>
          <c:val>
            <c:numRef>
              <c:f>'bone marrow'!$E$45:$E$47</c:f>
              <c:numCache>
                <c:formatCode>General</c:formatCode>
                <c:ptCount val="3"/>
                <c:pt idx="0">
                  <c:v>123</c:v>
                </c:pt>
                <c:pt idx="1">
                  <c:v>31</c:v>
                </c:pt>
                <c:pt idx="2">
                  <c:v>21</c:v>
                </c:pt>
              </c:numCache>
            </c:numRef>
          </c:val>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TYR</a:t>
            </a:r>
          </a:p>
        </c:rich>
      </c:tx>
      <c:overlay val="0"/>
    </c:title>
    <c:autoTitleDeleted val="0"/>
    <c:plotArea>
      <c:layout>
        <c:manualLayout>
          <c:layoutTarget val="inner"/>
          <c:xMode val="edge"/>
          <c:yMode val="edge"/>
          <c:x val="0.16739129483814524"/>
          <c:y val="0.19480351414406533"/>
          <c:w val="0.60703127734033246"/>
          <c:h val="0.68921660834062404"/>
        </c:manualLayout>
      </c:layout>
      <c:lineChart>
        <c:grouping val="standard"/>
        <c:varyColors val="0"/>
        <c:ser>
          <c:idx val="0"/>
          <c:order val="0"/>
          <c:tx>
            <c:strRef>
              <c:f>'elisa scatared chart'!$N$4</c:f>
              <c:strCache>
                <c:ptCount val="1"/>
                <c:pt idx="0">
                  <c:v>R</c:v>
                </c:pt>
              </c:strCache>
            </c:strRef>
          </c:tx>
          <c:spPr>
            <a:ln>
              <a:noFill/>
            </a:ln>
          </c:spPr>
          <c:marker>
            <c:symbol val="square"/>
            <c:size val="4"/>
          </c:marker>
          <c:trendline>
            <c:spPr>
              <a:ln>
                <a:solidFill>
                  <a:schemeClr val="tx2"/>
                </a:solidFill>
              </a:ln>
            </c:spPr>
            <c:trendlineType val="linear"/>
            <c:dispRSqr val="0"/>
            <c:dispEq val="0"/>
          </c:trendline>
          <c:val>
            <c:numRef>
              <c:f>'elisa scatared chart'!$N$5:$N$33</c:f>
              <c:numCache>
                <c:formatCode>0</c:formatCode>
                <c:ptCount val="29"/>
                <c:pt idx="0">
                  <c:v>395.93</c:v>
                </c:pt>
                <c:pt idx="1">
                  <c:v>894.52</c:v>
                </c:pt>
                <c:pt idx="2">
                  <c:v>311.76</c:v>
                </c:pt>
                <c:pt idx="3">
                  <c:v>150.4</c:v>
                </c:pt>
                <c:pt idx="4">
                  <c:v>390.46</c:v>
                </c:pt>
                <c:pt idx="5">
                  <c:v>481.22</c:v>
                </c:pt>
                <c:pt idx="6">
                  <c:v>522.88</c:v>
                </c:pt>
                <c:pt idx="7">
                  <c:v>389.55</c:v>
                </c:pt>
                <c:pt idx="8">
                  <c:v>458.89</c:v>
                </c:pt>
                <c:pt idx="9">
                  <c:v>497.95</c:v>
                </c:pt>
                <c:pt idx="10">
                  <c:v>316.79000000000002</c:v>
                </c:pt>
                <c:pt idx="11">
                  <c:v>246.96</c:v>
                </c:pt>
                <c:pt idx="12">
                  <c:v>413.46</c:v>
                </c:pt>
                <c:pt idx="13">
                  <c:v>310.08</c:v>
                </c:pt>
                <c:pt idx="14">
                  <c:v>285.44</c:v>
                </c:pt>
                <c:pt idx="15">
                  <c:v>225.28</c:v>
                </c:pt>
                <c:pt idx="16">
                  <c:v>335.52</c:v>
                </c:pt>
                <c:pt idx="17">
                  <c:v>503.9</c:v>
                </c:pt>
                <c:pt idx="18">
                  <c:v>213.82</c:v>
                </c:pt>
                <c:pt idx="19">
                  <c:v>282.52</c:v>
                </c:pt>
                <c:pt idx="20">
                  <c:v>331.43</c:v>
                </c:pt>
                <c:pt idx="21">
                  <c:v>340.07</c:v>
                </c:pt>
                <c:pt idx="22">
                  <c:v>175.73</c:v>
                </c:pt>
                <c:pt idx="23">
                  <c:v>200.72</c:v>
                </c:pt>
                <c:pt idx="24">
                  <c:v>256.87</c:v>
                </c:pt>
                <c:pt idx="25">
                  <c:v>229.7</c:v>
                </c:pt>
                <c:pt idx="26">
                  <c:v>101.072</c:v>
                </c:pt>
                <c:pt idx="27">
                  <c:v>380</c:v>
                </c:pt>
                <c:pt idx="28">
                  <c:v>271.7</c:v>
                </c:pt>
              </c:numCache>
            </c:numRef>
          </c:val>
          <c:smooth val="0"/>
        </c:ser>
        <c:ser>
          <c:idx val="1"/>
          <c:order val="1"/>
          <c:tx>
            <c:strRef>
              <c:f>'elisa scatared chart'!$O$4</c:f>
              <c:strCache>
                <c:ptCount val="1"/>
                <c:pt idx="0">
                  <c:v>NR</c:v>
                </c:pt>
              </c:strCache>
            </c:strRef>
          </c:tx>
          <c:spPr>
            <a:ln>
              <a:noFill/>
            </a:ln>
          </c:spPr>
          <c:marker>
            <c:symbol val="square"/>
            <c:size val="4"/>
          </c:marker>
          <c:trendline>
            <c:spPr>
              <a:ln>
                <a:noFill/>
              </a:ln>
            </c:spPr>
            <c:trendlineType val="linear"/>
            <c:dispRSqr val="1"/>
            <c:dispEq val="0"/>
            <c:trendlineLbl>
              <c:layout>
                <c:manualLayout>
                  <c:x val="0.22597419072615924"/>
                  <c:y val="-0.2647801837270341"/>
                </c:manualLayout>
              </c:layout>
              <c:numFmt formatCode="General" sourceLinked="0"/>
            </c:trendlineLbl>
          </c:trendline>
          <c:val>
            <c:numRef>
              <c:f>'elisa scatared chart'!$O$5:$O$33</c:f>
              <c:numCache>
                <c:formatCode>0</c:formatCode>
                <c:ptCount val="29"/>
                <c:pt idx="0">
                  <c:v>494.98</c:v>
                </c:pt>
                <c:pt idx="1">
                  <c:v>740.77</c:v>
                </c:pt>
                <c:pt idx="2">
                  <c:v>552.26</c:v>
                </c:pt>
                <c:pt idx="3">
                  <c:v>428.42</c:v>
                </c:pt>
                <c:pt idx="4">
                  <c:v>373.29</c:v>
                </c:pt>
                <c:pt idx="5">
                  <c:v>293.56</c:v>
                </c:pt>
                <c:pt idx="6">
                  <c:v>187.2</c:v>
                </c:pt>
                <c:pt idx="7">
                  <c:v>421.85</c:v>
                </c:pt>
                <c:pt idx="8">
                  <c:v>197.47</c:v>
                </c:pt>
                <c:pt idx="9">
                  <c:v>488.09</c:v>
                </c:pt>
                <c:pt idx="10">
                  <c:v>216.56</c:v>
                </c:pt>
                <c:pt idx="11">
                  <c:v>220.18</c:v>
                </c:pt>
                <c:pt idx="12">
                  <c:v>297</c:v>
                </c:pt>
                <c:pt idx="13">
                  <c:v>297</c:v>
                </c:pt>
                <c:pt idx="14">
                  <c:v>297</c:v>
                </c:pt>
                <c:pt idx="15">
                  <c:v>297</c:v>
                </c:pt>
                <c:pt idx="16">
                  <c:v>268.89999999999998</c:v>
                </c:pt>
                <c:pt idx="17">
                  <c:v>442.77</c:v>
                </c:pt>
                <c:pt idx="18">
                  <c:v>359.77</c:v>
                </c:pt>
                <c:pt idx="19">
                  <c:v>402</c:v>
                </c:pt>
                <c:pt idx="20">
                  <c:v>24.623000000000001</c:v>
                </c:pt>
                <c:pt idx="21">
                  <c:v>412.68</c:v>
                </c:pt>
              </c:numCache>
            </c:numRef>
          </c:val>
          <c:smooth val="0"/>
        </c:ser>
        <c:dLbls>
          <c:showLegendKey val="0"/>
          <c:showVal val="0"/>
          <c:showCatName val="0"/>
          <c:showSerName val="0"/>
          <c:showPercent val="0"/>
          <c:showBubbleSize val="0"/>
        </c:dLbls>
        <c:marker val="1"/>
        <c:smooth val="0"/>
        <c:axId val="143280768"/>
        <c:axId val="143294848"/>
      </c:lineChart>
      <c:catAx>
        <c:axId val="143280768"/>
        <c:scaling>
          <c:orientation val="minMax"/>
        </c:scaling>
        <c:delete val="1"/>
        <c:axPos val="b"/>
        <c:majorTickMark val="none"/>
        <c:minorTickMark val="none"/>
        <c:tickLblPos val="nextTo"/>
        <c:crossAx val="143294848"/>
        <c:crosses val="autoZero"/>
        <c:auto val="1"/>
        <c:lblAlgn val="ctr"/>
        <c:lblOffset val="100"/>
        <c:noMultiLvlLbl val="0"/>
      </c:catAx>
      <c:valAx>
        <c:axId val="143294848"/>
        <c:scaling>
          <c:orientation val="minMax"/>
        </c:scaling>
        <c:delete val="0"/>
        <c:axPos val="l"/>
        <c:majorGridlines/>
        <c:title>
          <c:tx>
            <c:rich>
              <a:bodyPr/>
              <a:lstStyle/>
              <a:p>
                <a:pPr>
                  <a:defRPr/>
                </a:pPr>
                <a:r>
                  <a:rPr lang="en-IE"/>
                  <a:t>µg/ml </a:t>
                </a:r>
              </a:p>
            </c:rich>
          </c:tx>
          <c:overlay val="0"/>
        </c:title>
        <c:numFmt formatCode="0" sourceLinked="1"/>
        <c:majorTickMark val="none"/>
        <c:minorTickMark val="none"/>
        <c:tickLblPos val="nextTo"/>
        <c:crossAx val="143280768"/>
        <c:crosses val="autoZero"/>
        <c:crossBetween val="between"/>
      </c:valAx>
    </c:plotArea>
    <c:legend>
      <c:legendPos val="r"/>
      <c:layout>
        <c:manualLayout>
          <c:xMode val="edge"/>
          <c:yMode val="edge"/>
          <c:x val="0.79190223097112855"/>
          <c:y val="5.7044692330125435E-2"/>
          <c:w val="0.20809776902887139"/>
          <c:h val="0.35476086322543016"/>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Hp</a:t>
            </a:r>
          </a:p>
        </c:rich>
      </c:tx>
      <c:overlay val="0"/>
    </c:title>
    <c:autoTitleDeleted val="0"/>
    <c:plotArea>
      <c:layout/>
      <c:lineChart>
        <c:grouping val="standard"/>
        <c:varyColors val="0"/>
        <c:ser>
          <c:idx val="0"/>
          <c:order val="0"/>
          <c:tx>
            <c:strRef>
              <c:f>'elisa scatared chart'!$J$4</c:f>
              <c:strCache>
                <c:ptCount val="1"/>
                <c:pt idx="0">
                  <c:v>R</c:v>
                </c:pt>
              </c:strCache>
            </c:strRef>
          </c:tx>
          <c:spPr>
            <a:ln>
              <a:noFill/>
            </a:ln>
          </c:spPr>
          <c:marker>
            <c:symbol val="square"/>
            <c:size val="4"/>
          </c:marker>
          <c:val>
            <c:numRef>
              <c:f>'elisa scatared chart'!$J$5:$J$33</c:f>
              <c:numCache>
                <c:formatCode>0</c:formatCode>
                <c:ptCount val="29"/>
                <c:pt idx="0">
                  <c:v>473</c:v>
                </c:pt>
                <c:pt idx="1">
                  <c:v>1294</c:v>
                </c:pt>
                <c:pt idx="2">
                  <c:v>482</c:v>
                </c:pt>
                <c:pt idx="3">
                  <c:v>81</c:v>
                </c:pt>
                <c:pt idx="4">
                  <c:v>2121</c:v>
                </c:pt>
                <c:pt idx="5">
                  <c:v>5550</c:v>
                </c:pt>
                <c:pt idx="6">
                  <c:v>2044</c:v>
                </c:pt>
                <c:pt idx="7">
                  <c:v>692</c:v>
                </c:pt>
                <c:pt idx="8">
                  <c:v>7219</c:v>
                </c:pt>
                <c:pt idx="9">
                  <c:v>3378</c:v>
                </c:pt>
                <c:pt idx="10">
                  <c:v>1355</c:v>
                </c:pt>
                <c:pt idx="11">
                  <c:v>1746</c:v>
                </c:pt>
                <c:pt idx="12">
                  <c:v>3621</c:v>
                </c:pt>
                <c:pt idx="13">
                  <c:v>7939</c:v>
                </c:pt>
                <c:pt idx="14">
                  <c:v>1662</c:v>
                </c:pt>
                <c:pt idx="15">
                  <c:v>2676</c:v>
                </c:pt>
                <c:pt idx="16">
                  <c:v>4381</c:v>
                </c:pt>
                <c:pt idx="17">
                  <c:v>3941</c:v>
                </c:pt>
                <c:pt idx="18">
                  <c:v>4085</c:v>
                </c:pt>
                <c:pt idx="19">
                  <c:v>1712</c:v>
                </c:pt>
                <c:pt idx="20">
                  <c:v>2687</c:v>
                </c:pt>
                <c:pt idx="21">
                  <c:v>3268</c:v>
                </c:pt>
                <c:pt idx="22">
                  <c:v>978</c:v>
                </c:pt>
                <c:pt idx="23">
                  <c:v>1289</c:v>
                </c:pt>
                <c:pt idx="24">
                  <c:v>1567</c:v>
                </c:pt>
                <c:pt idx="25">
                  <c:v>12126</c:v>
                </c:pt>
                <c:pt idx="26">
                  <c:v>1211</c:v>
                </c:pt>
                <c:pt idx="27">
                  <c:v>2090</c:v>
                </c:pt>
                <c:pt idx="28">
                  <c:v>1083</c:v>
                </c:pt>
              </c:numCache>
            </c:numRef>
          </c:val>
          <c:smooth val="0"/>
        </c:ser>
        <c:ser>
          <c:idx val="1"/>
          <c:order val="1"/>
          <c:tx>
            <c:strRef>
              <c:f>'elisa scatared chart'!$K$4</c:f>
              <c:strCache>
                <c:ptCount val="1"/>
                <c:pt idx="0">
                  <c:v>NR</c:v>
                </c:pt>
              </c:strCache>
            </c:strRef>
          </c:tx>
          <c:spPr>
            <a:ln>
              <a:noFill/>
            </a:ln>
          </c:spPr>
          <c:marker>
            <c:symbol val="square"/>
            <c:size val="4"/>
          </c:marker>
          <c:trendline>
            <c:spPr>
              <a:ln w="15875" cmpd="sng">
                <a:solidFill>
                  <a:srgbClr val="C0504D"/>
                </a:solidFill>
              </a:ln>
            </c:spPr>
            <c:trendlineType val="linear"/>
            <c:dispRSqr val="1"/>
            <c:dispEq val="0"/>
            <c:trendlineLbl>
              <c:layout>
                <c:manualLayout>
                  <c:x val="0.29590748031496061"/>
                  <c:y val="-0.35782443861184021"/>
                </c:manualLayout>
              </c:layout>
              <c:numFmt formatCode="General" sourceLinked="0"/>
            </c:trendlineLbl>
          </c:trendline>
          <c:val>
            <c:numRef>
              <c:f>'elisa scatared chart'!$K$5:$K$33</c:f>
              <c:numCache>
                <c:formatCode>0</c:formatCode>
                <c:ptCount val="29"/>
                <c:pt idx="0">
                  <c:v>1111</c:v>
                </c:pt>
                <c:pt idx="1">
                  <c:v>554</c:v>
                </c:pt>
                <c:pt idx="2">
                  <c:v>3556</c:v>
                </c:pt>
                <c:pt idx="3">
                  <c:v>614</c:v>
                </c:pt>
                <c:pt idx="4">
                  <c:v>3189</c:v>
                </c:pt>
                <c:pt idx="5">
                  <c:v>1200</c:v>
                </c:pt>
                <c:pt idx="6">
                  <c:v>2242</c:v>
                </c:pt>
                <c:pt idx="7">
                  <c:v>2249</c:v>
                </c:pt>
                <c:pt idx="8">
                  <c:v>3261</c:v>
                </c:pt>
                <c:pt idx="9">
                  <c:v>1974</c:v>
                </c:pt>
                <c:pt idx="10">
                  <c:v>2772</c:v>
                </c:pt>
                <c:pt idx="11">
                  <c:v>255</c:v>
                </c:pt>
                <c:pt idx="12">
                  <c:v>260</c:v>
                </c:pt>
                <c:pt idx="13">
                  <c:v>664</c:v>
                </c:pt>
                <c:pt idx="14">
                  <c:v>1140</c:v>
                </c:pt>
                <c:pt idx="15">
                  <c:v>2382</c:v>
                </c:pt>
                <c:pt idx="16">
                  <c:v>1436</c:v>
                </c:pt>
                <c:pt idx="17">
                  <c:v>1567</c:v>
                </c:pt>
                <c:pt idx="18">
                  <c:v>1156</c:v>
                </c:pt>
                <c:pt idx="19">
                  <c:v>573</c:v>
                </c:pt>
                <c:pt idx="20">
                  <c:v>458</c:v>
                </c:pt>
                <c:pt idx="21">
                  <c:v>3755</c:v>
                </c:pt>
              </c:numCache>
            </c:numRef>
          </c:val>
          <c:smooth val="0"/>
        </c:ser>
        <c:dLbls>
          <c:showLegendKey val="0"/>
          <c:showVal val="0"/>
          <c:showCatName val="0"/>
          <c:showSerName val="0"/>
          <c:showPercent val="0"/>
          <c:showBubbleSize val="0"/>
        </c:dLbls>
        <c:marker val="1"/>
        <c:smooth val="0"/>
        <c:axId val="143309440"/>
        <c:axId val="174858624"/>
      </c:lineChart>
      <c:catAx>
        <c:axId val="143309440"/>
        <c:scaling>
          <c:orientation val="minMax"/>
        </c:scaling>
        <c:delete val="1"/>
        <c:axPos val="b"/>
        <c:majorTickMark val="none"/>
        <c:minorTickMark val="none"/>
        <c:tickLblPos val="nextTo"/>
        <c:crossAx val="174858624"/>
        <c:crosses val="autoZero"/>
        <c:auto val="1"/>
        <c:lblAlgn val="ctr"/>
        <c:lblOffset val="100"/>
        <c:noMultiLvlLbl val="0"/>
      </c:catAx>
      <c:valAx>
        <c:axId val="174858624"/>
        <c:scaling>
          <c:orientation val="minMax"/>
        </c:scaling>
        <c:delete val="0"/>
        <c:axPos val="l"/>
        <c:majorGridlines/>
        <c:title>
          <c:tx>
            <c:rich>
              <a:bodyPr/>
              <a:lstStyle/>
              <a:p>
                <a:pPr>
                  <a:defRPr/>
                </a:pPr>
                <a:r>
                  <a:rPr lang="en-IE"/>
                  <a:t>µg/ml </a:t>
                </a:r>
              </a:p>
            </c:rich>
          </c:tx>
          <c:overlay val="0"/>
        </c:title>
        <c:numFmt formatCode="0" sourceLinked="1"/>
        <c:majorTickMark val="none"/>
        <c:minorTickMark val="none"/>
        <c:tickLblPos val="nextTo"/>
        <c:crossAx val="143309440"/>
        <c:crosses val="autoZero"/>
        <c:crossBetween val="between"/>
      </c:valAx>
    </c:plotArea>
    <c:legend>
      <c:legendPos val="r"/>
      <c:layout>
        <c:manualLayout>
          <c:xMode val="edge"/>
          <c:yMode val="edge"/>
          <c:x val="0.78356889763779514"/>
          <c:y val="7.0933581219014316E-2"/>
          <c:w val="0.21643110236220472"/>
          <c:h val="0.35476086322543016"/>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SAA</a:t>
            </a:r>
          </a:p>
        </c:rich>
      </c:tx>
      <c:layout>
        <c:manualLayout>
          <c:xMode val="edge"/>
          <c:yMode val="edge"/>
          <c:x val="0.38912489063867017"/>
          <c:y val="2.7777777777777776E-2"/>
        </c:manualLayout>
      </c:layout>
      <c:overlay val="0"/>
    </c:title>
    <c:autoTitleDeleted val="0"/>
    <c:plotArea>
      <c:layout/>
      <c:lineChart>
        <c:grouping val="standard"/>
        <c:varyColors val="0"/>
        <c:ser>
          <c:idx val="0"/>
          <c:order val="0"/>
          <c:tx>
            <c:strRef>
              <c:f>'elisa scatared chart'!$L$4</c:f>
              <c:strCache>
                <c:ptCount val="1"/>
                <c:pt idx="0">
                  <c:v>R</c:v>
                </c:pt>
              </c:strCache>
            </c:strRef>
          </c:tx>
          <c:spPr>
            <a:ln>
              <a:noFill/>
            </a:ln>
          </c:spPr>
          <c:marker>
            <c:symbol val="square"/>
            <c:size val="4"/>
          </c:marker>
          <c:trendline>
            <c:spPr>
              <a:ln w="12700">
                <a:solidFill>
                  <a:schemeClr val="tx2"/>
                </a:solidFill>
              </a:ln>
            </c:spPr>
            <c:trendlineType val="linear"/>
            <c:dispRSqr val="1"/>
            <c:dispEq val="0"/>
            <c:trendlineLbl>
              <c:layout>
                <c:manualLayout>
                  <c:x val="0.25060520559930011"/>
                  <c:y val="-5.51826334208224E-2"/>
                </c:manualLayout>
              </c:layout>
              <c:numFmt formatCode="General" sourceLinked="0"/>
              <c:txPr>
                <a:bodyPr/>
                <a:lstStyle/>
                <a:p>
                  <a:pPr>
                    <a:defRPr/>
                  </a:pPr>
                  <a:endParaRPr lang="en-US"/>
                </a:p>
              </c:txPr>
            </c:trendlineLbl>
          </c:trendline>
          <c:val>
            <c:numRef>
              <c:f>'elisa scatared chart'!$L$5:$L$33</c:f>
              <c:numCache>
                <c:formatCode>0</c:formatCode>
                <c:ptCount val="29"/>
                <c:pt idx="0">
                  <c:v>4</c:v>
                </c:pt>
                <c:pt idx="1">
                  <c:v>47.78</c:v>
                </c:pt>
                <c:pt idx="2">
                  <c:v>22.52</c:v>
                </c:pt>
                <c:pt idx="3">
                  <c:v>12.1</c:v>
                </c:pt>
                <c:pt idx="4">
                  <c:v>45.59</c:v>
                </c:pt>
                <c:pt idx="5">
                  <c:v>14.85</c:v>
                </c:pt>
                <c:pt idx="6">
                  <c:v>66.02</c:v>
                </c:pt>
                <c:pt idx="7">
                  <c:v>11.92</c:v>
                </c:pt>
                <c:pt idx="8">
                  <c:v>138.58000000000001</c:v>
                </c:pt>
                <c:pt idx="9">
                  <c:v>196.28</c:v>
                </c:pt>
                <c:pt idx="10">
                  <c:v>26.22</c:v>
                </c:pt>
                <c:pt idx="11">
                  <c:v>15.18</c:v>
                </c:pt>
                <c:pt idx="12">
                  <c:v>33.93</c:v>
                </c:pt>
                <c:pt idx="13">
                  <c:v>26.13</c:v>
                </c:pt>
                <c:pt idx="14">
                  <c:v>71.760000000000005</c:v>
                </c:pt>
                <c:pt idx="15">
                  <c:v>4.99</c:v>
                </c:pt>
                <c:pt idx="16">
                  <c:v>478.92</c:v>
                </c:pt>
                <c:pt idx="17">
                  <c:v>40.520000000000003</c:v>
                </c:pt>
                <c:pt idx="18">
                  <c:v>16.48</c:v>
                </c:pt>
                <c:pt idx="19">
                  <c:v>67.816999999999993</c:v>
                </c:pt>
                <c:pt idx="20">
                  <c:v>55.673000000000002</c:v>
                </c:pt>
                <c:pt idx="21">
                  <c:v>68.093000000000004</c:v>
                </c:pt>
                <c:pt idx="22">
                  <c:v>40.770000000000003</c:v>
                </c:pt>
                <c:pt idx="23">
                  <c:v>22.553999999999998</c:v>
                </c:pt>
                <c:pt idx="24">
                  <c:v>35.25</c:v>
                </c:pt>
                <c:pt idx="25">
                  <c:v>125.01</c:v>
                </c:pt>
                <c:pt idx="26">
                  <c:v>227.06</c:v>
                </c:pt>
                <c:pt idx="27">
                  <c:v>47.79</c:v>
                </c:pt>
                <c:pt idx="28">
                  <c:v>127.71</c:v>
                </c:pt>
              </c:numCache>
            </c:numRef>
          </c:val>
          <c:smooth val="0"/>
        </c:ser>
        <c:ser>
          <c:idx val="1"/>
          <c:order val="1"/>
          <c:tx>
            <c:strRef>
              <c:f>'elisa scatared chart'!$M$4</c:f>
              <c:strCache>
                <c:ptCount val="1"/>
                <c:pt idx="0">
                  <c:v>NR</c:v>
                </c:pt>
              </c:strCache>
            </c:strRef>
          </c:tx>
          <c:spPr>
            <a:ln>
              <a:noFill/>
            </a:ln>
          </c:spPr>
          <c:marker>
            <c:symbol val="square"/>
            <c:size val="4"/>
          </c:marker>
          <c:val>
            <c:numRef>
              <c:f>'elisa scatared chart'!$M$5:$M$33</c:f>
              <c:numCache>
                <c:formatCode>0</c:formatCode>
                <c:ptCount val="29"/>
                <c:pt idx="0">
                  <c:v>491.66</c:v>
                </c:pt>
                <c:pt idx="1">
                  <c:v>59.12</c:v>
                </c:pt>
                <c:pt idx="2">
                  <c:v>114.63</c:v>
                </c:pt>
                <c:pt idx="3">
                  <c:v>30.51</c:v>
                </c:pt>
                <c:pt idx="4">
                  <c:v>165.19</c:v>
                </c:pt>
                <c:pt idx="5">
                  <c:v>433.94</c:v>
                </c:pt>
                <c:pt idx="6">
                  <c:v>494.04</c:v>
                </c:pt>
                <c:pt idx="7">
                  <c:v>31.01</c:v>
                </c:pt>
                <c:pt idx="8">
                  <c:v>375.08</c:v>
                </c:pt>
                <c:pt idx="9">
                  <c:v>411.33</c:v>
                </c:pt>
                <c:pt idx="10">
                  <c:v>83.22</c:v>
                </c:pt>
                <c:pt idx="11">
                  <c:v>34.78</c:v>
                </c:pt>
                <c:pt idx="12">
                  <c:v>134.80000000000001</c:v>
                </c:pt>
                <c:pt idx="13">
                  <c:v>120.65</c:v>
                </c:pt>
                <c:pt idx="14">
                  <c:v>448.8</c:v>
                </c:pt>
                <c:pt idx="15">
                  <c:v>380</c:v>
                </c:pt>
                <c:pt idx="16">
                  <c:v>124.395</c:v>
                </c:pt>
                <c:pt idx="17">
                  <c:v>66.161000000000001</c:v>
                </c:pt>
                <c:pt idx="18">
                  <c:v>453.37599999999998</c:v>
                </c:pt>
                <c:pt idx="19">
                  <c:v>377.755</c:v>
                </c:pt>
                <c:pt idx="20">
                  <c:v>585.02</c:v>
                </c:pt>
                <c:pt idx="21">
                  <c:v>614.83000000000004</c:v>
                </c:pt>
              </c:numCache>
            </c:numRef>
          </c:val>
          <c:smooth val="0"/>
        </c:ser>
        <c:dLbls>
          <c:showLegendKey val="0"/>
          <c:showVal val="0"/>
          <c:showCatName val="0"/>
          <c:showSerName val="0"/>
          <c:showPercent val="0"/>
          <c:showBubbleSize val="0"/>
        </c:dLbls>
        <c:marker val="1"/>
        <c:smooth val="0"/>
        <c:axId val="174889216"/>
        <c:axId val="174899200"/>
      </c:lineChart>
      <c:catAx>
        <c:axId val="174889216"/>
        <c:scaling>
          <c:orientation val="minMax"/>
        </c:scaling>
        <c:delete val="1"/>
        <c:axPos val="b"/>
        <c:majorTickMark val="none"/>
        <c:minorTickMark val="none"/>
        <c:tickLblPos val="nextTo"/>
        <c:crossAx val="174899200"/>
        <c:crosses val="autoZero"/>
        <c:auto val="1"/>
        <c:lblAlgn val="ctr"/>
        <c:lblOffset val="100"/>
        <c:noMultiLvlLbl val="0"/>
      </c:catAx>
      <c:valAx>
        <c:axId val="174899200"/>
        <c:scaling>
          <c:orientation val="minMax"/>
        </c:scaling>
        <c:delete val="0"/>
        <c:axPos val="l"/>
        <c:majorGridlines/>
        <c:title>
          <c:tx>
            <c:rich>
              <a:bodyPr/>
              <a:lstStyle/>
              <a:p>
                <a:pPr>
                  <a:defRPr/>
                </a:pPr>
                <a:r>
                  <a:rPr lang="en-IE"/>
                  <a:t>µg/ml </a:t>
                </a:r>
              </a:p>
            </c:rich>
          </c:tx>
          <c:overlay val="0"/>
        </c:title>
        <c:numFmt formatCode="0" sourceLinked="1"/>
        <c:majorTickMark val="none"/>
        <c:minorTickMark val="none"/>
        <c:tickLblPos val="nextTo"/>
        <c:crossAx val="174889216"/>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en-IE" sz="1200">
                <a:latin typeface="Times New Roman" pitchFamily="18" charset="0"/>
                <a:cs typeface="Times New Roman" pitchFamily="18" charset="0"/>
              </a:rPr>
              <a:t>Mean serum value at diagnosis (Day-0)</a:t>
            </a:r>
          </a:p>
        </c:rich>
      </c:tx>
      <c:layout>
        <c:manualLayout>
          <c:xMode val="edge"/>
          <c:yMode val="edge"/>
          <c:x val="0.27221522309711288"/>
          <c:y val="3.6923076923076927E-2"/>
        </c:manualLayout>
      </c:layout>
      <c:overlay val="0"/>
    </c:title>
    <c:autoTitleDeleted val="0"/>
    <c:plotArea>
      <c:layout/>
      <c:barChart>
        <c:barDir val="col"/>
        <c:grouping val="clustered"/>
        <c:varyColors val="0"/>
        <c:ser>
          <c:idx val="0"/>
          <c:order val="0"/>
          <c:tx>
            <c:strRef>
              <c:f>Sheet2!$C$4</c:f>
              <c:strCache>
                <c:ptCount val="1"/>
                <c:pt idx="0">
                  <c:v>Day-0 level R</c:v>
                </c:pt>
              </c:strCache>
            </c:strRef>
          </c:tx>
          <c:invertIfNegative val="0"/>
          <c:errBars>
            <c:errBarType val="both"/>
            <c:errValType val="percentage"/>
            <c:noEndCap val="0"/>
            <c:val val="5"/>
          </c:errBars>
          <c:cat>
            <c:strRef>
              <c:f>Sheet2!$D$3:$F$3</c:f>
              <c:strCache>
                <c:ptCount val="3"/>
                <c:pt idx="0">
                  <c:v>VDB ug/ml</c:v>
                </c:pt>
                <c:pt idx="1">
                  <c:v>Hp ug/ml</c:v>
                </c:pt>
                <c:pt idx="2">
                  <c:v>SAA ug/ml</c:v>
                </c:pt>
              </c:strCache>
            </c:strRef>
          </c:cat>
          <c:val>
            <c:numRef>
              <c:f>Sheet2!$D$4:$F$4</c:f>
              <c:numCache>
                <c:formatCode>0</c:formatCode>
                <c:ptCount val="3"/>
                <c:pt idx="0">
                  <c:v>520.70000000000005</c:v>
                </c:pt>
                <c:pt idx="1">
                  <c:v>2853.5</c:v>
                </c:pt>
                <c:pt idx="2">
                  <c:v>72.099999999999994</c:v>
                </c:pt>
              </c:numCache>
            </c:numRef>
          </c:val>
        </c:ser>
        <c:ser>
          <c:idx val="1"/>
          <c:order val="1"/>
          <c:tx>
            <c:strRef>
              <c:f>Sheet2!$C$5</c:f>
              <c:strCache>
                <c:ptCount val="1"/>
                <c:pt idx="0">
                  <c:v>Day-0 level NR</c:v>
                </c:pt>
              </c:strCache>
            </c:strRef>
          </c:tx>
          <c:invertIfNegative val="0"/>
          <c:errBars>
            <c:errBarType val="both"/>
            <c:errValType val="percentage"/>
            <c:noEndCap val="0"/>
            <c:val val="5"/>
          </c:errBars>
          <c:cat>
            <c:strRef>
              <c:f>Sheet2!$D$3:$F$3</c:f>
              <c:strCache>
                <c:ptCount val="3"/>
                <c:pt idx="0">
                  <c:v>VDB ug/ml</c:v>
                </c:pt>
                <c:pt idx="1">
                  <c:v>Hp ug/ml</c:v>
                </c:pt>
                <c:pt idx="2">
                  <c:v>SAA ug/ml</c:v>
                </c:pt>
              </c:strCache>
            </c:strRef>
          </c:cat>
          <c:val>
            <c:numRef>
              <c:f>Sheet2!$D$5:$F$5</c:f>
              <c:numCache>
                <c:formatCode>0</c:formatCode>
                <c:ptCount val="3"/>
                <c:pt idx="0">
                  <c:v>664.6</c:v>
                </c:pt>
                <c:pt idx="1">
                  <c:v>1653.1</c:v>
                </c:pt>
                <c:pt idx="2">
                  <c:v>274.10000000000002</c:v>
                </c:pt>
              </c:numCache>
            </c:numRef>
          </c:val>
        </c:ser>
        <c:dLbls>
          <c:showLegendKey val="0"/>
          <c:showVal val="0"/>
          <c:showCatName val="0"/>
          <c:showSerName val="0"/>
          <c:showPercent val="0"/>
          <c:showBubbleSize val="0"/>
        </c:dLbls>
        <c:gapWidth val="150"/>
        <c:axId val="174972928"/>
        <c:axId val="174974464"/>
      </c:barChart>
      <c:catAx>
        <c:axId val="174972928"/>
        <c:scaling>
          <c:orientation val="minMax"/>
        </c:scaling>
        <c:delete val="0"/>
        <c:axPos val="b"/>
        <c:majorTickMark val="none"/>
        <c:minorTickMark val="none"/>
        <c:tickLblPos val="nextTo"/>
        <c:crossAx val="174974464"/>
        <c:crosses val="autoZero"/>
        <c:auto val="1"/>
        <c:lblAlgn val="ctr"/>
        <c:lblOffset val="100"/>
        <c:noMultiLvlLbl val="0"/>
      </c:catAx>
      <c:valAx>
        <c:axId val="174974464"/>
        <c:scaling>
          <c:orientation val="minMax"/>
        </c:scaling>
        <c:delete val="0"/>
        <c:axPos val="l"/>
        <c:majorGridlines/>
        <c:title>
          <c:tx>
            <c:rich>
              <a:bodyPr/>
              <a:lstStyle/>
              <a:p>
                <a:pPr>
                  <a:defRPr/>
                </a:pPr>
                <a:r>
                  <a:rPr lang="en-IE"/>
                  <a:t>ug/ml</a:t>
                </a:r>
              </a:p>
            </c:rich>
          </c:tx>
          <c:layout>
            <c:manualLayout>
              <c:xMode val="edge"/>
              <c:yMode val="edge"/>
              <c:x val="0.10833333333333334"/>
              <c:y val="0.40025487583282859"/>
            </c:manualLayout>
          </c:layout>
          <c:overlay val="0"/>
        </c:title>
        <c:numFmt formatCode="0" sourceLinked="1"/>
        <c:majorTickMark val="none"/>
        <c:minorTickMark val="none"/>
        <c:tickLblPos val="nextTo"/>
        <c:crossAx val="17497292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sz="1400">
                <a:latin typeface="Times New Roman" pitchFamily="18" charset="0"/>
                <a:cs typeface="Times New Roman" pitchFamily="18" charset="0"/>
              </a:rPr>
              <a:t>Serum level at Day-100</a:t>
            </a:r>
          </a:p>
        </c:rich>
      </c:tx>
      <c:overlay val="0"/>
    </c:title>
    <c:autoTitleDeleted val="0"/>
    <c:plotArea>
      <c:layout/>
      <c:barChart>
        <c:barDir val="col"/>
        <c:grouping val="clustered"/>
        <c:varyColors val="0"/>
        <c:ser>
          <c:idx val="0"/>
          <c:order val="0"/>
          <c:tx>
            <c:strRef>
              <c:f>'responders day100'!$D$51</c:f>
              <c:strCache>
                <c:ptCount val="1"/>
                <c:pt idx="0">
                  <c:v>Day 100 level R</c:v>
                </c:pt>
              </c:strCache>
            </c:strRef>
          </c:tx>
          <c:invertIfNegative val="0"/>
          <c:errBars>
            <c:errBarType val="both"/>
            <c:errValType val="percentage"/>
            <c:noEndCap val="0"/>
            <c:val val="5"/>
          </c:errBars>
          <c:cat>
            <c:strRef>
              <c:f>'responders day100'!$E$50:$G$50</c:f>
              <c:strCache>
                <c:ptCount val="3"/>
                <c:pt idx="0">
                  <c:v>VDB ug/ml</c:v>
                </c:pt>
                <c:pt idx="1">
                  <c:v>Hp ug/ml</c:v>
                </c:pt>
                <c:pt idx="2">
                  <c:v>SAA ug/ml</c:v>
                </c:pt>
              </c:strCache>
            </c:strRef>
          </c:cat>
          <c:val>
            <c:numRef>
              <c:f>'responders day100'!$E$51:$G$51</c:f>
              <c:numCache>
                <c:formatCode>0</c:formatCode>
                <c:ptCount val="3"/>
                <c:pt idx="0">
                  <c:v>279.18857142857144</c:v>
                </c:pt>
                <c:pt idx="1">
                  <c:v>2412.6428571428573</c:v>
                </c:pt>
                <c:pt idx="2">
                  <c:v>60.821428571428569</c:v>
                </c:pt>
              </c:numCache>
            </c:numRef>
          </c:val>
        </c:ser>
        <c:ser>
          <c:idx val="1"/>
          <c:order val="1"/>
          <c:tx>
            <c:strRef>
              <c:f>'responders day100'!$D$52</c:f>
              <c:strCache>
                <c:ptCount val="1"/>
                <c:pt idx="0">
                  <c:v>Day 100 level NR</c:v>
                </c:pt>
              </c:strCache>
            </c:strRef>
          </c:tx>
          <c:invertIfNegative val="0"/>
          <c:errBars>
            <c:errBarType val="both"/>
            <c:errValType val="percentage"/>
            <c:noEndCap val="0"/>
            <c:val val="5"/>
          </c:errBars>
          <c:cat>
            <c:strRef>
              <c:f>'responders day100'!$E$50:$G$50</c:f>
              <c:strCache>
                <c:ptCount val="3"/>
                <c:pt idx="0">
                  <c:v>VDB ug/ml</c:v>
                </c:pt>
                <c:pt idx="1">
                  <c:v>Hp ug/ml</c:v>
                </c:pt>
                <c:pt idx="2">
                  <c:v>SAA ug/ml</c:v>
                </c:pt>
              </c:strCache>
            </c:strRef>
          </c:cat>
          <c:val>
            <c:numRef>
              <c:f>'responders day100'!$E$52:$G$52</c:f>
              <c:numCache>
                <c:formatCode>0</c:formatCode>
                <c:ptCount val="3"/>
                <c:pt idx="0">
                  <c:v>287.3654545454545</c:v>
                </c:pt>
                <c:pt idx="1">
                  <c:v>1195.4545454545455</c:v>
                </c:pt>
                <c:pt idx="2">
                  <c:v>75.199999999999989</c:v>
                </c:pt>
              </c:numCache>
            </c:numRef>
          </c:val>
        </c:ser>
        <c:dLbls>
          <c:showLegendKey val="0"/>
          <c:showVal val="0"/>
          <c:showCatName val="0"/>
          <c:showSerName val="0"/>
          <c:showPercent val="0"/>
          <c:showBubbleSize val="0"/>
        </c:dLbls>
        <c:gapWidth val="150"/>
        <c:axId val="175072000"/>
        <c:axId val="175073536"/>
      </c:barChart>
      <c:catAx>
        <c:axId val="175072000"/>
        <c:scaling>
          <c:orientation val="minMax"/>
        </c:scaling>
        <c:delete val="0"/>
        <c:axPos val="b"/>
        <c:majorTickMark val="none"/>
        <c:minorTickMark val="none"/>
        <c:tickLblPos val="nextTo"/>
        <c:crossAx val="175073536"/>
        <c:crosses val="autoZero"/>
        <c:auto val="1"/>
        <c:lblAlgn val="ctr"/>
        <c:lblOffset val="100"/>
        <c:noMultiLvlLbl val="0"/>
      </c:catAx>
      <c:valAx>
        <c:axId val="175073536"/>
        <c:scaling>
          <c:orientation val="minMax"/>
        </c:scaling>
        <c:delete val="0"/>
        <c:axPos val="l"/>
        <c:majorGridlines>
          <c:spPr>
            <a:ln>
              <a:noFill/>
            </a:ln>
          </c:spPr>
        </c:majorGridlines>
        <c:title>
          <c:tx>
            <c:rich>
              <a:bodyPr/>
              <a:lstStyle/>
              <a:p>
                <a:pPr>
                  <a:defRPr/>
                </a:pPr>
                <a:r>
                  <a:rPr lang="en-IE"/>
                  <a:t>serum level ug/ml </a:t>
                </a:r>
              </a:p>
            </c:rich>
          </c:tx>
          <c:layout>
            <c:manualLayout>
              <c:xMode val="edge"/>
              <c:yMode val="edge"/>
              <c:x val="0.23508457285770698"/>
              <c:y val="0.2806466899970837"/>
            </c:manualLayout>
          </c:layout>
          <c:overlay val="0"/>
        </c:title>
        <c:numFmt formatCode="0" sourceLinked="1"/>
        <c:majorTickMark val="none"/>
        <c:minorTickMark val="none"/>
        <c:tickLblPos val="nextTo"/>
        <c:crossAx val="17507200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en-IE" sz="1200">
                <a:latin typeface="Times New Roman" pitchFamily="18" charset="0"/>
                <a:cs typeface="Times New Roman" pitchFamily="18" charset="0"/>
              </a:rPr>
              <a:t>Serum</a:t>
            </a:r>
            <a:r>
              <a:rPr lang="en-IE" sz="1200" baseline="0">
                <a:latin typeface="Times New Roman" pitchFamily="18" charset="0"/>
                <a:cs typeface="Times New Roman" pitchFamily="18" charset="0"/>
              </a:rPr>
              <a:t> level at Day-0 and Day-100</a:t>
            </a:r>
            <a:endParaRPr lang="en-IE" sz="12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Sheet3!$F$3</c:f>
              <c:strCache>
                <c:ptCount val="1"/>
                <c:pt idx="0">
                  <c:v>Day 0  R - mean value</c:v>
                </c:pt>
              </c:strCache>
            </c:strRef>
          </c:tx>
          <c:invertIfNegative val="0"/>
          <c:errBars>
            <c:errBarType val="both"/>
            <c:errValType val="percentage"/>
            <c:noEndCap val="0"/>
            <c:val val="5"/>
          </c:errBars>
          <c:cat>
            <c:strRef>
              <c:f>Sheet3!$G$2:$I$2</c:f>
              <c:strCache>
                <c:ptCount val="3"/>
                <c:pt idx="0">
                  <c:v>VDB ug/ml</c:v>
                </c:pt>
                <c:pt idx="1">
                  <c:v>Hp ug/ml</c:v>
                </c:pt>
                <c:pt idx="2">
                  <c:v>SAA ug/ml</c:v>
                </c:pt>
              </c:strCache>
            </c:strRef>
          </c:cat>
          <c:val>
            <c:numRef>
              <c:f>Sheet3!$G$3:$I$3</c:f>
              <c:numCache>
                <c:formatCode>0</c:formatCode>
                <c:ptCount val="3"/>
                <c:pt idx="0">
                  <c:v>520.70000000000005</c:v>
                </c:pt>
                <c:pt idx="1">
                  <c:v>2853.5</c:v>
                </c:pt>
                <c:pt idx="2">
                  <c:v>72.099999999999994</c:v>
                </c:pt>
              </c:numCache>
            </c:numRef>
          </c:val>
        </c:ser>
        <c:ser>
          <c:idx val="1"/>
          <c:order val="1"/>
          <c:tx>
            <c:strRef>
              <c:f>Sheet3!$F$4</c:f>
              <c:strCache>
                <c:ptCount val="1"/>
                <c:pt idx="0">
                  <c:v>Day 100  R - mean value</c:v>
                </c:pt>
              </c:strCache>
            </c:strRef>
          </c:tx>
          <c:invertIfNegative val="0"/>
          <c:errBars>
            <c:errBarType val="both"/>
            <c:errValType val="percentage"/>
            <c:noEndCap val="0"/>
            <c:val val="5"/>
          </c:errBars>
          <c:cat>
            <c:strRef>
              <c:f>Sheet3!$G$2:$I$2</c:f>
              <c:strCache>
                <c:ptCount val="3"/>
                <c:pt idx="0">
                  <c:v>VDB ug/ml</c:v>
                </c:pt>
                <c:pt idx="1">
                  <c:v>Hp ug/ml</c:v>
                </c:pt>
                <c:pt idx="2">
                  <c:v>SAA ug/ml</c:v>
                </c:pt>
              </c:strCache>
            </c:strRef>
          </c:cat>
          <c:val>
            <c:numRef>
              <c:f>Sheet3!$G$4:$I$4</c:f>
              <c:numCache>
                <c:formatCode>0</c:formatCode>
                <c:ptCount val="3"/>
                <c:pt idx="0">
                  <c:v>279.18857142857144</c:v>
                </c:pt>
                <c:pt idx="1">
                  <c:v>2412.6428571428573</c:v>
                </c:pt>
                <c:pt idx="2">
                  <c:v>60.821428571428569</c:v>
                </c:pt>
              </c:numCache>
            </c:numRef>
          </c:val>
        </c:ser>
        <c:ser>
          <c:idx val="2"/>
          <c:order val="2"/>
          <c:tx>
            <c:strRef>
              <c:f>Sheet3!$F$5</c:f>
              <c:strCache>
                <c:ptCount val="1"/>
                <c:pt idx="0">
                  <c:v>Day 0  NR - mean value</c:v>
                </c:pt>
              </c:strCache>
            </c:strRef>
          </c:tx>
          <c:invertIfNegative val="0"/>
          <c:errBars>
            <c:errBarType val="both"/>
            <c:errValType val="percentage"/>
            <c:noEndCap val="0"/>
            <c:val val="5"/>
          </c:errBars>
          <c:cat>
            <c:strRef>
              <c:f>Sheet3!$G$2:$I$2</c:f>
              <c:strCache>
                <c:ptCount val="3"/>
                <c:pt idx="0">
                  <c:v>VDB ug/ml</c:v>
                </c:pt>
                <c:pt idx="1">
                  <c:v>Hp ug/ml</c:v>
                </c:pt>
                <c:pt idx="2">
                  <c:v>SAA ug/ml</c:v>
                </c:pt>
              </c:strCache>
            </c:strRef>
          </c:cat>
          <c:val>
            <c:numRef>
              <c:f>Sheet3!$G$5:$I$5</c:f>
              <c:numCache>
                <c:formatCode>0</c:formatCode>
                <c:ptCount val="3"/>
                <c:pt idx="0">
                  <c:v>664.6</c:v>
                </c:pt>
                <c:pt idx="1">
                  <c:v>1653.1</c:v>
                </c:pt>
                <c:pt idx="2">
                  <c:v>274.10000000000002</c:v>
                </c:pt>
              </c:numCache>
            </c:numRef>
          </c:val>
        </c:ser>
        <c:ser>
          <c:idx val="3"/>
          <c:order val="3"/>
          <c:tx>
            <c:strRef>
              <c:f>Sheet3!$F$6</c:f>
              <c:strCache>
                <c:ptCount val="1"/>
                <c:pt idx="0">
                  <c:v>Day 100  NR - mean value</c:v>
                </c:pt>
              </c:strCache>
            </c:strRef>
          </c:tx>
          <c:invertIfNegative val="0"/>
          <c:errBars>
            <c:errBarType val="both"/>
            <c:errValType val="percentage"/>
            <c:noEndCap val="0"/>
            <c:val val="5"/>
          </c:errBars>
          <c:cat>
            <c:strRef>
              <c:f>Sheet3!$G$2:$I$2</c:f>
              <c:strCache>
                <c:ptCount val="3"/>
                <c:pt idx="0">
                  <c:v>VDB ug/ml</c:v>
                </c:pt>
                <c:pt idx="1">
                  <c:v>Hp ug/ml</c:v>
                </c:pt>
                <c:pt idx="2">
                  <c:v>SAA ug/ml</c:v>
                </c:pt>
              </c:strCache>
            </c:strRef>
          </c:cat>
          <c:val>
            <c:numRef>
              <c:f>Sheet3!$G$6:$I$6</c:f>
              <c:numCache>
                <c:formatCode>0</c:formatCode>
                <c:ptCount val="3"/>
                <c:pt idx="0">
                  <c:v>287.3654545454545</c:v>
                </c:pt>
                <c:pt idx="1">
                  <c:v>1195.4545454545455</c:v>
                </c:pt>
                <c:pt idx="2">
                  <c:v>75.199999999999989</c:v>
                </c:pt>
              </c:numCache>
            </c:numRef>
          </c:val>
        </c:ser>
        <c:dLbls>
          <c:showLegendKey val="0"/>
          <c:showVal val="0"/>
          <c:showCatName val="0"/>
          <c:showSerName val="0"/>
          <c:showPercent val="0"/>
          <c:showBubbleSize val="0"/>
        </c:dLbls>
        <c:gapWidth val="150"/>
        <c:axId val="176373760"/>
        <c:axId val="176375296"/>
      </c:barChart>
      <c:catAx>
        <c:axId val="176373760"/>
        <c:scaling>
          <c:orientation val="minMax"/>
        </c:scaling>
        <c:delete val="0"/>
        <c:axPos val="b"/>
        <c:majorTickMark val="out"/>
        <c:minorTickMark val="none"/>
        <c:tickLblPos val="nextTo"/>
        <c:crossAx val="176375296"/>
        <c:crosses val="autoZero"/>
        <c:auto val="1"/>
        <c:lblAlgn val="ctr"/>
        <c:lblOffset val="100"/>
        <c:noMultiLvlLbl val="0"/>
      </c:catAx>
      <c:valAx>
        <c:axId val="176375296"/>
        <c:scaling>
          <c:orientation val="minMax"/>
        </c:scaling>
        <c:delete val="0"/>
        <c:axPos val="l"/>
        <c:numFmt formatCode="0" sourceLinked="1"/>
        <c:majorTickMark val="out"/>
        <c:minorTickMark val="none"/>
        <c:tickLblPos val="nextTo"/>
        <c:crossAx val="17637376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Serum VGEF </a:t>
            </a:r>
          </a:p>
        </c:rich>
      </c:tx>
      <c:overlay val="0"/>
    </c:title>
    <c:autoTitleDeleted val="0"/>
    <c:plotArea>
      <c:layout/>
      <c:lineChart>
        <c:grouping val="standard"/>
        <c:varyColors val="0"/>
        <c:ser>
          <c:idx val="0"/>
          <c:order val="0"/>
          <c:tx>
            <c:strRef>
              <c:f>Sheet1!$C$2</c:f>
              <c:strCache>
                <c:ptCount val="1"/>
                <c:pt idx="0">
                  <c:v>VGEF pg/ml </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cat>
            <c:strRef>
              <c:f>Sheet1!$B$3:$B$7</c:f>
              <c:strCache>
                <c:ptCount val="5"/>
                <c:pt idx="1">
                  <c:v>Presenation  09/01/09 </c:v>
                </c:pt>
                <c:pt idx="2">
                  <c:v>Re-stagging 19/03/09</c:v>
                </c:pt>
                <c:pt idx="3">
                  <c:v>Remission 23/05/09 </c:v>
                </c:pt>
                <c:pt idx="4">
                  <c:v>Relapse 14/09/09 </c:v>
                </c:pt>
              </c:strCache>
            </c:strRef>
          </c:cat>
          <c:val>
            <c:numRef>
              <c:f>Sheet1!$C$3:$C$7</c:f>
              <c:numCache>
                <c:formatCode>General</c:formatCode>
                <c:ptCount val="5"/>
                <c:pt idx="1">
                  <c:v>3955</c:v>
                </c:pt>
                <c:pt idx="2">
                  <c:v>49.22</c:v>
                </c:pt>
                <c:pt idx="3">
                  <c:v>10</c:v>
                </c:pt>
                <c:pt idx="4">
                  <c:v>256</c:v>
                </c:pt>
              </c:numCache>
            </c:numRef>
          </c:val>
          <c:smooth val="0"/>
        </c:ser>
        <c:dLbls>
          <c:showLegendKey val="0"/>
          <c:showVal val="0"/>
          <c:showCatName val="0"/>
          <c:showSerName val="0"/>
          <c:showPercent val="0"/>
          <c:showBubbleSize val="0"/>
        </c:dLbls>
        <c:marker val="1"/>
        <c:smooth val="0"/>
        <c:axId val="176400256"/>
        <c:axId val="176414720"/>
      </c:lineChart>
      <c:catAx>
        <c:axId val="176400256"/>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a:pPr>
            <a:endParaRPr lang="en-US"/>
          </a:p>
        </c:txPr>
        <c:crossAx val="176414720"/>
        <c:crosses val="autoZero"/>
        <c:auto val="1"/>
        <c:lblAlgn val="ctr"/>
        <c:lblOffset val="100"/>
        <c:tickLblSkip val="1"/>
        <c:tickMarkSkip val="1"/>
        <c:noMultiLvlLbl val="0"/>
      </c:catAx>
      <c:valAx>
        <c:axId val="176414720"/>
        <c:scaling>
          <c:orientation val="minMax"/>
        </c:scaling>
        <c:delete val="0"/>
        <c:axPos val="l"/>
        <c:majorGridlines>
          <c:spPr>
            <a:ln w="3175">
              <a:solidFill>
                <a:srgbClr val="000000"/>
              </a:solidFill>
              <a:prstDash val="solid"/>
            </a:ln>
          </c:spPr>
        </c:majorGridlines>
        <c:title>
          <c:tx>
            <c:rich>
              <a:bodyPr/>
              <a:lstStyle/>
              <a:p>
                <a:pPr>
                  <a:defRPr/>
                </a:pPr>
                <a:r>
                  <a:rPr lang="en-IE"/>
                  <a:t>pg/ml </a:t>
                </a:r>
              </a:p>
            </c:rich>
          </c:tx>
          <c:overlay val="0"/>
        </c:title>
        <c:numFmt formatCode="General" sourceLinked="1"/>
        <c:majorTickMark val="none"/>
        <c:minorTickMark val="none"/>
        <c:tickLblPos val="nextTo"/>
        <c:txPr>
          <a:bodyPr rot="0" vert="horz"/>
          <a:lstStyle/>
          <a:p>
            <a:pPr>
              <a:defRPr/>
            </a:pPr>
            <a:endParaRPr lang="en-US"/>
          </a:p>
        </c:txPr>
        <c:crossAx val="176400256"/>
        <c:crosses val="autoZero"/>
        <c:crossBetween val="between"/>
      </c:valAx>
      <c:dTable>
        <c:showHorzBorder val="1"/>
        <c:showVertBorder val="1"/>
        <c:showOutline val="1"/>
        <c:showKeys val="1"/>
      </c:dTable>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en-IE" sz="1200">
                <a:latin typeface="Times New Roman" pitchFamily="18" charset="0"/>
                <a:cs typeface="Times New Roman" pitchFamily="18" charset="0"/>
              </a:rPr>
              <a:t>Newly diagnosed MM  BM samples</a:t>
            </a:r>
          </a:p>
        </c:rich>
      </c:tx>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'bone marrow'!$D$10:$D$12</c:f>
              <c:strCache>
                <c:ptCount val="3"/>
                <c:pt idx="0">
                  <c:v>MM ISS stage I</c:v>
                </c:pt>
                <c:pt idx="1">
                  <c:v>MM ISS stage II</c:v>
                </c:pt>
                <c:pt idx="2">
                  <c:v>MM ISS stage III</c:v>
                </c:pt>
              </c:strCache>
            </c:strRef>
          </c:cat>
          <c:val>
            <c:numRef>
              <c:f>'bone marrow'!$E$10:$E$12</c:f>
              <c:numCache>
                <c:formatCode>General</c:formatCode>
                <c:ptCount val="3"/>
                <c:pt idx="0">
                  <c:v>11</c:v>
                </c:pt>
                <c:pt idx="1">
                  <c:v>21</c:v>
                </c:pt>
                <c:pt idx="2">
                  <c:v>15</c:v>
                </c:pt>
              </c:numCache>
            </c:numRef>
          </c:val>
        </c:ser>
        <c:dLbls>
          <c:dLblPos val="bestFit"/>
          <c:showLegendKey val="0"/>
          <c:showVal val="1"/>
          <c:showCatName val="0"/>
          <c:showSerName val="0"/>
          <c:showPercent val="0"/>
          <c:showBubbleSize val="0"/>
          <c:showLeaderLines val="1"/>
        </c:dLbls>
        <c:firstSliceAng val="0"/>
      </c:pieChart>
    </c:plotArea>
    <c:legend>
      <c:legendPos val="r"/>
      <c:overlay val="1"/>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Myeloma</a:t>
            </a:r>
            <a:r>
              <a:rPr lang="en-IE" baseline="0"/>
              <a:t> related</a:t>
            </a:r>
            <a:r>
              <a:rPr lang="en-IE"/>
              <a:t> bone marrow samples= 154</a:t>
            </a:r>
          </a:p>
        </c:rich>
      </c:tx>
      <c:overlay val="0"/>
    </c:title>
    <c:autoTitleDeleted val="0"/>
    <c:plotArea>
      <c:layout/>
      <c:pieChart>
        <c:varyColors val="1"/>
        <c:ser>
          <c:idx val="0"/>
          <c:order val="0"/>
          <c:dLbls>
            <c:showLegendKey val="0"/>
            <c:showVal val="1"/>
            <c:showCatName val="0"/>
            <c:showSerName val="0"/>
            <c:showPercent val="0"/>
            <c:showBubbleSize val="0"/>
            <c:showLeaderLines val="1"/>
          </c:dLbls>
          <c:cat>
            <c:strRef>
              <c:f>'bone marrow'!$D$26:$D$31</c:f>
              <c:strCache>
                <c:ptCount val="6"/>
                <c:pt idx="0">
                  <c:v>MM newly diagnosed</c:v>
                </c:pt>
                <c:pt idx="1">
                  <c:v>MM smouldering</c:v>
                </c:pt>
                <c:pt idx="2">
                  <c:v>MGUS</c:v>
                </c:pt>
                <c:pt idx="3">
                  <c:v>Plasma cell leukaemia</c:v>
                </c:pt>
                <c:pt idx="4">
                  <c:v>MM relapsed</c:v>
                </c:pt>
                <c:pt idx="5">
                  <c:v>MM in remission</c:v>
                </c:pt>
              </c:strCache>
            </c:strRef>
          </c:cat>
          <c:val>
            <c:numRef>
              <c:f>'bone marrow'!$E$26:$E$31</c:f>
              <c:numCache>
                <c:formatCode>General</c:formatCode>
                <c:ptCount val="6"/>
                <c:pt idx="0">
                  <c:v>47</c:v>
                </c:pt>
                <c:pt idx="1">
                  <c:v>3</c:v>
                </c:pt>
                <c:pt idx="2">
                  <c:v>31</c:v>
                </c:pt>
                <c:pt idx="3">
                  <c:v>1</c:v>
                </c:pt>
                <c:pt idx="4">
                  <c:v>26</c:v>
                </c:pt>
                <c:pt idx="5">
                  <c:v>46</c:v>
                </c:pt>
              </c:numCache>
            </c:numRef>
          </c:val>
        </c:ser>
        <c:dLbls>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samples set</a:t>
            </a:r>
          </a:p>
        </c:rich>
      </c:tx>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'serum samples total'!$D$5:$D$13</c:f>
              <c:strCache>
                <c:ptCount val="9"/>
                <c:pt idx="0">
                  <c:v>MM</c:v>
                </c:pt>
                <c:pt idx="1">
                  <c:v>MGUS</c:v>
                </c:pt>
                <c:pt idx="2">
                  <c:v>Smouldering MM</c:v>
                </c:pt>
                <c:pt idx="3">
                  <c:v>Plasmacytoma</c:v>
                </c:pt>
                <c:pt idx="4">
                  <c:v>POEM syndrome</c:v>
                </c:pt>
                <c:pt idx="5">
                  <c:v>Amyloid Disease</c:v>
                </c:pt>
                <c:pt idx="6">
                  <c:v>PC leukaemia</c:v>
                </c:pt>
                <c:pt idx="7">
                  <c:v>Benign conditions</c:v>
                </c:pt>
                <c:pt idx="8">
                  <c:v>Auto-immune diseases</c:v>
                </c:pt>
              </c:strCache>
            </c:strRef>
          </c:cat>
          <c:val>
            <c:numRef>
              <c:f>'serum samples total'!$E$5:$E$13</c:f>
              <c:numCache>
                <c:formatCode>General</c:formatCode>
                <c:ptCount val="9"/>
                <c:pt idx="0">
                  <c:v>302</c:v>
                </c:pt>
                <c:pt idx="1">
                  <c:v>51</c:v>
                </c:pt>
                <c:pt idx="2">
                  <c:v>16</c:v>
                </c:pt>
                <c:pt idx="3">
                  <c:v>15</c:v>
                </c:pt>
                <c:pt idx="4">
                  <c:v>4</c:v>
                </c:pt>
                <c:pt idx="5">
                  <c:v>3</c:v>
                </c:pt>
                <c:pt idx="6">
                  <c:v>3</c:v>
                </c:pt>
                <c:pt idx="7">
                  <c:v>39</c:v>
                </c:pt>
                <c:pt idx="8">
                  <c:v>15</c:v>
                </c:pt>
              </c:numCache>
            </c:numRef>
          </c:val>
        </c:ser>
        <c:ser>
          <c:idx val="1"/>
          <c:order val="1"/>
          <c:dLbls>
            <c:dLblPos val="bestFit"/>
            <c:showLegendKey val="0"/>
            <c:showVal val="1"/>
            <c:showCatName val="0"/>
            <c:showSerName val="0"/>
            <c:showPercent val="0"/>
            <c:showBubbleSize val="0"/>
            <c:showLeaderLines val="1"/>
          </c:dLbls>
          <c:cat>
            <c:strRef>
              <c:f>'serum samples total'!$D$5:$D$13</c:f>
              <c:strCache>
                <c:ptCount val="9"/>
                <c:pt idx="0">
                  <c:v>MM</c:v>
                </c:pt>
                <c:pt idx="1">
                  <c:v>MGUS</c:v>
                </c:pt>
                <c:pt idx="2">
                  <c:v>Smouldering MM</c:v>
                </c:pt>
                <c:pt idx="3">
                  <c:v>Plasmacytoma</c:v>
                </c:pt>
                <c:pt idx="4">
                  <c:v>POEM syndrome</c:v>
                </c:pt>
                <c:pt idx="5">
                  <c:v>Amyloid Disease</c:v>
                </c:pt>
                <c:pt idx="6">
                  <c:v>PC leukaemia</c:v>
                </c:pt>
                <c:pt idx="7">
                  <c:v>Benign conditions</c:v>
                </c:pt>
                <c:pt idx="8">
                  <c:v>Auto-immune diseases</c:v>
                </c:pt>
              </c:strCache>
            </c:strRef>
          </c:cat>
          <c:val>
            <c:numRef>
              <c:f>'serum samples total'!$F$5:$F$13</c:f>
              <c:numCache>
                <c:formatCode>General</c:formatCode>
                <c:ptCount val="9"/>
                <c:pt idx="0">
                  <c:v>85</c:v>
                </c:pt>
                <c:pt idx="1">
                  <c:v>23</c:v>
                </c:pt>
                <c:pt idx="2">
                  <c:v>5</c:v>
                </c:pt>
                <c:pt idx="3">
                  <c:v>9</c:v>
                </c:pt>
                <c:pt idx="4">
                  <c:v>1</c:v>
                </c:pt>
                <c:pt idx="5">
                  <c:v>1</c:v>
                </c:pt>
                <c:pt idx="6">
                  <c:v>2</c:v>
                </c:pt>
                <c:pt idx="7">
                  <c:v>39</c:v>
                </c:pt>
                <c:pt idx="8">
                  <c:v>17</c:v>
                </c:pt>
              </c:numCache>
            </c:numRef>
          </c:val>
        </c:ser>
        <c:dLbls>
          <c:dLblPos val="bestFit"/>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IE" sz="1200"/>
              <a:t>multiple myeloma serum</a:t>
            </a:r>
            <a:r>
              <a:rPr lang="en-IE" sz="1200" baseline="0"/>
              <a:t> samples </a:t>
            </a:r>
            <a:r>
              <a:rPr lang="en-IE" sz="1200"/>
              <a:t> </a:t>
            </a:r>
          </a:p>
        </c:rich>
      </c:tx>
      <c:layout>
        <c:manualLayout>
          <c:xMode val="edge"/>
          <c:yMode val="edge"/>
          <c:x val="0.25703422068541226"/>
          <c:y val="5.1150895140664961E-2"/>
        </c:manualLayout>
      </c:layout>
      <c:overlay val="0"/>
    </c:title>
    <c:autoTitleDeleted val="0"/>
    <c:plotArea>
      <c:layout/>
      <c:pieChart>
        <c:varyColors val="1"/>
        <c:ser>
          <c:idx val="0"/>
          <c:order val="0"/>
          <c:dLbls>
            <c:txPr>
              <a:bodyPr/>
              <a:lstStyle/>
              <a:p>
                <a:pPr>
                  <a:defRPr sz="1200" b="1"/>
                </a:pPr>
                <a:endParaRPr lang="en-US"/>
              </a:p>
            </c:txPr>
            <c:dLblPos val="bestFit"/>
            <c:showLegendKey val="0"/>
            <c:showVal val="1"/>
            <c:showCatName val="0"/>
            <c:showSerName val="0"/>
            <c:showPercent val="0"/>
            <c:showBubbleSize val="0"/>
            <c:showLeaderLines val="1"/>
          </c:dLbls>
          <c:cat>
            <c:strRef>
              <c:f>Response!$B$5:$B$9</c:f>
              <c:strCache>
                <c:ptCount val="5"/>
                <c:pt idx="0">
                  <c:v>CR from 23 patients</c:v>
                </c:pt>
                <c:pt idx="1">
                  <c:v>VGPR from 16 patients</c:v>
                </c:pt>
                <c:pt idx="2">
                  <c:v>PR from 7 patients</c:v>
                </c:pt>
                <c:pt idx="3">
                  <c:v>PD from 9 patients</c:v>
                </c:pt>
                <c:pt idx="4">
                  <c:v>NR from 42 patients</c:v>
                </c:pt>
              </c:strCache>
            </c:strRef>
          </c:cat>
          <c:val>
            <c:numRef>
              <c:f>Response!$C$5:$C$9</c:f>
              <c:numCache>
                <c:formatCode>General</c:formatCode>
                <c:ptCount val="5"/>
                <c:pt idx="0">
                  <c:v>98</c:v>
                </c:pt>
                <c:pt idx="1">
                  <c:v>71</c:v>
                </c:pt>
                <c:pt idx="2">
                  <c:v>22</c:v>
                </c:pt>
                <c:pt idx="3">
                  <c:v>21</c:v>
                </c:pt>
                <c:pt idx="4">
                  <c:v>90</c:v>
                </c:pt>
              </c:numCache>
            </c:numRef>
          </c:val>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a:defRPr sz="1200"/>
          </a:pPr>
          <a:endParaRPr lang="en-US"/>
        </a:p>
      </c:txPr>
    </c:legend>
    <c:plotVisOnly val="1"/>
    <c:dispBlanksAs val="gap"/>
    <c:showDLblsOverMax val="0"/>
  </c:chart>
  <c:txPr>
    <a:bodyPr/>
    <a:lstStyle/>
    <a:p>
      <a:pPr>
        <a:defRPr sz="1100">
          <a:latin typeface="Times New Roman" pitchFamily="18" charset="0"/>
          <a:cs typeface="Times New Roman"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Sheet2!$I$2</c:f>
              <c:strCache>
                <c:ptCount val="1"/>
                <c:pt idx="0">
                  <c:v>R</c:v>
                </c:pt>
              </c:strCache>
            </c:strRef>
          </c:tx>
          <c:invertIfNegative val="0"/>
          <c:cat>
            <c:strRef>
              <c:f>Sheet2!$H$3:$H$5</c:f>
              <c:strCache>
                <c:ptCount val="3"/>
                <c:pt idx="0">
                  <c:v>TD</c:v>
                </c:pt>
                <c:pt idx="1">
                  <c:v>CTD</c:v>
                </c:pt>
                <c:pt idx="2">
                  <c:v>MPT</c:v>
                </c:pt>
              </c:strCache>
            </c:strRef>
          </c:cat>
          <c:val>
            <c:numRef>
              <c:f>Sheet2!$I$3:$I$5</c:f>
              <c:numCache>
                <c:formatCode>General</c:formatCode>
                <c:ptCount val="3"/>
                <c:pt idx="0">
                  <c:v>24</c:v>
                </c:pt>
                <c:pt idx="1">
                  <c:v>3</c:v>
                </c:pt>
                <c:pt idx="2">
                  <c:v>2</c:v>
                </c:pt>
              </c:numCache>
            </c:numRef>
          </c:val>
        </c:ser>
        <c:ser>
          <c:idx val="1"/>
          <c:order val="1"/>
          <c:tx>
            <c:strRef>
              <c:f>Sheet2!$J$2</c:f>
              <c:strCache>
                <c:ptCount val="1"/>
                <c:pt idx="0">
                  <c:v>NR</c:v>
                </c:pt>
              </c:strCache>
            </c:strRef>
          </c:tx>
          <c:invertIfNegative val="0"/>
          <c:cat>
            <c:strRef>
              <c:f>Sheet2!$H$3:$H$5</c:f>
              <c:strCache>
                <c:ptCount val="3"/>
                <c:pt idx="0">
                  <c:v>TD</c:v>
                </c:pt>
                <c:pt idx="1">
                  <c:v>CTD</c:v>
                </c:pt>
                <c:pt idx="2">
                  <c:v>MPT</c:v>
                </c:pt>
              </c:strCache>
            </c:strRef>
          </c:cat>
          <c:val>
            <c:numRef>
              <c:f>Sheet2!$J$3:$J$5</c:f>
              <c:numCache>
                <c:formatCode>General</c:formatCode>
                <c:ptCount val="3"/>
                <c:pt idx="0">
                  <c:v>17</c:v>
                </c:pt>
                <c:pt idx="1">
                  <c:v>4</c:v>
                </c:pt>
                <c:pt idx="2">
                  <c:v>1</c:v>
                </c:pt>
              </c:numCache>
            </c:numRef>
          </c:val>
        </c:ser>
        <c:dLbls>
          <c:showLegendKey val="0"/>
          <c:showVal val="0"/>
          <c:showCatName val="0"/>
          <c:showSerName val="0"/>
          <c:showPercent val="0"/>
          <c:showBubbleSize val="0"/>
        </c:dLbls>
        <c:gapWidth val="150"/>
        <c:overlap val="100"/>
        <c:axId val="141319552"/>
        <c:axId val="141321344"/>
      </c:barChart>
      <c:catAx>
        <c:axId val="141319552"/>
        <c:scaling>
          <c:orientation val="minMax"/>
        </c:scaling>
        <c:delete val="0"/>
        <c:axPos val="b"/>
        <c:majorTickMark val="out"/>
        <c:minorTickMark val="none"/>
        <c:tickLblPos val="nextTo"/>
        <c:crossAx val="141321344"/>
        <c:crosses val="autoZero"/>
        <c:auto val="1"/>
        <c:lblAlgn val="ctr"/>
        <c:lblOffset val="100"/>
        <c:noMultiLvlLbl val="0"/>
      </c:catAx>
      <c:valAx>
        <c:axId val="141321344"/>
        <c:scaling>
          <c:orientation val="minMax"/>
        </c:scaling>
        <c:delete val="0"/>
        <c:axPos val="l"/>
        <c:majorGridlines/>
        <c:numFmt formatCode="General" sourceLinked="1"/>
        <c:majorTickMark val="out"/>
        <c:minorTickMark val="none"/>
        <c:tickLblPos val="nextTo"/>
        <c:crossAx val="141319552"/>
        <c:crosses val="autoZero"/>
        <c:crossBetween val="between"/>
      </c:valAx>
      <c:dTable>
        <c:showHorzBorder val="1"/>
        <c:showVertBorder val="1"/>
        <c:showOutline val="1"/>
        <c:showKeys val="0"/>
      </c:dTable>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ZAG</a:t>
            </a:r>
          </a:p>
        </c:rich>
      </c:tx>
      <c:overlay val="0"/>
    </c:title>
    <c:autoTitleDeleted val="0"/>
    <c:plotArea>
      <c:layout/>
      <c:lineChart>
        <c:grouping val="standard"/>
        <c:varyColors val="0"/>
        <c:ser>
          <c:idx val="0"/>
          <c:order val="0"/>
          <c:tx>
            <c:strRef>
              <c:f>'elisa scatared chart'!$H$4</c:f>
              <c:strCache>
                <c:ptCount val="1"/>
                <c:pt idx="0">
                  <c:v>R</c:v>
                </c:pt>
              </c:strCache>
            </c:strRef>
          </c:tx>
          <c:spPr>
            <a:ln>
              <a:noFill/>
            </a:ln>
          </c:spPr>
          <c:marker>
            <c:symbol val="square"/>
            <c:size val="4"/>
          </c:marker>
          <c:trendline>
            <c:trendlineType val="linear"/>
            <c:dispRSqr val="1"/>
            <c:dispEq val="0"/>
            <c:trendlineLbl>
              <c:layout>
                <c:manualLayout>
                  <c:x val="0.27282742782152231"/>
                  <c:y val="0.19948490813648295"/>
                </c:manualLayout>
              </c:layout>
              <c:numFmt formatCode="General" sourceLinked="0"/>
              <c:txPr>
                <a:bodyPr/>
                <a:lstStyle/>
                <a:p>
                  <a:pPr>
                    <a:defRPr/>
                  </a:pPr>
                  <a:endParaRPr lang="en-US"/>
                </a:p>
              </c:txPr>
            </c:trendlineLbl>
          </c:trendline>
          <c:val>
            <c:numRef>
              <c:f>'elisa scatared chart'!$H$5:$H$33</c:f>
              <c:numCache>
                <c:formatCode>0</c:formatCode>
                <c:ptCount val="29"/>
                <c:pt idx="0">
                  <c:v>46.94</c:v>
                </c:pt>
                <c:pt idx="1">
                  <c:v>76.59</c:v>
                </c:pt>
                <c:pt idx="2">
                  <c:v>38.35</c:v>
                </c:pt>
                <c:pt idx="3">
                  <c:v>38.270000000000003</c:v>
                </c:pt>
                <c:pt idx="4">
                  <c:v>64.78</c:v>
                </c:pt>
                <c:pt idx="5">
                  <c:v>67.81</c:v>
                </c:pt>
                <c:pt idx="6">
                  <c:v>49.15</c:v>
                </c:pt>
                <c:pt idx="7">
                  <c:v>55.06</c:v>
                </c:pt>
                <c:pt idx="8">
                  <c:v>61.27</c:v>
                </c:pt>
                <c:pt idx="9">
                  <c:v>44.01</c:v>
                </c:pt>
                <c:pt idx="10">
                  <c:v>42.54</c:v>
                </c:pt>
                <c:pt idx="11">
                  <c:v>52.9</c:v>
                </c:pt>
                <c:pt idx="12">
                  <c:v>58.06</c:v>
                </c:pt>
                <c:pt idx="13">
                  <c:v>52.08</c:v>
                </c:pt>
                <c:pt idx="14">
                  <c:v>43.46</c:v>
                </c:pt>
                <c:pt idx="15">
                  <c:v>49.35</c:v>
                </c:pt>
                <c:pt idx="16">
                  <c:v>67.739999999999995</c:v>
                </c:pt>
                <c:pt idx="17">
                  <c:v>74.75</c:v>
                </c:pt>
                <c:pt idx="18">
                  <c:v>35.968000000000004</c:v>
                </c:pt>
                <c:pt idx="19">
                  <c:v>41.09</c:v>
                </c:pt>
                <c:pt idx="20">
                  <c:v>20.716999999999999</c:v>
                </c:pt>
                <c:pt idx="21">
                  <c:v>50.984000000000002</c:v>
                </c:pt>
                <c:pt idx="22">
                  <c:v>43.787999999999997</c:v>
                </c:pt>
                <c:pt idx="23">
                  <c:v>32.761000000000003</c:v>
                </c:pt>
                <c:pt idx="24">
                  <c:v>21.068999999999999</c:v>
                </c:pt>
                <c:pt idx="25">
                  <c:v>46.39</c:v>
                </c:pt>
                <c:pt idx="26">
                  <c:v>90.21</c:v>
                </c:pt>
                <c:pt idx="27">
                  <c:v>37.880000000000003</c:v>
                </c:pt>
                <c:pt idx="28">
                  <c:v>41.64</c:v>
                </c:pt>
              </c:numCache>
            </c:numRef>
          </c:val>
          <c:smooth val="0"/>
        </c:ser>
        <c:ser>
          <c:idx val="1"/>
          <c:order val="1"/>
          <c:tx>
            <c:strRef>
              <c:f>'elisa scatared chart'!$I$4</c:f>
              <c:strCache>
                <c:ptCount val="1"/>
                <c:pt idx="0">
                  <c:v>NR</c:v>
                </c:pt>
              </c:strCache>
            </c:strRef>
          </c:tx>
          <c:spPr>
            <a:ln>
              <a:noFill/>
            </a:ln>
          </c:spPr>
          <c:marker>
            <c:symbol val="square"/>
            <c:size val="4"/>
          </c:marker>
          <c:trendline>
            <c:spPr>
              <a:ln w="12700">
                <a:noFill/>
              </a:ln>
            </c:spPr>
            <c:trendlineType val="log"/>
            <c:dispRSqr val="0"/>
            <c:dispEq val="0"/>
          </c:trendline>
          <c:val>
            <c:numRef>
              <c:f>'elisa scatared chart'!$I$5:$I$33</c:f>
              <c:numCache>
                <c:formatCode>0</c:formatCode>
                <c:ptCount val="29"/>
                <c:pt idx="0">
                  <c:v>88.33</c:v>
                </c:pt>
                <c:pt idx="1">
                  <c:v>62.2</c:v>
                </c:pt>
                <c:pt idx="2">
                  <c:v>79.08</c:v>
                </c:pt>
                <c:pt idx="3">
                  <c:v>57.28</c:v>
                </c:pt>
                <c:pt idx="4">
                  <c:v>49.22</c:v>
                </c:pt>
                <c:pt idx="5">
                  <c:v>68.53</c:v>
                </c:pt>
                <c:pt idx="6">
                  <c:v>43.39</c:v>
                </c:pt>
                <c:pt idx="7">
                  <c:v>66.489999999999995</c:v>
                </c:pt>
                <c:pt idx="8">
                  <c:v>55.6</c:v>
                </c:pt>
                <c:pt idx="9">
                  <c:v>65.7</c:v>
                </c:pt>
                <c:pt idx="10">
                  <c:v>53.64</c:v>
                </c:pt>
                <c:pt idx="11">
                  <c:v>73.12</c:v>
                </c:pt>
                <c:pt idx="12">
                  <c:v>75.08</c:v>
                </c:pt>
                <c:pt idx="13">
                  <c:v>80.08</c:v>
                </c:pt>
                <c:pt idx="14">
                  <c:v>72.599999999999994</c:v>
                </c:pt>
                <c:pt idx="15">
                  <c:v>60.28</c:v>
                </c:pt>
                <c:pt idx="16">
                  <c:v>55.25</c:v>
                </c:pt>
                <c:pt idx="17">
                  <c:v>90.21</c:v>
                </c:pt>
                <c:pt idx="18">
                  <c:v>64.75</c:v>
                </c:pt>
                <c:pt idx="19">
                  <c:v>62.32</c:v>
                </c:pt>
                <c:pt idx="20">
                  <c:v>17.78</c:v>
                </c:pt>
                <c:pt idx="21">
                  <c:v>54.19</c:v>
                </c:pt>
              </c:numCache>
            </c:numRef>
          </c:val>
          <c:smooth val="0"/>
        </c:ser>
        <c:dLbls>
          <c:showLegendKey val="0"/>
          <c:showVal val="0"/>
          <c:showCatName val="0"/>
          <c:showSerName val="0"/>
          <c:showPercent val="0"/>
          <c:showBubbleSize val="0"/>
        </c:dLbls>
        <c:marker val="1"/>
        <c:smooth val="0"/>
        <c:axId val="141401088"/>
        <c:axId val="141423360"/>
      </c:lineChart>
      <c:catAx>
        <c:axId val="141401088"/>
        <c:scaling>
          <c:orientation val="minMax"/>
        </c:scaling>
        <c:delete val="1"/>
        <c:axPos val="b"/>
        <c:majorTickMark val="none"/>
        <c:minorTickMark val="none"/>
        <c:tickLblPos val="nextTo"/>
        <c:crossAx val="141423360"/>
        <c:crosses val="autoZero"/>
        <c:auto val="1"/>
        <c:lblAlgn val="ctr"/>
        <c:lblOffset val="100"/>
        <c:noMultiLvlLbl val="0"/>
      </c:catAx>
      <c:valAx>
        <c:axId val="141423360"/>
        <c:scaling>
          <c:orientation val="minMax"/>
        </c:scaling>
        <c:delete val="0"/>
        <c:axPos val="l"/>
        <c:majorGridlines/>
        <c:title>
          <c:tx>
            <c:rich>
              <a:bodyPr/>
              <a:lstStyle/>
              <a:p>
                <a:pPr>
                  <a:defRPr/>
                </a:pPr>
                <a:r>
                  <a:rPr lang="en-IE"/>
                  <a:t>µg/ml </a:t>
                </a:r>
              </a:p>
            </c:rich>
          </c:tx>
          <c:overlay val="0"/>
        </c:title>
        <c:numFmt formatCode="0" sourceLinked="1"/>
        <c:majorTickMark val="none"/>
        <c:minorTickMark val="none"/>
        <c:tickLblPos val="nextTo"/>
        <c:crossAx val="141401088"/>
        <c:crosses val="autoZero"/>
        <c:crossBetween val="between"/>
      </c:valAx>
    </c:plotArea>
    <c:legend>
      <c:legendPos val="r"/>
      <c:layout>
        <c:manualLayout>
          <c:xMode val="edge"/>
          <c:yMode val="edge"/>
          <c:x val="0.76026312335958002"/>
          <c:y val="0.38177456984543601"/>
          <c:w val="0.22307020997375329"/>
          <c:h val="0.35939049285505981"/>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VDB</a:t>
            </a:r>
          </a:p>
        </c:rich>
      </c:tx>
      <c:overlay val="0"/>
    </c:title>
    <c:autoTitleDeleted val="0"/>
    <c:plotArea>
      <c:layout>
        <c:manualLayout>
          <c:layoutTarget val="inner"/>
          <c:xMode val="edge"/>
          <c:yMode val="edge"/>
          <c:x val="0.16037878787878787"/>
          <c:y val="0.12916694006999124"/>
          <c:w val="0.59390081921577986"/>
          <c:h val="0.84738965752406725"/>
        </c:manualLayout>
      </c:layout>
      <c:lineChart>
        <c:grouping val="standard"/>
        <c:varyColors val="0"/>
        <c:ser>
          <c:idx val="0"/>
          <c:order val="0"/>
          <c:tx>
            <c:strRef>
              <c:f>'elisa scatared chart'!$F$4</c:f>
              <c:strCache>
                <c:ptCount val="1"/>
                <c:pt idx="0">
                  <c:v>R</c:v>
                </c:pt>
              </c:strCache>
            </c:strRef>
          </c:tx>
          <c:spPr>
            <a:ln>
              <a:noFill/>
            </a:ln>
          </c:spPr>
          <c:marker>
            <c:symbol val="square"/>
            <c:size val="4"/>
          </c:marker>
          <c:trendline>
            <c:spPr>
              <a:ln>
                <a:solidFill>
                  <a:schemeClr val="tx2"/>
                </a:solidFill>
              </a:ln>
            </c:spPr>
            <c:trendlineType val="linear"/>
            <c:dispRSqr val="1"/>
            <c:dispEq val="0"/>
            <c:trendlineLbl>
              <c:layout>
                <c:manualLayout>
                  <c:x val="0.26420691163604548"/>
                  <c:y val="-0.21069772528433947"/>
                </c:manualLayout>
              </c:layout>
              <c:numFmt formatCode="General" sourceLinked="0"/>
              <c:txPr>
                <a:bodyPr/>
                <a:lstStyle/>
                <a:p>
                  <a:pPr>
                    <a:defRPr/>
                  </a:pPr>
                  <a:endParaRPr lang="en-US"/>
                </a:p>
              </c:txPr>
            </c:trendlineLbl>
          </c:trendline>
          <c:val>
            <c:numRef>
              <c:f>'elisa scatared chart'!$F$5:$F$33</c:f>
              <c:numCache>
                <c:formatCode>0</c:formatCode>
                <c:ptCount val="29"/>
                <c:pt idx="0">
                  <c:v>587.04</c:v>
                </c:pt>
                <c:pt idx="1">
                  <c:v>429.63</c:v>
                </c:pt>
                <c:pt idx="2">
                  <c:v>564.80999999999995</c:v>
                </c:pt>
                <c:pt idx="3">
                  <c:v>449.07</c:v>
                </c:pt>
                <c:pt idx="4">
                  <c:v>782.41</c:v>
                </c:pt>
                <c:pt idx="5">
                  <c:v>765.74</c:v>
                </c:pt>
                <c:pt idx="6">
                  <c:v>718.52</c:v>
                </c:pt>
                <c:pt idx="7">
                  <c:v>750.93</c:v>
                </c:pt>
                <c:pt idx="8">
                  <c:v>596.29999999999995</c:v>
                </c:pt>
                <c:pt idx="9">
                  <c:v>587.04</c:v>
                </c:pt>
                <c:pt idx="10">
                  <c:v>525</c:v>
                </c:pt>
                <c:pt idx="11">
                  <c:v>456.48</c:v>
                </c:pt>
                <c:pt idx="12">
                  <c:v>604.63</c:v>
                </c:pt>
                <c:pt idx="13">
                  <c:v>517.59</c:v>
                </c:pt>
                <c:pt idx="14">
                  <c:v>449.07</c:v>
                </c:pt>
                <c:pt idx="15">
                  <c:v>670.37</c:v>
                </c:pt>
                <c:pt idx="16">
                  <c:v>410.19</c:v>
                </c:pt>
                <c:pt idx="17">
                  <c:v>576.85</c:v>
                </c:pt>
                <c:pt idx="18">
                  <c:v>326</c:v>
                </c:pt>
                <c:pt idx="19">
                  <c:v>565.1</c:v>
                </c:pt>
                <c:pt idx="20">
                  <c:v>440.88</c:v>
                </c:pt>
                <c:pt idx="21">
                  <c:v>597.9</c:v>
                </c:pt>
                <c:pt idx="22">
                  <c:v>193.18</c:v>
                </c:pt>
                <c:pt idx="23">
                  <c:v>223.36</c:v>
                </c:pt>
                <c:pt idx="24">
                  <c:v>338.44</c:v>
                </c:pt>
                <c:pt idx="25">
                  <c:v>787.04</c:v>
                </c:pt>
                <c:pt idx="26">
                  <c:v>374</c:v>
                </c:pt>
                <c:pt idx="27">
                  <c:v>580.91999999999996</c:v>
                </c:pt>
                <c:pt idx="28">
                  <c:v>232</c:v>
                </c:pt>
              </c:numCache>
            </c:numRef>
          </c:val>
          <c:smooth val="0"/>
        </c:ser>
        <c:ser>
          <c:idx val="1"/>
          <c:order val="1"/>
          <c:tx>
            <c:strRef>
              <c:f>'elisa scatared chart'!$G$4</c:f>
              <c:strCache>
                <c:ptCount val="1"/>
                <c:pt idx="0">
                  <c:v>NR</c:v>
                </c:pt>
              </c:strCache>
            </c:strRef>
          </c:tx>
          <c:spPr>
            <a:ln>
              <a:noFill/>
            </a:ln>
          </c:spPr>
          <c:marker>
            <c:symbol val="square"/>
            <c:size val="4"/>
          </c:marker>
          <c:val>
            <c:numRef>
              <c:f>'elisa scatared chart'!$G$5:$G$33</c:f>
              <c:numCache>
                <c:formatCode>0</c:formatCode>
                <c:ptCount val="29"/>
                <c:pt idx="0">
                  <c:v>469.44</c:v>
                </c:pt>
                <c:pt idx="1">
                  <c:v>768.52</c:v>
                </c:pt>
                <c:pt idx="2">
                  <c:v>710.19</c:v>
                </c:pt>
                <c:pt idx="3">
                  <c:v>676.85</c:v>
                </c:pt>
                <c:pt idx="4">
                  <c:v>749.07</c:v>
                </c:pt>
                <c:pt idx="5">
                  <c:v>561.11</c:v>
                </c:pt>
                <c:pt idx="6">
                  <c:v>875.93</c:v>
                </c:pt>
                <c:pt idx="7">
                  <c:v>864.81</c:v>
                </c:pt>
                <c:pt idx="8">
                  <c:v>630.55999999999995</c:v>
                </c:pt>
                <c:pt idx="9">
                  <c:v>638.89</c:v>
                </c:pt>
                <c:pt idx="10">
                  <c:v>532.41</c:v>
                </c:pt>
                <c:pt idx="11">
                  <c:v>558.33000000000004</c:v>
                </c:pt>
                <c:pt idx="12">
                  <c:v>601.4</c:v>
                </c:pt>
                <c:pt idx="13">
                  <c:v>712.11</c:v>
                </c:pt>
                <c:pt idx="14">
                  <c:v>580.17999999999995</c:v>
                </c:pt>
                <c:pt idx="15">
                  <c:v>628.82000000000005</c:v>
                </c:pt>
                <c:pt idx="16">
                  <c:v>699.21</c:v>
                </c:pt>
                <c:pt idx="17">
                  <c:v>1277.1199999999999</c:v>
                </c:pt>
                <c:pt idx="18">
                  <c:v>1051.0999999999999</c:v>
                </c:pt>
                <c:pt idx="19">
                  <c:v>668.26</c:v>
                </c:pt>
                <c:pt idx="20">
                  <c:v>187</c:v>
                </c:pt>
                <c:pt idx="21">
                  <c:v>179</c:v>
                </c:pt>
              </c:numCache>
            </c:numRef>
          </c:val>
          <c:smooth val="0"/>
        </c:ser>
        <c:dLbls>
          <c:showLegendKey val="0"/>
          <c:showVal val="0"/>
          <c:showCatName val="0"/>
          <c:showSerName val="0"/>
          <c:showPercent val="0"/>
          <c:showBubbleSize val="0"/>
        </c:dLbls>
        <c:marker val="1"/>
        <c:smooth val="0"/>
        <c:axId val="142826112"/>
        <c:axId val="142832000"/>
      </c:lineChart>
      <c:catAx>
        <c:axId val="142826112"/>
        <c:scaling>
          <c:orientation val="minMax"/>
        </c:scaling>
        <c:delete val="1"/>
        <c:axPos val="b"/>
        <c:majorTickMark val="none"/>
        <c:minorTickMark val="none"/>
        <c:tickLblPos val="nextTo"/>
        <c:crossAx val="142832000"/>
        <c:crosses val="autoZero"/>
        <c:auto val="1"/>
        <c:lblAlgn val="ctr"/>
        <c:lblOffset val="100"/>
        <c:noMultiLvlLbl val="0"/>
      </c:catAx>
      <c:valAx>
        <c:axId val="142832000"/>
        <c:scaling>
          <c:orientation val="minMax"/>
        </c:scaling>
        <c:delete val="0"/>
        <c:axPos val="l"/>
        <c:majorGridlines/>
        <c:title>
          <c:tx>
            <c:rich>
              <a:bodyPr/>
              <a:lstStyle/>
              <a:p>
                <a:pPr>
                  <a:defRPr/>
                </a:pPr>
                <a:r>
                  <a:rPr lang="en-IE" sz="1200" b="1" i="0" u="none" strike="noStrike" baseline="0">
                    <a:effectLst/>
                  </a:rPr>
                  <a:t>µg/ml</a:t>
                </a:r>
                <a:r>
                  <a:rPr lang="en-IE" sz="1200" b="1" i="0" u="none" strike="noStrike" baseline="0"/>
                  <a:t> </a:t>
                </a:r>
                <a:endParaRPr lang="en-IE"/>
              </a:p>
            </c:rich>
          </c:tx>
          <c:layout>
            <c:manualLayout>
              <c:xMode val="edge"/>
              <c:yMode val="edge"/>
              <c:x val="3.6111111111111108E-2"/>
              <c:y val="0.38667833187518225"/>
            </c:manualLayout>
          </c:layout>
          <c:overlay val="0"/>
        </c:title>
        <c:numFmt formatCode="0" sourceLinked="1"/>
        <c:majorTickMark val="none"/>
        <c:minorTickMark val="none"/>
        <c:tickLblPos val="nextTo"/>
        <c:crossAx val="142826112"/>
        <c:crosses val="autoZero"/>
        <c:crossBetween val="between"/>
      </c:valAx>
    </c:plotArea>
    <c:legend>
      <c:legendPos val="r"/>
      <c:layout>
        <c:manualLayout>
          <c:xMode val="edge"/>
          <c:yMode val="edge"/>
          <c:x val="0.75002734033245844"/>
          <c:y val="9.9367162438028594E-2"/>
          <c:w val="0.22219488188976377"/>
          <c:h val="0.35476086322543016"/>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I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IE"/>
              <a:t>Serum B2M </a:t>
            </a:r>
          </a:p>
        </c:rich>
      </c:tx>
      <c:overlay val="0"/>
    </c:title>
    <c:autoTitleDeleted val="0"/>
    <c:plotArea>
      <c:layout/>
      <c:lineChart>
        <c:grouping val="standard"/>
        <c:varyColors val="0"/>
        <c:ser>
          <c:idx val="0"/>
          <c:order val="0"/>
          <c:tx>
            <c:strRef>
              <c:f>'elisa scatared chart'!$D$4</c:f>
              <c:strCache>
                <c:ptCount val="1"/>
                <c:pt idx="0">
                  <c:v>R</c:v>
                </c:pt>
              </c:strCache>
            </c:strRef>
          </c:tx>
          <c:spPr>
            <a:ln>
              <a:noFill/>
            </a:ln>
          </c:spPr>
          <c:marker>
            <c:symbol val="square"/>
            <c:size val="4"/>
          </c:marker>
          <c:trendline>
            <c:trendlineType val="linear"/>
            <c:dispRSqr val="1"/>
            <c:dispEq val="0"/>
            <c:trendlineLbl>
              <c:layout>
                <c:manualLayout>
                  <c:x val="0.27004965004374454"/>
                  <c:y val="-0.12044983960338292"/>
                </c:manualLayout>
              </c:layout>
              <c:numFmt formatCode="General" sourceLinked="0"/>
              <c:txPr>
                <a:bodyPr/>
                <a:lstStyle/>
                <a:p>
                  <a:pPr>
                    <a:defRPr/>
                  </a:pPr>
                  <a:endParaRPr lang="en-US"/>
                </a:p>
              </c:txPr>
            </c:trendlineLbl>
          </c:trendline>
          <c:val>
            <c:numRef>
              <c:f>'elisa scatared chart'!$D$5:$D$33</c:f>
              <c:numCache>
                <c:formatCode>0</c:formatCode>
                <c:ptCount val="29"/>
                <c:pt idx="0">
                  <c:v>83.69</c:v>
                </c:pt>
                <c:pt idx="1">
                  <c:v>47.48</c:v>
                </c:pt>
                <c:pt idx="2">
                  <c:v>54.24</c:v>
                </c:pt>
                <c:pt idx="3">
                  <c:v>609.4</c:v>
                </c:pt>
                <c:pt idx="4">
                  <c:v>52.37</c:v>
                </c:pt>
                <c:pt idx="5">
                  <c:v>79.23</c:v>
                </c:pt>
                <c:pt idx="6">
                  <c:v>279.42</c:v>
                </c:pt>
                <c:pt idx="7">
                  <c:v>92.36</c:v>
                </c:pt>
                <c:pt idx="8">
                  <c:v>63.81</c:v>
                </c:pt>
                <c:pt idx="9">
                  <c:v>51.05</c:v>
                </c:pt>
                <c:pt idx="10">
                  <c:v>98.06</c:v>
                </c:pt>
                <c:pt idx="11">
                  <c:v>91.91</c:v>
                </c:pt>
                <c:pt idx="12">
                  <c:v>99.4</c:v>
                </c:pt>
                <c:pt idx="13">
                  <c:v>190.61</c:v>
                </c:pt>
                <c:pt idx="14">
                  <c:v>46.71</c:v>
                </c:pt>
                <c:pt idx="15">
                  <c:v>109.84</c:v>
                </c:pt>
                <c:pt idx="16">
                  <c:v>71.989999999999995</c:v>
                </c:pt>
                <c:pt idx="17">
                  <c:v>56.68</c:v>
                </c:pt>
                <c:pt idx="18">
                  <c:v>80</c:v>
                </c:pt>
                <c:pt idx="19">
                  <c:v>29.8</c:v>
                </c:pt>
                <c:pt idx="20">
                  <c:v>40.43</c:v>
                </c:pt>
                <c:pt idx="21">
                  <c:v>70.760000000000005</c:v>
                </c:pt>
                <c:pt idx="22">
                  <c:v>105.3</c:v>
                </c:pt>
                <c:pt idx="23">
                  <c:v>29.9</c:v>
                </c:pt>
                <c:pt idx="24">
                  <c:v>52.1</c:v>
                </c:pt>
                <c:pt idx="25">
                  <c:v>140.34</c:v>
                </c:pt>
                <c:pt idx="26">
                  <c:v>105.3</c:v>
                </c:pt>
                <c:pt idx="27">
                  <c:v>55.09</c:v>
                </c:pt>
                <c:pt idx="28">
                  <c:v>83.7</c:v>
                </c:pt>
              </c:numCache>
            </c:numRef>
          </c:val>
          <c:smooth val="0"/>
        </c:ser>
        <c:ser>
          <c:idx val="1"/>
          <c:order val="1"/>
          <c:tx>
            <c:strRef>
              <c:f>'elisa scatared chart'!$E$4</c:f>
              <c:strCache>
                <c:ptCount val="1"/>
                <c:pt idx="0">
                  <c:v>NR</c:v>
                </c:pt>
              </c:strCache>
            </c:strRef>
          </c:tx>
          <c:spPr>
            <a:ln>
              <a:noFill/>
            </a:ln>
          </c:spPr>
          <c:marker>
            <c:symbol val="square"/>
            <c:size val="4"/>
          </c:marker>
          <c:val>
            <c:numRef>
              <c:f>'elisa scatared chart'!$E$5:$E$33</c:f>
              <c:numCache>
                <c:formatCode>0</c:formatCode>
                <c:ptCount val="29"/>
                <c:pt idx="0">
                  <c:v>50.65</c:v>
                </c:pt>
                <c:pt idx="1">
                  <c:v>215.4</c:v>
                </c:pt>
                <c:pt idx="2">
                  <c:v>142.18</c:v>
                </c:pt>
                <c:pt idx="3">
                  <c:v>102.1</c:v>
                </c:pt>
                <c:pt idx="4">
                  <c:v>128.71</c:v>
                </c:pt>
                <c:pt idx="5">
                  <c:v>196.32</c:v>
                </c:pt>
                <c:pt idx="6">
                  <c:v>321.87</c:v>
                </c:pt>
                <c:pt idx="7">
                  <c:v>155.36000000000001</c:v>
                </c:pt>
                <c:pt idx="8">
                  <c:v>235.85</c:v>
                </c:pt>
                <c:pt idx="9">
                  <c:v>106.99</c:v>
                </c:pt>
                <c:pt idx="10">
                  <c:v>305.37</c:v>
                </c:pt>
                <c:pt idx="11">
                  <c:v>431.43</c:v>
                </c:pt>
                <c:pt idx="12">
                  <c:v>455.3</c:v>
                </c:pt>
                <c:pt idx="13">
                  <c:v>150.21</c:v>
                </c:pt>
                <c:pt idx="14">
                  <c:v>198.8</c:v>
                </c:pt>
                <c:pt idx="15">
                  <c:v>248.2</c:v>
                </c:pt>
                <c:pt idx="16">
                  <c:v>118.5</c:v>
                </c:pt>
                <c:pt idx="17">
                  <c:v>202.5</c:v>
                </c:pt>
                <c:pt idx="18">
                  <c:v>128.53</c:v>
                </c:pt>
                <c:pt idx="19">
                  <c:v>237.84</c:v>
                </c:pt>
                <c:pt idx="20">
                  <c:v>188</c:v>
                </c:pt>
                <c:pt idx="21">
                  <c:v>189.1</c:v>
                </c:pt>
              </c:numCache>
            </c:numRef>
          </c:val>
          <c:smooth val="0"/>
        </c:ser>
        <c:dLbls>
          <c:showLegendKey val="0"/>
          <c:showVal val="0"/>
          <c:showCatName val="0"/>
          <c:showSerName val="0"/>
          <c:showPercent val="0"/>
          <c:showBubbleSize val="0"/>
        </c:dLbls>
        <c:marker val="1"/>
        <c:smooth val="0"/>
        <c:axId val="142862592"/>
        <c:axId val="142864384"/>
      </c:lineChart>
      <c:catAx>
        <c:axId val="142862592"/>
        <c:scaling>
          <c:orientation val="minMax"/>
        </c:scaling>
        <c:delete val="1"/>
        <c:axPos val="b"/>
        <c:majorTickMark val="none"/>
        <c:minorTickMark val="none"/>
        <c:tickLblPos val="nextTo"/>
        <c:crossAx val="142864384"/>
        <c:crosses val="autoZero"/>
        <c:auto val="1"/>
        <c:lblAlgn val="ctr"/>
        <c:lblOffset val="100"/>
        <c:noMultiLvlLbl val="0"/>
      </c:catAx>
      <c:valAx>
        <c:axId val="142864384"/>
        <c:scaling>
          <c:orientation val="minMax"/>
        </c:scaling>
        <c:delete val="0"/>
        <c:axPos val="l"/>
        <c:majorGridlines/>
        <c:title>
          <c:tx>
            <c:rich>
              <a:bodyPr/>
              <a:lstStyle/>
              <a:p>
                <a:pPr>
                  <a:defRPr/>
                </a:pPr>
                <a:r>
                  <a:rPr lang="en-IE"/>
                  <a:t>µg/ml</a:t>
                </a:r>
              </a:p>
            </c:rich>
          </c:tx>
          <c:overlay val="0"/>
        </c:title>
        <c:numFmt formatCode="0" sourceLinked="1"/>
        <c:majorTickMark val="none"/>
        <c:minorTickMark val="none"/>
        <c:tickLblPos val="nextTo"/>
        <c:crossAx val="142862592"/>
        <c:crosses val="autoZero"/>
        <c:crossBetween val="between"/>
      </c:valAx>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1 Thesis font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422</Pages>
  <Words>144293</Words>
  <Characters>822474</Characters>
  <Application>Microsoft Office Word</Application>
  <DocSecurity>0</DocSecurity>
  <Lines>6853</Lines>
  <Paragraphs>1929</Paragraphs>
  <ScaleCrop>false</ScaleCrop>
  <HeadingPairs>
    <vt:vector size="2" baseType="variant">
      <vt:variant>
        <vt:lpstr>Title</vt:lpstr>
      </vt:variant>
      <vt:variant>
        <vt:i4>1</vt:i4>
      </vt:variant>
    </vt:vector>
  </HeadingPairs>
  <TitlesOfParts>
    <vt:vector size="1" baseType="lpstr">
      <vt:lpstr>1</vt:lpstr>
    </vt:vector>
  </TitlesOfParts>
  <Company>DCU</Company>
  <LinksUpToDate>false</LinksUpToDate>
  <CharactersWithSpaces>964838</CharactersWithSpaces>
  <SharedDoc>false</SharedDoc>
  <HLinks>
    <vt:vector size="4470" baseType="variant">
      <vt:variant>
        <vt:i4>7405631</vt:i4>
      </vt:variant>
      <vt:variant>
        <vt:i4>4806</vt:i4>
      </vt:variant>
      <vt:variant>
        <vt:i4>0</vt:i4>
      </vt:variant>
      <vt:variant>
        <vt:i4>5</vt:i4>
      </vt:variant>
      <vt:variant>
        <vt:lpwstr/>
      </vt:variant>
      <vt:variant>
        <vt:lpwstr>_ENREF_242</vt:lpwstr>
      </vt:variant>
      <vt:variant>
        <vt:i4>7798841</vt:i4>
      </vt:variant>
      <vt:variant>
        <vt:i4>4800</vt:i4>
      </vt:variant>
      <vt:variant>
        <vt:i4>0</vt:i4>
      </vt:variant>
      <vt:variant>
        <vt:i4>5</vt:i4>
      </vt:variant>
      <vt:variant>
        <vt:lpwstr/>
      </vt:variant>
      <vt:variant>
        <vt:lpwstr>_ENREF_224</vt:lpwstr>
      </vt:variant>
      <vt:variant>
        <vt:i4>7929917</vt:i4>
      </vt:variant>
      <vt:variant>
        <vt:i4>4797</vt:i4>
      </vt:variant>
      <vt:variant>
        <vt:i4>0</vt:i4>
      </vt:variant>
      <vt:variant>
        <vt:i4>5</vt:i4>
      </vt:variant>
      <vt:variant>
        <vt:lpwstr/>
      </vt:variant>
      <vt:variant>
        <vt:lpwstr>_ENREF_169</vt:lpwstr>
      </vt:variant>
      <vt:variant>
        <vt:i4>7340095</vt:i4>
      </vt:variant>
      <vt:variant>
        <vt:i4>4789</vt:i4>
      </vt:variant>
      <vt:variant>
        <vt:i4>0</vt:i4>
      </vt:variant>
      <vt:variant>
        <vt:i4>5</vt:i4>
      </vt:variant>
      <vt:variant>
        <vt:lpwstr/>
      </vt:variant>
      <vt:variant>
        <vt:lpwstr>_ENREF_243</vt:lpwstr>
      </vt:variant>
      <vt:variant>
        <vt:i4>7798845</vt:i4>
      </vt:variant>
      <vt:variant>
        <vt:i4>4786</vt:i4>
      </vt:variant>
      <vt:variant>
        <vt:i4>0</vt:i4>
      </vt:variant>
      <vt:variant>
        <vt:i4>5</vt:i4>
      </vt:variant>
      <vt:variant>
        <vt:lpwstr/>
      </vt:variant>
      <vt:variant>
        <vt:lpwstr>_ENREF_167</vt:lpwstr>
      </vt:variant>
      <vt:variant>
        <vt:i4>7471162</vt:i4>
      </vt:variant>
      <vt:variant>
        <vt:i4>4778</vt:i4>
      </vt:variant>
      <vt:variant>
        <vt:i4>0</vt:i4>
      </vt:variant>
      <vt:variant>
        <vt:i4>5</vt:i4>
      </vt:variant>
      <vt:variant>
        <vt:lpwstr/>
      </vt:variant>
      <vt:variant>
        <vt:lpwstr>_ENREF_112</vt:lpwstr>
      </vt:variant>
      <vt:variant>
        <vt:i4>8060989</vt:i4>
      </vt:variant>
      <vt:variant>
        <vt:i4>4775</vt:i4>
      </vt:variant>
      <vt:variant>
        <vt:i4>0</vt:i4>
      </vt:variant>
      <vt:variant>
        <vt:i4>5</vt:i4>
      </vt:variant>
      <vt:variant>
        <vt:lpwstr/>
      </vt:variant>
      <vt:variant>
        <vt:lpwstr>_ENREF_268</vt:lpwstr>
      </vt:variant>
      <vt:variant>
        <vt:i4>4194315</vt:i4>
      </vt:variant>
      <vt:variant>
        <vt:i4>4772</vt:i4>
      </vt:variant>
      <vt:variant>
        <vt:i4>0</vt:i4>
      </vt:variant>
      <vt:variant>
        <vt:i4>5</vt:i4>
      </vt:variant>
      <vt:variant>
        <vt:lpwstr/>
      </vt:variant>
      <vt:variant>
        <vt:lpwstr>_ENREF_12</vt:lpwstr>
      </vt:variant>
      <vt:variant>
        <vt:i4>7798834</vt:i4>
      </vt:variant>
      <vt:variant>
        <vt:i4>4764</vt:i4>
      </vt:variant>
      <vt:variant>
        <vt:i4>0</vt:i4>
      </vt:variant>
      <vt:variant>
        <vt:i4>5</vt:i4>
      </vt:variant>
      <vt:variant>
        <vt:lpwstr/>
      </vt:variant>
      <vt:variant>
        <vt:lpwstr>_ENREF_197</vt:lpwstr>
      </vt:variant>
      <vt:variant>
        <vt:i4>7929913</vt:i4>
      </vt:variant>
      <vt:variant>
        <vt:i4>4761</vt:i4>
      </vt:variant>
      <vt:variant>
        <vt:i4>0</vt:i4>
      </vt:variant>
      <vt:variant>
        <vt:i4>5</vt:i4>
      </vt:variant>
      <vt:variant>
        <vt:lpwstr/>
      </vt:variant>
      <vt:variant>
        <vt:lpwstr>_ENREF_129</vt:lpwstr>
      </vt:variant>
      <vt:variant>
        <vt:i4>7536691</vt:i4>
      </vt:variant>
      <vt:variant>
        <vt:i4>4753</vt:i4>
      </vt:variant>
      <vt:variant>
        <vt:i4>0</vt:i4>
      </vt:variant>
      <vt:variant>
        <vt:i4>5</vt:i4>
      </vt:variant>
      <vt:variant>
        <vt:lpwstr/>
      </vt:variant>
      <vt:variant>
        <vt:lpwstr>_ENREF_280</vt:lpwstr>
      </vt:variant>
      <vt:variant>
        <vt:i4>4784139</vt:i4>
      </vt:variant>
      <vt:variant>
        <vt:i4>4745</vt:i4>
      </vt:variant>
      <vt:variant>
        <vt:i4>0</vt:i4>
      </vt:variant>
      <vt:variant>
        <vt:i4>5</vt:i4>
      </vt:variant>
      <vt:variant>
        <vt:lpwstr/>
      </vt:variant>
      <vt:variant>
        <vt:lpwstr>_ENREF_87</vt:lpwstr>
      </vt:variant>
      <vt:variant>
        <vt:i4>7471165</vt:i4>
      </vt:variant>
      <vt:variant>
        <vt:i4>4739</vt:i4>
      </vt:variant>
      <vt:variant>
        <vt:i4>0</vt:i4>
      </vt:variant>
      <vt:variant>
        <vt:i4>5</vt:i4>
      </vt:variant>
      <vt:variant>
        <vt:lpwstr/>
      </vt:variant>
      <vt:variant>
        <vt:lpwstr>_ENREF_162</vt:lpwstr>
      </vt:variant>
      <vt:variant>
        <vt:i4>4194315</vt:i4>
      </vt:variant>
      <vt:variant>
        <vt:i4>4736</vt:i4>
      </vt:variant>
      <vt:variant>
        <vt:i4>0</vt:i4>
      </vt:variant>
      <vt:variant>
        <vt:i4>5</vt:i4>
      </vt:variant>
      <vt:variant>
        <vt:lpwstr/>
      </vt:variant>
      <vt:variant>
        <vt:lpwstr>_ENREF_17</vt:lpwstr>
      </vt:variant>
      <vt:variant>
        <vt:i4>4521995</vt:i4>
      </vt:variant>
      <vt:variant>
        <vt:i4>4728</vt:i4>
      </vt:variant>
      <vt:variant>
        <vt:i4>0</vt:i4>
      </vt:variant>
      <vt:variant>
        <vt:i4>5</vt:i4>
      </vt:variant>
      <vt:variant>
        <vt:lpwstr/>
      </vt:variant>
      <vt:variant>
        <vt:lpwstr>_ENREF_44</vt:lpwstr>
      </vt:variant>
      <vt:variant>
        <vt:i4>4718603</vt:i4>
      </vt:variant>
      <vt:variant>
        <vt:i4>4725</vt:i4>
      </vt:variant>
      <vt:variant>
        <vt:i4>0</vt:i4>
      </vt:variant>
      <vt:variant>
        <vt:i4>5</vt:i4>
      </vt:variant>
      <vt:variant>
        <vt:lpwstr/>
      </vt:variant>
      <vt:variant>
        <vt:lpwstr>_ENREF_96</vt:lpwstr>
      </vt:variant>
      <vt:variant>
        <vt:i4>7995450</vt:i4>
      </vt:variant>
      <vt:variant>
        <vt:i4>4717</vt:i4>
      </vt:variant>
      <vt:variant>
        <vt:i4>0</vt:i4>
      </vt:variant>
      <vt:variant>
        <vt:i4>5</vt:i4>
      </vt:variant>
      <vt:variant>
        <vt:lpwstr/>
      </vt:variant>
      <vt:variant>
        <vt:lpwstr>_ENREF_219</vt:lpwstr>
      </vt:variant>
      <vt:variant>
        <vt:i4>7536697</vt:i4>
      </vt:variant>
      <vt:variant>
        <vt:i4>4709</vt:i4>
      </vt:variant>
      <vt:variant>
        <vt:i4>0</vt:i4>
      </vt:variant>
      <vt:variant>
        <vt:i4>5</vt:i4>
      </vt:variant>
      <vt:variant>
        <vt:lpwstr/>
      </vt:variant>
      <vt:variant>
        <vt:lpwstr>_ENREF_220</vt:lpwstr>
      </vt:variant>
      <vt:variant>
        <vt:i4>7405619</vt:i4>
      </vt:variant>
      <vt:variant>
        <vt:i4>4703</vt:i4>
      </vt:variant>
      <vt:variant>
        <vt:i4>0</vt:i4>
      </vt:variant>
      <vt:variant>
        <vt:i4>5</vt:i4>
      </vt:variant>
      <vt:variant>
        <vt:lpwstr/>
      </vt:variant>
      <vt:variant>
        <vt:lpwstr>_ENREF_181</vt:lpwstr>
      </vt:variant>
      <vt:variant>
        <vt:i4>7340082</vt:i4>
      </vt:variant>
      <vt:variant>
        <vt:i4>4695</vt:i4>
      </vt:variant>
      <vt:variant>
        <vt:i4>0</vt:i4>
      </vt:variant>
      <vt:variant>
        <vt:i4>5</vt:i4>
      </vt:variant>
      <vt:variant>
        <vt:lpwstr/>
      </vt:variant>
      <vt:variant>
        <vt:lpwstr>_ENREF_293</vt:lpwstr>
      </vt:variant>
      <vt:variant>
        <vt:i4>4390923</vt:i4>
      </vt:variant>
      <vt:variant>
        <vt:i4>4692</vt:i4>
      </vt:variant>
      <vt:variant>
        <vt:i4>0</vt:i4>
      </vt:variant>
      <vt:variant>
        <vt:i4>5</vt:i4>
      </vt:variant>
      <vt:variant>
        <vt:lpwstr/>
      </vt:variant>
      <vt:variant>
        <vt:lpwstr>_ENREF_29</vt:lpwstr>
      </vt:variant>
      <vt:variant>
        <vt:i4>7405628</vt:i4>
      </vt:variant>
      <vt:variant>
        <vt:i4>4684</vt:i4>
      </vt:variant>
      <vt:variant>
        <vt:i4>0</vt:i4>
      </vt:variant>
      <vt:variant>
        <vt:i4>5</vt:i4>
      </vt:variant>
      <vt:variant>
        <vt:lpwstr/>
      </vt:variant>
      <vt:variant>
        <vt:lpwstr>_ENREF_272</vt:lpwstr>
      </vt:variant>
      <vt:variant>
        <vt:i4>7995454</vt:i4>
      </vt:variant>
      <vt:variant>
        <vt:i4>4681</vt:i4>
      </vt:variant>
      <vt:variant>
        <vt:i4>0</vt:i4>
      </vt:variant>
      <vt:variant>
        <vt:i4>5</vt:i4>
      </vt:variant>
      <vt:variant>
        <vt:lpwstr/>
      </vt:variant>
      <vt:variant>
        <vt:lpwstr>_ENREF_259</vt:lpwstr>
      </vt:variant>
      <vt:variant>
        <vt:i4>4390923</vt:i4>
      </vt:variant>
      <vt:variant>
        <vt:i4>4673</vt:i4>
      </vt:variant>
      <vt:variant>
        <vt:i4>0</vt:i4>
      </vt:variant>
      <vt:variant>
        <vt:i4>5</vt:i4>
      </vt:variant>
      <vt:variant>
        <vt:lpwstr/>
      </vt:variant>
      <vt:variant>
        <vt:lpwstr>_ENREF_2</vt:lpwstr>
      </vt:variant>
      <vt:variant>
        <vt:i4>7798843</vt:i4>
      </vt:variant>
      <vt:variant>
        <vt:i4>4667</vt:i4>
      </vt:variant>
      <vt:variant>
        <vt:i4>0</vt:i4>
      </vt:variant>
      <vt:variant>
        <vt:i4>5</vt:i4>
      </vt:variant>
      <vt:variant>
        <vt:lpwstr/>
      </vt:variant>
      <vt:variant>
        <vt:lpwstr>_ENREF_305</vt:lpwstr>
      </vt:variant>
      <vt:variant>
        <vt:i4>7798841</vt:i4>
      </vt:variant>
      <vt:variant>
        <vt:i4>4661</vt:i4>
      </vt:variant>
      <vt:variant>
        <vt:i4>0</vt:i4>
      </vt:variant>
      <vt:variant>
        <vt:i4>5</vt:i4>
      </vt:variant>
      <vt:variant>
        <vt:lpwstr/>
      </vt:variant>
      <vt:variant>
        <vt:lpwstr>_ENREF_224</vt:lpwstr>
      </vt:variant>
      <vt:variant>
        <vt:i4>7667762</vt:i4>
      </vt:variant>
      <vt:variant>
        <vt:i4>4658</vt:i4>
      </vt:variant>
      <vt:variant>
        <vt:i4>0</vt:i4>
      </vt:variant>
      <vt:variant>
        <vt:i4>5</vt:i4>
      </vt:variant>
      <vt:variant>
        <vt:lpwstr/>
      </vt:variant>
      <vt:variant>
        <vt:lpwstr>_ENREF_296</vt:lpwstr>
      </vt:variant>
      <vt:variant>
        <vt:i4>7340088</vt:i4>
      </vt:variant>
      <vt:variant>
        <vt:i4>4655</vt:i4>
      </vt:variant>
      <vt:variant>
        <vt:i4>0</vt:i4>
      </vt:variant>
      <vt:variant>
        <vt:i4>5</vt:i4>
      </vt:variant>
      <vt:variant>
        <vt:lpwstr/>
      </vt:variant>
      <vt:variant>
        <vt:lpwstr>_ENREF_332</vt:lpwstr>
      </vt:variant>
      <vt:variant>
        <vt:i4>7602236</vt:i4>
      </vt:variant>
      <vt:variant>
        <vt:i4>4647</vt:i4>
      </vt:variant>
      <vt:variant>
        <vt:i4>0</vt:i4>
      </vt:variant>
      <vt:variant>
        <vt:i4>5</vt:i4>
      </vt:variant>
      <vt:variant>
        <vt:lpwstr/>
      </vt:variant>
      <vt:variant>
        <vt:lpwstr>_ENREF_277</vt:lpwstr>
      </vt:variant>
      <vt:variant>
        <vt:i4>7798840</vt:i4>
      </vt:variant>
      <vt:variant>
        <vt:i4>4644</vt:i4>
      </vt:variant>
      <vt:variant>
        <vt:i4>0</vt:i4>
      </vt:variant>
      <vt:variant>
        <vt:i4>5</vt:i4>
      </vt:variant>
      <vt:variant>
        <vt:lpwstr/>
      </vt:variant>
      <vt:variant>
        <vt:lpwstr>_ENREF_234</vt:lpwstr>
      </vt:variant>
      <vt:variant>
        <vt:i4>7471163</vt:i4>
      </vt:variant>
      <vt:variant>
        <vt:i4>4636</vt:i4>
      </vt:variant>
      <vt:variant>
        <vt:i4>0</vt:i4>
      </vt:variant>
      <vt:variant>
        <vt:i4>5</vt:i4>
      </vt:variant>
      <vt:variant>
        <vt:lpwstr/>
      </vt:variant>
      <vt:variant>
        <vt:lpwstr>_ENREF_300</vt:lpwstr>
      </vt:variant>
      <vt:variant>
        <vt:i4>7864378</vt:i4>
      </vt:variant>
      <vt:variant>
        <vt:i4>4633</vt:i4>
      </vt:variant>
      <vt:variant>
        <vt:i4>0</vt:i4>
      </vt:variant>
      <vt:variant>
        <vt:i4>5</vt:i4>
      </vt:variant>
      <vt:variant>
        <vt:lpwstr/>
      </vt:variant>
      <vt:variant>
        <vt:lpwstr>_ENREF_118</vt:lpwstr>
      </vt:variant>
      <vt:variant>
        <vt:i4>7929912</vt:i4>
      </vt:variant>
      <vt:variant>
        <vt:i4>4625</vt:i4>
      </vt:variant>
      <vt:variant>
        <vt:i4>0</vt:i4>
      </vt:variant>
      <vt:variant>
        <vt:i4>5</vt:i4>
      </vt:variant>
      <vt:variant>
        <vt:lpwstr/>
      </vt:variant>
      <vt:variant>
        <vt:lpwstr>_ENREF_139</vt:lpwstr>
      </vt:variant>
      <vt:variant>
        <vt:i4>7864383</vt:i4>
      </vt:variant>
      <vt:variant>
        <vt:i4>4622</vt:i4>
      </vt:variant>
      <vt:variant>
        <vt:i4>0</vt:i4>
      </vt:variant>
      <vt:variant>
        <vt:i4>5</vt:i4>
      </vt:variant>
      <vt:variant>
        <vt:lpwstr/>
      </vt:variant>
      <vt:variant>
        <vt:lpwstr>_ENREF_148</vt:lpwstr>
      </vt:variant>
      <vt:variant>
        <vt:i4>7340083</vt:i4>
      </vt:variant>
      <vt:variant>
        <vt:i4>4614</vt:i4>
      </vt:variant>
      <vt:variant>
        <vt:i4>0</vt:i4>
      </vt:variant>
      <vt:variant>
        <vt:i4>5</vt:i4>
      </vt:variant>
      <vt:variant>
        <vt:lpwstr/>
      </vt:variant>
      <vt:variant>
        <vt:lpwstr>_ENREF_180</vt:lpwstr>
      </vt:variant>
      <vt:variant>
        <vt:i4>7471162</vt:i4>
      </vt:variant>
      <vt:variant>
        <vt:i4>4611</vt:i4>
      </vt:variant>
      <vt:variant>
        <vt:i4>0</vt:i4>
      </vt:variant>
      <vt:variant>
        <vt:i4>5</vt:i4>
      </vt:variant>
      <vt:variant>
        <vt:lpwstr/>
      </vt:variant>
      <vt:variant>
        <vt:lpwstr>_ENREF_310</vt:lpwstr>
      </vt:variant>
      <vt:variant>
        <vt:i4>7471163</vt:i4>
      </vt:variant>
      <vt:variant>
        <vt:i4>4603</vt:i4>
      </vt:variant>
      <vt:variant>
        <vt:i4>0</vt:i4>
      </vt:variant>
      <vt:variant>
        <vt:i4>5</vt:i4>
      </vt:variant>
      <vt:variant>
        <vt:lpwstr/>
      </vt:variant>
      <vt:variant>
        <vt:lpwstr>_ENREF_300</vt:lpwstr>
      </vt:variant>
      <vt:variant>
        <vt:i4>7864380</vt:i4>
      </vt:variant>
      <vt:variant>
        <vt:i4>4595</vt:i4>
      </vt:variant>
      <vt:variant>
        <vt:i4>0</vt:i4>
      </vt:variant>
      <vt:variant>
        <vt:i4>5</vt:i4>
      </vt:variant>
      <vt:variant>
        <vt:lpwstr/>
      </vt:variant>
      <vt:variant>
        <vt:lpwstr>_ENREF_178</vt:lpwstr>
      </vt:variant>
      <vt:variant>
        <vt:i4>7340082</vt:i4>
      </vt:variant>
      <vt:variant>
        <vt:i4>4592</vt:i4>
      </vt:variant>
      <vt:variant>
        <vt:i4>0</vt:i4>
      </vt:variant>
      <vt:variant>
        <vt:i4>5</vt:i4>
      </vt:variant>
      <vt:variant>
        <vt:lpwstr/>
      </vt:variant>
      <vt:variant>
        <vt:lpwstr>_ENREF_190</vt:lpwstr>
      </vt:variant>
      <vt:variant>
        <vt:i4>7929907</vt:i4>
      </vt:variant>
      <vt:variant>
        <vt:i4>4584</vt:i4>
      </vt:variant>
      <vt:variant>
        <vt:i4>0</vt:i4>
      </vt:variant>
      <vt:variant>
        <vt:i4>5</vt:i4>
      </vt:variant>
      <vt:variant>
        <vt:lpwstr/>
      </vt:variant>
      <vt:variant>
        <vt:lpwstr>_ENREF_189</vt:lpwstr>
      </vt:variant>
      <vt:variant>
        <vt:i4>7471165</vt:i4>
      </vt:variant>
      <vt:variant>
        <vt:i4>4578</vt:i4>
      </vt:variant>
      <vt:variant>
        <vt:i4>0</vt:i4>
      </vt:variant>
      <vt:variant>
        <vt:i4>5</vt:i4>
      </vt:variant>
      <vt:variant>
        <vt:lpwstr/>
      </vt:variant>
      <vt:variant>
        <vt:lpwstr>_ENREF_261</vt:lpwstr>
      </vt:variant>
      <vt:variant>
        <vt:i4>4456459</vt:i4>
      </vt:variant>
      <vt:variant>
        <vt:i4>4575</vt:i4>
      </vt:variant>
      <vt:variant>
        <vt:i4>0</vt:i4>
      </vt:variant>
      <vt:variant>
        <vt:i4>5</vt:i4>
      </vt:variant>
      <vt:variant>
        <vt:lpwstr/>
      </vt:variant>
      <vt:variant>
        <vt:lpwstr>_ENREF_5</vt:lpwstr>
      </vt:variant>
      <vt:variant>
        <vt:i4>4587531</vt:i4>
      </vt:variant>
      <vt:variant>
        <vt:i4>4572</vt:i4>
      </vt:variant>
      <vt:variant>
        <vt:i4>0</vt:i4>
      </vt:variant>
      <vt:variant>
        <vt:i4>5</vt:i4>
      </vt:variant>
      <vt:variant>
        <vt:lpwstr/>
      </vt:variant>
      <vt:variant>
        <vt:lpwstr>_ENREF_74</vt:lpwstr>
      </vt:variant>
      <vt:variant>
        <vt:i4>4653067</vt:i4>
      </vt:variant>
      <vt:variant>
        <vt:i4>4564</vt:i4>
      </vt:variant>
      <vt:variant>
        <vt:i4>0</vt:i4>
      </vt:variant>
      <vt:variant>
        <vt:i4>5</vt:i4>
      </vt:variant>
      <vt:variant>
        <vt:lpwstr/>
      </vt:variant>
      <vt:variant>
        <vt:lpwstr>_ENREF_65</vt:lpwstr>
      </vt:variant>
      <vt:variant>
        <vt:i4>4456459</vt:i4>
      </vt:variant>
      <vt:variant>
        <vt:i4>4561</vt:i4>
      </vt:variant>
      <vt:variant>
        <vt:i4>0</vt:i4>
      </vt:variant>
      <vt:variant>
        <vt:i4>5</vt:i4>
      </vt:variant>
      <vt:variant>
        <vt:lpwstr/>
      </vt:variant>
      <vt:variant>
        <vt:lpwstr>_ENREF_53</vt:lpwstr>
      </vt:variant>
      <vt:variant>
        <vt:i4>7602234</vt:i4>
      </vt:variant>
      <vt:variant>
        <vt:i4>4555</vt:i4>
      </vt:variant>
      <vt:variant>
        <vt:i4>0</vt:i4>
      </vt:variant>
      <vt:variant>
        <vt:i4>5</vt:i4>
      </vt:variant>
      <vt:variant>
        <vt:lpwstr/>
      </vt:variant>
      <vt:variant>
        <vt:lpwstr>_ENREF_114</vt:lpwstr>
      </vt:variant>
      <vt:variant>
        <vt:i4>7405628</vt:i4>
      </vt:variant>
      <vt:variant>
        <vt:i4>4552</vt:i4>
      </vt:variant>
      <vt:variant>
        <vt:i4>0</vt:i4>
      </vt:variant>
      <vt:variant>
        <vt:i4>5</vt:i4>
      </vt:variant>
      <vt:variant>
        <vt:lpwstr/>
      </vt:variant>
      <vt:variant>
        <vt:lpwstr>_ENREF_171</vt:lpwstr>
      </vt:variant>
      <vt:variant>
        <vt:i4>4784139</vt:i4>
      </vt:variant>
      <vt:variant>
        <vt:i4>4547</vt:i4>
      </vt:variant>
      <vt:variant>
        <vt:i4>0</vt:i4>
      </vt:variant>
      <vt:variant>
        <vt:i4>5</vt:i4>
      </vt:variant>
      <vt:variant>
        <vt:lpwstr/>
      </vt:variant>
      <vt:variant>
        <vt:lpwstr>_ENREF_8</vt:lpwstr>
      </vt:variant>
      <vt:variant>
        <vt:i4>7536696</vt:i4>
      </vt:variant>
      <vt:variant>
        <vt:i4>4543</vt:i4>
      </vt:variant>
      <vt:variant>
        <vt:i4>0</vt:i4>
      </vt:variant>
      <vt:variant>
        <vt:i4>5</vt:i4>
      </vt:variant>
      <vt:variant>
        <vt:lpwstr/>
      </vt:variant>
      <vt:variant>
        <vt:lpwstr>_ENREF_133</vt:lpwstr>
      </vt:variant>
      <vt:variant>
        <vt:i4>7602234</vt:i4>
      </vt:variant>
      <vt:variant>
        <vt:i4>4537</vt:i4>
      </vt:variant>
      <vt:variant>
        <vt:i4>0</vt:i4>
      </vt:variant>
      <vt:variant>
        <vt:i4>5</vt:i4>
      </vt:variant>
      <vt:variant>
        <vt:lpwstr/>
      </vt:variant>
      <vt:variant>
        <vt:lpwstr>_ENREF_217</vt:lpwstr>
      </vt:variant>
      <vt:variant>
        <vt:i4>7667769</vt:i4>
      </vt:variant>
      <vt:variant>
        <vt:i4>4534</vt:i4>
      </vt:variant>
      <vt:variant>
        <vt:i4>0</vt:i4>
      </vt:variant>
      <vt:variant>
        <vt:i4>5</vt:i4>
      </vt:variant>
      <vt:variant>
        <vt:lpwstr/>
      </vt:variant>
      <vt:variant>
        <vt:lpwstr>_ENREF_327</vt:lpwstr>
      </vt:variant>
      <vt:variant>
        <vt:i4>7864371</vt:i4>
      </vt:variant>
      <vt:variant>
        <vt:i4>4531</vt:i4>
      </vt:variant>
      <vt:variant>
        <vt:i4>0</vt:i4>
      </vt:variant>
      <vt:variant>
        <vt:i4>5</vt:i4>
      </vt:variant>
      <vt:variant>
        <vt:lpwstr/>
      </vt:variant>
      <vt:variant>
        <vt:lpwstr>_ENREF_188</vt:lpwstr>
      </vt:variant>
      <vt:variant>
        <vt:i4>7667769</vt:i4>
      </vt:variant>
      <vt:variant>
        <vt:i4>4523</vt:i4>
      </vt:variant>
      <vt:variant>
        <vt:i4>0</vt:i4>
      </vt:variant>
      <vt:variant>
        <vt:i4>5</vt:i4>
      </vt:variant>
      <vt:variant>
        <vt:lpwstr/>
      </vt:variant>
      <vt:variant>
        <vt:lpwstr>_ENREF_327</vt:lpwstr>
      </vt:variant>
      <vt:variant>
        <vt:i4>7864371</vt:i4>
      </vt:variant>
      <vt:variant>
        <vt:i4>4520</vt:i4>
      </vt:variant>
      <vt:variant>
        <vt:i4>0</vt:i4>
      </vt:variant>
      <vt:variant>
        <vt:i4>5</vt:i4>
      </vt:variant>
      <vt:variant>
        <vt:lpwstr/>
      </vt:variant>
      <vt:variant>
        <vt:lpwstr>_ENREF_188</vt:lpwstr>
      </vt:variant>
      <vt:variant>
        <vt:i4>7471161</vt:i4>
      </vt:variant>
      <vt:variant>
        <vt:i4>4512</vt:i4>
      </vt:variant>
      <vt:variant>
        <vt:i4>0</vt:i4>
      </vt:variant>
      <vt:variant>
        <vt:i4>5</vt:i4>
      </vt:variant>
      <vt:variant>
        <vt:lpwstr/>
      </vt:variant>
      <vt:variant>
        <vt:lpwstr>_ENREF_221</vt:lpwstr>
      </vt:variant>
      <vt:variant>
        <vt:i4>7602227</vt:i4>
      </vt:variant>
      <vt:variant>
        <vt:i4>4509</vt:i4>
      </vt:variant>
      <vt:variant>
        <vt:i4>0</vt:i4>
      </vt:variant>
      <vt:variant>
        <vt:i4>5</vt:i4>
      </vt:variant>
      <vt:variant>
        <vt:lpwstr/>
      </vt:variant>
      <vt:variant>
        <vt:lpwstr>_ENREF_287</vt:lpwstr>
      </vt:variant>
      <vt:variant>
        <vt:i4>7471165</vt:i4>
      </vt:variant>
      <vt:variant>
        <vt:i4>4501</vt:i4>
      </vt:variant>
      <vt:variant>
        <vt:i4>0</vt:i4>
      </vt:variant>
      <vt:variant>
        <vt:i4>5</vt:i4>
      </vt:variant>
      <vt:variant>
        <vt:lpwstr/>
      </vt:variant>
      <vt:variant>
        <vt:lpwstr>_ENREF_261</vt:lpwstr>
      </vt:variant>
      <vt:variant>
        <vt:i4>7602227</vt:i4>
      </vt:variant>
      <vt:variant>
        <vt:i4>4498</vt:i4>
      </vt:variant>
      <vt:variant>
        <vt:i4>0</vt:i4>
      </vt:variant>
      <vt:variant>
        <vt:i4>5</vt:i4>
      </vt:variant>
      <vt:variant>
        <vt:lpwstr/>
      </vt:variant>
      <vt:variant>
        <vt:lpwstr>_ENREF_287</vt:lpwstr>
      </vt:variant>
      <vt:variant>
        <vt:i4>7340083</vt:i4>
      </vt:variant>
      <vt:variant>
        <vt:i4>4495</vt:i4>
      </vt:variant>
      <vt:variant>
        <vt:i4>0</vt:i4>
      </vt:variant>
      <vt:variant>
        <vt:i4>5</vt:i4>
      </vt:variant>
      <vt:variant>
        <vt:lpwstr/>
      </vt:variant>
      <vt:variant>
        <vt:lpwstr>_ENREF_283</vt:lpwstr>
      </vt:variant>
      <vt:variant>
        <vt:i4>7602227</vt:i4>
      </vt:variant>
      <vt:variant>
        <vt:i4>4487</vt:i4>
      </vt:variant>
      <vt:variant>
        <vt:i4>0</vt:i4>
      </vt:variant>
      <vt:variant>
        <vt:i4>5</vt:i4>
      </vt:variant>
      <vt:variant>
        <vt:lpwstr/>
      </vt:variant>
      <vt:variant>
        <vt:lpwstr>_ENREF_287</vt:lpwstr>
      </vt:variant>
      <vt:variant>
        <vt:i4>7602238</vt:i4>
      </vt:variant>
      <vt:variant>
        <vt:i4>4481</vt:i4>
      </vt:variant>
      <vt:variant>
        <vt:i4>0</vt:i4>
      </vt:variant>
      <vt:variant>
        <vt:i4>5</vt:i4>
      </vt:variant>
      <vt:variant>
        <vt:lpwstr/>
      </vt:variant>
      <vt:variant>
        <vt:lpwstr>_ENREF_257</vt:lpwstr>
      </vt:variant>
      <vt:variant>
        <vt:i4>7405624</vt:i4>
      </vt:variant>
      <vt:variant>
        <vt:i4>4475</vt:i4>
      </vt:variant>
      <vt:variant>
        <vt:i4>0</vt:i4>
      </vt:variant>
      <vt:variant>
        <vt:i4>5</vt:i4>
      </vt:variant>
      <vt:variant>
        <vt:lpwstr/>
      </vt:variant>
      <vt:variant>
        <vt:lpwstr>_ENREF_131</vt:lpwstr>
      </vt:variant>
      <vt:variant>
        <vt:i4>7798844</vt:i4>
      </vt:variant>
      <vt:variant>
        <vt:i4>4467</vt:i4>
      </vt:variant>
      <vt:variant>
        <vt:i4>0</vt:i4>
      </vt:variant>
      <vt:variant>
        <vt:i4>5</vt:i4>
      </vt:variant>
      <vt:variant>
        <vt:lpwstr/>
      </vt:variant>
      <vt:variant>
        <vt:lpwstr>_ENREF_177</vt:lpwstr>
      </vt:variant>
      <vt:variant>
        <vt:i4>7733298</vt:i4>
      </vt:variant>
      <vt:variant>
        <vt:i4>4459</vt:i4>
      </vt:variant>
      <vt:variant>
        <vt:i4>0</vt:i4>
      </vt:variant>
      <vt:variant>
        <vt:i4>5</vt:i4>
      </vt:variant>
      <vt:variant>
        <vt:lpwstr/>
      </vt:variant>
      <vt:variant>
        <vt:lpwstr>_ENREF_295</vt:lpwstr>
      </vt:variant>
      <vt:variant>
        <vt:i4>7536690</vt:i4>
      </vt:variant>
      <vt:variant>
        <vt:i4>4456</vt:i4>
      </vt:variant>
      <vt:variant>
        <vt:i4>0</vt:i4>
      </vt:variant>
      <vt:variant>
        <vt:i4>5</vt:i4>
      </vt:variant>
      <vt:variant>
        <vt:lpwstr/>
      </vt:variant>
      <vt:variant>
        <vt:lpwstr>_ENREF_290</vt:lpwstr>
      </vt:variant>
      <vt:variant>
        <vt:i4>7798834</vt:i4>
      </vt:variant>
      <vt:variant>
        <vt:i4>4448</vt:i4>
      </vt:variant>
      <vt:variant>
        <vt:i4>0</vt:i4>
      </vt:variant>
      <vt:variant>
        <vt:i4>5</vt:i4>
      </vt:variant>
      <vt:variant>
        <vt:lpwstr/>
      </vt:variant>
      <vt:variant>
        <vt:lpwstr>_ENREF_197</vt:lpwstr>
      </vt:variant>
      <vt:variant>
        <vt:i4>4718603</vt:i4>
      </vt:variant>
      <vt:variant>
        <vt:i4>4445</vt:i4>
      </vt:variant>
      <vt:variant>
        <vt:i4>0</vt:i4>
      </vt:variant>
      <vt:variant>
        <vt:i4>5</vt:i4>
      </vt:variant>
      <vt:variant>
        <vt:lpwstr/>
      </vt:variant>
      <vt:variant>
        <vt:lpwstr>_ENREF_95</vt:lpwstr>
      </vt:variant>
      <vt:variant>
        <vt:i4>7536691</vt:i4>
      </vt:variant>
      <vt:variant>
        <vt:i4>4437</vt:i4>
      </vt:variant>
      <vt:variant>
        <vt:i4>0</vt:i4>
      </vt:variant>
      <vt:variant>
        <vt:i4>5</vt:i4>
      </vt:variant>
      <vt:variant>
        <vt:lpwstr/>
      </vt:variant>
      <vt:variant>
        <vt:lpwstr>_ENREF_280</vt:lpwstr>
      </vt:variant>
      <vt:variant>
        <vt:i4>7733306</vt:i4>
      </vt:variant>
      <vt:variant>
        <vt:i4>4434</vt:i4>
      </vt:variant>
      <vt:variant>
        <vt:i4>0</vt:i4>
      </vt:variant>
      <vt:variant>
        <vt:i4>5</vt:i4>
      </vt:variant>
      <vt:variant>
        <vt:lpwstr/>
      </vt:variant>
      <vt:variant>
        <vt:lpwstr>_ENREF_215</vt:lpwstr>
      </vt:variant>
      <vt:variant>
        <vt:i4>7536702</vt:i4>
      </vt:variant>
      <vt:variant>
        <vt:i4>4426</vt:i4>
      </vt:variant>
      <vt:variant>
        <vt:i4>0</vt:i4>
      </vt:variant>
      <vt:variant>
        <vt:i4>5</vt:i4>
      </vt:variant>
      <vt:variant>
        <vt:lpwstr/>
      </vt:variant>
      <vt:variant>
        <vt:lpwstr>_ENREF_250</vt:lpwstr>
      </vt:variant>
      <vt:variant>
        <vt:i4>7929912</vt:i4>
      </vt:variant>
      <vt:variant>
        <vt:i4>4420</vt:i4>
      </vt:variant>
      <vt:variant>
        <vt:i4>0</vt:i4>
      </vt:variant>
      <vt:variant>
        <vt:i4>5</vt:i4>
      </vt:variant>
      <vt:variant>
        <vt:lpwstr/>
      </vt:variant>
      <vt:variant>
        <vt:lpwstr>_ENREF_139</vt:lpwstr>
      </vt:variant>
      <vt:variant>
        <vt:i4>7864383</vt:i4>
      </vt:variant>
      <vt:variant>
        <vt:i4>4417</vt:i4>
      </vt:variant>
      <vt:variant>
        <vt:i4>0</vt:i4>
      </vt:variant>
      <vt:variant>
        <vt:i4>5</vt:i4>
      </vt:variant>
      <vt:variant>
        <vt:lpwstr/>
      </vt:variant>
      <vt:variant>
        <vt:lpwstr>_ENREF_148</vt:lpwstr>
      </vt:variant>
      <vt:variant>
        <vt:i4>7405625</vt:i4>
      </vt:variant>
      <vt:variant>
        <vt:i4>4409</vt:i4>
      </vt:variant>
      <vt:variant>
        <vt:i4>0</vt:i4>
      </vt:variant>
      <vt:variant>
        <vt:i4>5</vt:i4>
      </vt:variant>
      <vt:variant>
        <vt:lpwstr/>
      </vt:variant>
      <vt:variant>
        <vt:lpwstr>_ENREF_323</vt:lpwstr>
      </vt:variant>
      <vt:variant>
        <vt:i4>7536696</vt:i4>
      </vt:variant>
      <vt:variant>
        <vt:i4>4406</vt:i4>
      </vt:variant>
      <vt:variant>
        <vt:i4>0</vt:i4>
      </vt:variant>
      <vt:variant>
        <vt:i4>5</vt:i4>
      </vt:variant>
      <vt:variant>
        <vt:lpwstr/>
      </vt:variant>
      <vt:variant>
        <vt:lpwstr>_ENREF_133</vt:lpwstr>
      </vt:variant>
      <vt:variant>
        <vt:i4>7733305</vt:i4>
      </vt:variant>
      <vt:variant>
        <vt:i4>4398</vt:i4>
      </vt:variant>
      <vt:variant>
        <vt:i4>0</vt:i4>
      </vt:variant>
      <vt:variant>
        <vt:i4>5</vt:i4>
      </vt:variant>
      <vt:variant>
        <vt:lpwstr/>
      </vt:variant>
      <vt:variant>
        <vt:lpwstr>_ENREF_324</vt:lpwstr>
      </vt:variant>
      <vt:variant>
        <vt:i4>7602233</vt:i4>
      </vt:variant>
      <vt:variant>
        <vt:i4>4392</vt:i4>
      </vt:variant>
      <vt:variant>
        <vt:i4>0</vt:i4>
      </vt:variant>
      <vt:variant>
        <vt:i4>5</vt:i4>
      </vt:variant>
      <vt:variant>
        <vt:lpwstr/>
      </vt:variant>
      <vt:variant>
        <vt:lpwstr>_ENREF_124</vt:lpwstr>
      </vt:variant>
      <vt:variant>
        <vt:i4>7602227</vt:i4>
      </vt:variant>
      <vt:variant>
        <vt:i4>4384</vt:i4>
      </vt:variant>
      <vt:variant>
        <vt:i4>0</vt:i4>
      </vt:variant>
      <vt:variant>
        <vt:i4>5</vt:i4>
      </vt:variant>
      <vt:variant>
        <vt:lpwstr/>
      </vt:variant>
      <vt:variant>
        <vt:lpwstr>_ENREF_287</vt:lpwstr>
      </vt:variant>
      <vt:variant>
        <vt:i4>7929907</vt:i4>
      </vt:variant>
      <vt:variant>
        <vt:i4>4378</vt:i4>
      </vt:variant>
      <vt:variant>
        <vt:i4>0</vt:i4>
      </vt:variant>
      <vt:variant>
        <vt:i4>5</vt:i4>
      </vt:variant>
      <vt:variant>
        <vt:lpwstr/>
      </vt:variant>
      <vt:variant>
        <vt:lpwstr>_ENREF_189</vt:lpwstr>
      </vt:variant>
      <vt:variant>
        <vt:i4>4456459</vt:i4>
      </vt:variant>
      <vt:variant>
        <vt:i4>4372</vt:i4>
      </vt:variant>
      <vt:variant>
        <vt:i4>0</vt:i4>
      </vt:variant>
      <vt:variant>
        <vt:i4>5</vt:i4>
      </vt:variant>
      <vt:variant>
        <vt:lpwstr/>
      </vt:variant>
      <vt:variant>
        <vt:lpwstr>_ENREF_5</vt:lpwstr>
      </vt:variant>
      <vt:variant>
        <vt:i4>4587531</vt:i4>
      </vt:variant>
      <vt:variant>
        <vt:i4>4369</vt:i4>
      </vt:variant>
      <vt:variant>
        <vt:i4>0</vt:i4>
      </vt:variant>
      <vt:variant>
        <vt:i4>5</vt:i4>
      </vt:variant>
      <vt:variant>
        <vt:lpwstr/>
      </vt:variant>
      <vt:variant>
        <vt:lpwstr>_ENREF_74</vt:lpwstr>
      </vt:variant>
      <vt:variant>
        <vt:i4>4653067</vt:i4>
      </vt:variant>
      <vt:variant>
        <vt:i4>4361</vt:i4>
      </vt:variant>
      <vt:variant>
        <vt:i4>0</vt:i4>
      </vt:variant>
      <vt:variant>
        <vt:i4>5</vt:i4>
      </vt:variant>
      <vt:variant>
        <vt:lpwstr/>
      </vt:variant>
      <vt:variant>
        <vt:lpwstr>_ENREF_65</vt:lpwstr>
      </vt:variant>
      <vt:variant>
        <vt:i4>4456459</vt:i4>
      </vt:variant>
      <vt:variant>
        <vt:i4>4358</vt:i4>
      </vt:variant>
      <vt:variant>
        <vt:i4>0</vt:i4>
      </vt:variant>
      <vt:variant>
        <vt:i4>5</vt:i4>
      </vt:variant>
      <vt:variant>
        <vt:lpwstr/>
      </vt:variant>
      <vt:variant>
        <vt:lpwstr>_ENREF_53</vt:lpwstr>
      </vt:variant>
      <vt:variant>
        <vt:i4>7340090</vt:i4>
      </vt:variant>
      <vt:variant>
        <vt:i4>4352</vt:i4>
      </vt:variant>
      <vt:variant>
        <vt:i4>0</vt:i4>
      </vt:variant>
      <vt:variant>
        <vt:i4>5</vt:i4>
      </vt:variant>
      <vt:variant>
        <vt:lpwstr/>
      </vt:variant>
      <vt:variant>
        <vt:lpwstr>_ENREF_110</vt:lpwstr>
      </vt:variant>
      <vt:variant>
        <vt:i4>4194315</vt:i4>
      </vt:variant>
      <vt:variant>
        <vt:i4>4349</vt:i4>
      </vt:variant>
      <vt:variant>
        <vt:i4>0</vt:i4>
      </vt:variant>
      <vt:variant>
        <vt:i4>5</vt:i4>
      </vt:variant>
      <vt:variant>
        <vt:lpwstr/>
      </vt:variant>
      <vt:variant>
        <vt:lpwstr>_ENREF_1</vt:lpwstr>
      </vt:variant>
      <vt:variant>
        <vt:i4>4521995</vt:i4>
      </vt:variant>
      <vt:variant>
        <vt:i4>4341</vt:i4>
      </vt:variant>
      <vt:variant>
        <vt:i4>0</vt:i4>
      </vt:variant>
      <vt:variant>
        <vt:i4>5</vt:i4>
      </vt:variant>
      <vt:variant>
        <vt:lpwstr/>
      </vt:variant>
      <vt:variant>
        <vt:lpwstr>_ENREF_49</vt:lpwstr>
      </vt:variant>
      <vt:variant>
        <vt:i4>7536703</vt:i4>
      </vt:variant>
      <vt:variant>
        <vt:i4>4338</vt:i4>
      </vt:variant>
      <vt:variant>
        <vt:i4>0</vt:i4>
      </vt:variant>
      <vt:variant>
        <vt:i4>5</vt:i4>
      </vt:variant>
      <vt:variant>
        <vt:lpwstr/>
      </vt:variant>
      <vt:variant>
        <vt:lpwstr>_ENREF_143</vt:lpwstr>
      </vt:variant>
      <vt:variant>
        <vt:i4>4390923</vt:i4>
      </vt:variant>
      <vt:variant>
        <vt:i4>4330</vt:i4>
      </vt:variant>
      <vt:variant>
        <vt:i4>0</vt:i4>
      </vt:variant>
      <vt:variant>
        <vt:i4>5</vt:i4>
      </vt:variant>
      <vt:variant>
        <vt:lpwstr/>
      </vt:variant>
      <vt:variant>
        <vt:lpwstr>_ENREF_27</vt:lpwstr>
      </vt:variant>
      <vt:variant>
        <vt:i4>7340089</vt:i4>
      </vt:variant>
      <vt:variant>
        <vt:i4>4324</vt:i4>
      </vt:variant>
      <vt:variant>
        <vt:i4>0</vt:i4>
      </vt:variant>
      <vt:variant>
        <vt:i4>5</vt:i4>
      </vt:variant>
      <vt:variant>
        <vt:lpwstr/>
      </vt:variant>
      <vt:variant>
        <vt:lpwstr>_ENREF_322</vt:lpwstr>
      </vt:variant>
      <vt:variant>
        <vt:i4>8060988</vt:i4>
      </vt:variant>
      <vt:variant>
        <vt:i4>4318</vt:i4>
      </vt:variant>
      <vt:variant>
        <vt:i4>0</vt:i4>
      </vt:variant>
      <vt:variant>
        <vt:i4>5</vt:i4>
      </vt:variant>
      <vt:variant>
        <vt:lpwstr/>
      </vt:variant>
      <vt:variant>
        <vt:lpwstr>_ENREF_278</vt:lpwstr>
      </vt:variant>
      <vt:variant>
        <vt:i4>4325387</vt:i4>
      </vt:variant>
      <vt:variant>
        <vt:i4>4315</vt:i4>
      </vt:variant>
      <vt:variant>
        <vt:i4>0</vt:i4>
      </vt:variant>
      <vt:variant>
        <vt:i4>5</vt:i4>
      </vt:variant>
      <vt:variant>
        <vt:lpwstr/>
      </vt:variant>
      <vt:variant>
        <vt:lpwstr>_ENREF_31</vt:lpwstr>
      </vt:variant>
      <vt:variant>
        <vt:i4>7602234</vt:i4>
      </vt:variant>
      <vt:variant>
        <vt:i4>4307</vt:i4>
      </vt:variant>
      <vt:variant>
        <vt:i4>0</vt:i4>
      </vt:variant>
      <vt:variant>
        <vt:i4>5</vt:i4>
      </vt:variant>
      <vt:variant>
        <vt:lpwstr/>
      </vt:variant>
      <vt:variant>
        <vt:lpwstr>_ENREF_114</vt:lpwstr>
      </vt:variant>
      <vt:variant>
        <vt:i4>7405628</vt:i4>
      </vt:variant>
      <vt:variant>
        <vt:i4>4304</vt:i4>
      </vt:variant>
      <vt:variant>
        <vt:i4>0</vt:i4>
      </vt:variant>
      <vt:variant>
        <vt:i4>5</vt:i4>
      </vt:variant>
      <vt:variant>
        <vt:lpwstr/>
      </vt:variant>
      <vt:variant>
        <vt:lpwstr>_ENREF_171</vt:lpwstr>
      </vt:variant>
      <vt:variant>
        <vt:i4>4784139</vt:i4>
      </vt:variant>
      <vt:variant>
        <vt:i4>4299</vt:i4>
      </vt:variant>
      <vt:variant>
        <vt:i4>0</vt:i4>
      </vt:variant>
      <vt:variant>
        <vt:i4>5</vt:i4>
      </vt:variant>
      <vt:variant>
        <vt:lpwstr/>
      </vt:variant>
      <vt:variant>
        <vt:lpwstr>_ENREF_8</vt:lpwstr>
      </vt:variant>
      <vt:variant>
        <vt:i4>4521995</vt:i4>
      </vt:variant>
      <vt:variant>
        <vt:i4>4295</vt:i4>
      </vt:variant>
      <vt:variant>
        <vt:i4>0</vt:i4>
      </vt:variant>
      <vt:variant>
        <vt:i4>5</vt:i4>
      </vt:variant>
      <vt:variant>
        <vt:lpwstr/>
      </vt:variant>
      <vt:variant>
        <vt:lpwstr>_ENREF_41</vt:lpwstr>
      </vt:variant>
      <vt:variant>
        <vt:i4>7471167</vt:i4>
      </vt:variant>
      <vt:variant>
        <vt:i4>4287</vt:i4>
      </vt:variant>
      <vt:variant>
        <vt:i4>0</vt:i4>
      </vt:variant>
      <vt:variant>
        <vt:i4>5</vt:i4>
      </vt:variant>
      <vt:variant>
        <vt:lpwstr/>
      </vt:variant>
      <vt:variant>
        <vt:lpwstr>_ENREF_142</vt:lpwstr>
      </vt:variant>
      <vt:variant>
        <vt:i4>4325387</vt:i4>
      </vt:variant>
      <vt:variant>
        <vt:i4>4284</vt:i4>
      </vt:variant>
      <vt:variant>
        <vt:i4>0</vt:i4>
      </vt:variant>
      <vt:variant>
        <vt:i4>5</vt:i4>
      </vt:variant>
      <vt:variant>
        <vt:lpwstr/>
      </vt:variant>
      <vt:variant>
        <vt:lpwstr>_ENREF_30</vt:lpwstr>
      </vt:variant>
      <vt:variant>
        <vt:i4>4784139</vt:i4>
      </vt:variant>
      <vt:variant>
        <vt:i4>4276</vt:i4>
      </vt:variant>
      <vt:variant>
        <vt:i4>0</vt:i4>
      </vt:variant>
      <vt:variant>
        <vt:i4>5</vt:i4>
      </vt:variant>
      <vt:variant>
        <vt:lpwstr/>
      </vt:variant>
      <vt:variant>
        <vt:lpwstr>_ENREF_84</vt:lpwstr>
      </vt:variant>
      <vt:variant>
        <vt:i4>4521995</vt:i4>
      </vt:variant>
      <vt:variant>
        <vt:i4>4270</vt:i4>
      </vt:variant>
      <vt:variant>
        <vt:i4>0</vt:i4>
      </vt:variant>
      <vt:variant>
        <vt:i4>5</vt:i4>
      </vt:variant>
      <vt:variant>
        <vt:lpwstr/>
      </vt:variant>
      <vt:variant>
        <vt:lpwstr>_ENREF_42</vt:lpwstr>
      </vt:variant>
      <vt:variant>
        <vt:i4>7405626</vt:i4>
      </vt:variant>
      <vt:variant>
        <vt:i4>4264</vt:i4>
      </vt:variant>
      <vt:variant>
        <vt:i4>0</vt:i4>
      </vt:variant>
      <vt:variant>
        <vt:i4>5</vt:i4>
      </vt:variant>
      <vt:variant>
        <vt:lpwstr/>
      </vt:variant>
      <vt:variant>
        <vt:lpwstr>_ENREF_212</vt:lpwstr>
      </vt:variant>
      <vt:variant>
        <vt:i4>4653067</vt:i4>
      </vt:variant>
      <vt:variant>
        <vt:i4>4258</vt:i4>
      </vt:variant>
      <vt:variant>
        <vt:i4>0</vt:i4>
      </vt:variant>
      <vt:variant>
        <vt:i4>5</vt:i4>
      </vt:variant>
      <vt:variant>
        <vt:lpwstr/>
      </vt:variant>
      <vt:variant>
        <vt:lpwstr>_ENREF_68</vt:lpwstr>
      </vt:variant>
      <vt:variant>
        <vt:i4>7536698</vt:i4>
      </vt:variant>
      <vt:variant>
        <vt:i4>4255</vt:i4>
      </vt:variant>
      <vt:variant>
        <vt:i4>0</vt:i4>
      </vt:variant>
      <vt:variant>
        <vt:i4>5</vt:i4>
      </vt:variant>
      <vt:variant>
        <vt:lpwstr/>
      </vt:variant>
      <vt:variant>
        <vt:lpwstr>_ENREF_113</vt:lpwstr>
      </vt:variant>
      <vt:variant>
        <vt:i4>7340095</vt:i4>
      </vt:variant>
      <vt:variant>
        <vt:i4>4247</vt:i4>
      </vt:variant>
      <vt:variant>
        <vt:i4>0</vt:i4>
      </vt:variant>
      <vt:variant>
        <vt:i4>5</vt:i4>
      </vt:variant>
      <vt:variant>
        <vt:lpwstr/>
      </vt:variant>
      <vt:variant>
        <vt:lpwstr>_ENREF_140</vt:lpwstr>
      </vt:variant>
      <vt:variant>
        <vt:i4>7405625</vt:i4>
      </vt:variant>
      <vt:variant>
        <vt:i4>4244</vt:i4>
      </vt:variant>
      <vt:variant>
        <vt:i4>0</vt:i4>
      </vt:variant>
      <vt:variant>
        <vt:i4>5</vt:i4>
      </vt:variant>
      <vt:variant>
        <vt:lpwstr/>
      </vt:variant>
      <vt:variant>
        <vt:lpwstr>_ENREF_121</vt:lpwstr>
      </vt:variant>
      <vt:variant>
        <vt:i4>7929914</vt:i4>
      </vt:variant>
      <vt:variant>
        <vt:i4>4236</vt:i4>
      </vt:variant>
      <vt:variant>
        <vt:i4>0</vt:i4>
      </vt:variant>
      <vt:variant>
        <vt:i4>5</vt:i4>
      </vt:variant>
      <vt:variant>
        <vt:lpwstr/>
      </vt:variant>
      <vt:variant>
        <vt:lpwstr>_ENREF_119</vt:lpwstr>
      </vt:variant>
      <vt:variant>
        <vt:i4>4194315</vt:i4>
      </vt:variant>
      <vt:variant>
        <vt:i4>4233</vt:i4>
      </vt:variant>
      <vt:variant>
        <vt:i4>0</vt:i4>
      </vt:variant>
      <vt:variant>
        <vt:i4>5</vt:i4>
      </vt:variant>
      <vt:variant>
        <vt:lpwstr/>
      </vt:variant>
      <vt:variant>
        <vt:lpwstr>_ENREF_18</vt:lpwstr>
      </vt:variant>
      <vt:variant>
        <vt:i4>7929914</vt:i4>
      </vt:variant>
      <vt:variant>
        <vt:i4>4225</vt:i4>
      </vt:variant>
      <vt:variant>
        <vt:i4>0</vt:i4>
      </vt:variant>
      <vt:variant>
        <vt:i4>5</vt:i4>
      </vt:variant>
      <vt:variant>
        <vt:lpwstr/>
      </vt:variant>
      <vt:variant>
        <vt:lpwstr>_ENREF_119</vt:lpwstr>
      </vt:variant>
      <vt:variant>
        <vt:i4>7733311</vt:i4>
      </vt:variant>
      <vt:variant>
        <vt:i4>4219</vt:i4>
      </vt:variant>
      <vt:variant>
        <vt:i4>0</vt:i4>
      </vt:variant>
      <vt:variant>
        <vt:i4>5</vt:i4>
      </vt:variant>
      <vt:variant>
        <vt:lpwstr/>
      </vt:variant>
      <vt:variant>
        <vt:lpwstr>_ENREF_344</vt:lpwstr>
      </vt:variant>
      <vt:variant>
        <vt:i4>4456459</vt:i4>
      </vt:variant>
      <vt:variant>
        <vt:i4>4216</vt:i4>
      </vt:variant>
      <vt:variant>
        <vt:i4>0</vt:i4>
      </vt:variant>
      <vt:variant>
        <vt:i4>5</vt:i4>
      </vt:variant>
      <vt:variant>
        <vt:lpwstr/>
      </vt:variant>
      <vt:variant>
        <vt:lpwstr>_ENREF_51</vt:lpwstr>
      </vt:variant>
      <vt:variant>
        <vt:i4>7798834</vt:i4>
      </vt:variant>
      <vt:variant>
        <vt:i4>4208</vt:i4>
      </vt:variant>
      <vt:variant>
        <vt:i4>0</vt:i4>
      </vt:variant>
      <vt:variant>
        <vt:i4>5</vt:i4>
      </vt:variant>
      <vt:variant>
        <vt:lpwstr/>
      </vt:variant>
      <vt:variant>
        <vt:lpwstr>_ENREF_197</vt:lpwstr>
      </vt:variant>
      <vt:variant>
        <vt:i4>7929913</vt:i4>
      </vt:variant>
      <vt:variant>
        <vt:i4>4205</vt:i4>
      </vt:variant>
      <vt:variant>
        <vt:i4>0</vt:i4>
      </vt:variant>
      <vt:variant>
        <vt:i4>5</vt:i4>
      </vt:variant>
      <vt:variant>
        <vt:lpwstr/>
      </vt:variant>
      <vt:variant>
        <vt:lpwstr>_ENREF_129</vt:lpwstr>
      </vt:variant>
      <vt:variant>
        <vt:i4>7536691</vt:i4>
      </vt:variant>
      <vt:variant>
        <vt:i4>4199</vt:i4>
      </vt:variant>
      <vt:variant>
        <vt:i4>0</vt:i4>
      </vt:variant>
      <vt:variant>
        <vt:i4>5</vt:i4>
      </vt:variant>
      <vt:variant>
        <vt:lpwstr/>
      </vt:variant>
      <vt:variant>
        <vt:lpwstr>_ENREF_280</vt:lpwstr>
      </vt:variant>
      <vt:variant>
        <vt:i4>7471165</vt:i4>
      </vt:variant>
      <vt:variant>
        <vt:i4>4191</vt:i4>
      </vt:variant>
      <vt:variant>
        <vt:i4>0</vt:i4>
      </vt:variant>
      <vt:variant>
        <vt:i4>5</vt:i4>
      </vt:variant>
      <vt:variant>
        <vt:lpwstr/>
      </vt:variant>
      <vt:variant>
        <vt:lpwstr>_ENREF_162</vt:lpwstr>
      </vt:variant>
      <vt:variant>
        <vt:i4>4194315</vt:i4>
      </vt:variant>
      <vt:variant>
        <vt:i4>4188</vt:i4>
      </vt:variant>
      <vt:variant>
        <vt:i4>0</vt:i4>
      </vt:variant>
      <vt:variant>
        <vt:i4>5</vt:i4>
      </vt:variant>
      <vt:variant>
        <vt:lpwstr/>
      </vt:variant>
      <vt:variant>
        <vt:lpwstr>_ENREF_17</vt:lpwstr>
      </vt:variant>
      <vt:variant>
        <vt:i4>4784139</vt:i4>
      </vt:variant>
      <vt:variant>
        <vt:i4>4182</vt:i4>
      </vt:variant>
      <vt:variant>
        <vt:i4>0</vt:i4>
      </vt:variant>
      <vt:variant>
        <vt:i4>5</vt:i4>
      </vt:variant>
      <vt:variant>
        <vt:lpwstr/>
      </vt:variant>
      <vt:variant>
        <vt:lpwstr>_ENREF_87</vt:lpwstr>
      </vt:variant>
      <vt:variant>
        <vt:i4>7929916</vt:i4>
      </vt:variant>
      <vt:variant>
        <vt:i4>4176</vt:i4>
      </vt:variant>
      <vt:variant>
        <vt:i4>0</vt:i4>
      </vt:variant>
      <vt:variant>
        <vt:i4>5</vt:i4>
      </vt:variant>
      <vt:variant>
        <vt:lpwstr/>
      </vt:variant>
      <vt:variant>
        <vt:lpwstr>_ENREF_179</vt:lpwstr>
      </vt:variant>
      <vt:variant>
        <vt:i4>7667769</vt:i4>
      </vt:variant>
      <vt:variant>
        <vt:i4>4173</vt:i4>
      </vt:variant>
      <vt:variant>
        <vt:i4>0</vt:i4>
      </vt:variant>
      <vt:variant>
        <vt:i4>5</vt:i4>
      </vt:variant>
      <vt:variant>
        <vt:lpwstr/>
      </vt:variant>
      <vt:variant>
        <vt:lpwstr>_ENREF_125</vt:lpwstr>
      </vt:variant>
      <vt:variant>
        <vt:i4>4456459</vt:i4>
      </vt:variant>
      <vt:variant>
        <vt:i4>4170</vt:i4>
      </vt:variant>
      <vt:variant>
        <vt:i4>0</vt:i4>
      </vt:variant>
      <vt:variant>
        <vt:i4>5</vt:i4>
      </vt:variant>
      <vt:variant>
        <vt:lpwstr/>
      </vt:variant>
      <vt:variant>
        <vt:lpwstr>_ENREF_59</vt:lpwstr>
      </vt:variant>
      <vt:variant>
        <vt:i4>7471154</vt:i4>
      </vt:variant>
      <vt:variant>
        <vt:i4>4162</vt:i4>
      </vt:variant>
      <vt:variant>
        <vt:i4>0</vt:i4>
      </vt:variant>
      <vt:variant>
        <vt:i4>5</vt:i4>
      </vt:variant>
      <vt:variant>
        <vt:lpwstr/>
      </vt:variant>
      <vt:variant>
        <vt:lpwstr>_ENREF_192</vt:lpwstr>
      </vt:variant>
      <vt:variant>
        <vt:i4>4456459</vt:i4>
      </vt:variant>
      <vt:variant>
        <vt:i4>4156</vt:i4>
      </vt:variant>
      <vt:variant>
        <vt:i4>0</vt:i4>
      </vt:variant>
      <vt:variant>
        <vt:i4>5</vt:i4>
      </vt:variant>
      <vt:variant>
        <vt:lpwstr/>
      </vt:variant>
      <vt:variant>
        <vt:lpwstr>_ENREF_54</vt:lpwstr>
      </vt:variant>
      <vt:variant>
        <vt:i4>7602235</vt:i4>
      </vt:variant>
      <vt:variant>
        <vt:i4>4150</vt:i4>
      </vt:variant>
      <vt:variant>
        <vt:i4>0</vt:i4>
      </vt:variant>
      <vt:variant>
        <vt:i4>5</vt:i4>
      </vt:variant>
      <vt:variant>
        <vt:lpwstr/>
      </vt:variant>
      <vt:variant>
        <vt:lpwstr>_ENREF_306</vt:lpwstr>
      </vt:variant>
      <vt:variant>
        <vt:i4>7536701</vt:i4>
      </vt:variant>
      <vt:variant>
        <vt:i4>4144</vt:i4>
      </vt:variant>
      <vt:variant>
        <vt:i4>0</vt:i4>
      </vt:variant>
      <vt:variant>
        <vt:i4>5</vt:i4>
      </vt:variant>
      <vt:variant>
        <vt:lpwstr/>
      </vt:variant>
      <vt:variant>
        <vt:lpwstr>_ENREF_260</vt:lpwstr>
      </vt:variant>
      <vt:variant>
        <vt:i4>4456459</vt:i4>
      </vt:variant>
      <vt:variant>
        <vt:i4>4138</vt:i4>
      </vt:variant>
      <vt:variant>
        <vt:i4>0</vt:i4>
      </vt:variant>
      <vt:variant>
        <vt:i4>5</vt:i4>
      </vt:variant>
      <vt:variant>
        <vt:lpwstr/>
      </vt:variant>
      <vt:variant>
        <vt:lpwstr>_ENREF_50</vt:lpwstr>
      </vt:variant>
      <vt:variant>
        <vt:i4>7405630</vt:i4>
      </vt:variant>
      <vt:variant>
        <vt:i4>4135</vt:i4>
      </vt:variant>
      <vt:variant>
        <vt:i4>0</vt:i4>
      </vt:variant>
      <vt:variant>
        <vt:i4>5</vt:i4>
      </vt:variant>
      <vt:variant>
        <vt:lpwstr/>
      </vt:variant>
      <vt:variant>
        <vt:lpwstr>_ENREF_151</vt:lpwstr>
      </vt:variant>
      <vt:variant>
        <vt:i4>7733307</vt:i4>
      </vt:variant>
      <vt:variant>
        <vt:i4>4127</vt:i4>
      </vt:variant>
      <vt:variant>
        <vt:i4>0</vt:i4>
      </vt:variant>
      <vt:variant>
        <vt:i4>5</vt:i4>
      </vt:variant>
      <vt:variant>
        <vt:lpwstr/>
      </vt:variant>
      <vt:variant>
        <vt:lpwstr>_ENREF_304</vt:lpwstr>
      </vt:variant>
      <vt:variant>
        <vt:i4>7798835</vt:i4>
      </vt:variant>
      <vt:variant>
        <vt:i4>4121</vt:i4>
      </vt:variant>
      <vt:variant>
        <vt:i4>0</vt:i4>
      </vt:variant>
      <vt:variant>
        <vt:i4>5</vt:i4>
      </vt:variant>
      <vt:variant>
        <vt:lpwstr/>
      </vt:variant>
      <vt:variant>
        <vt:lpwstr>_ENREF_284</vt:lpwstr>
      </vt:variant>
      <vt:variant>
        <vt:i4>4194315</vt:i4>
      </vt:variant>
      <vt:variant>
        <vt:i4>4115</vt:i4>
      </vt:variant>
      <vt:variant>
        <vt:i4>0</vt:i4>
      </vt:variant>
      <vt:variant>
        <vt:i4>5</vt:i4>
      </vt:variant>
      <vt:variant>
        <vt:lpwstr/>
      </vt:variant>
      <vt:variant>
        <vt:lpwstr>_ENREF_11</vt:lpwstr>
      </vt:variant>
      <vt:variant>
        <vt:i4>8060986</vt:i4>
      </vt:variant>
      <vt:variant>
        <vt:i4>4107</vt:i4>
      </vt:variant>
      <vt:variant>
        <vt:i4>0</vt:i4>
      </vt:variant>
      <vt:variant>
        <vt:i4>5</vt:i4>
      </vt:variant>
      <vt:variant>
        <vt:lpwstr/>
      </vt:variant>
      <vt:variant>
        <vt:lpwstr>_ENREF_319</vt:lpwstr>
      </vt:variant>
      <vt:variant>
        <vt:i4>7536699</vt:i4>
      </vt:variant>
      <vt:variant>
        <vt:i4>4101</vt:i4>
      </vt:variant>
      <vt:variant>
        <vt:i4>0</vt:i4>
      </vt:variant>
      <vt:variant>
        <vt:i4>5</vt:i4>
      </vt:variant>
      <vt:variant>
        <vt:lpwstr/>
      </vt:variant>
      <vt:variant>
        <vt:lpwstr>_ENREF_301</vt:lpwstr>
      </vt:variant>
      <vt:variant>
        <vt:i4>7733311</vt:i4>
      </vt:variant>
      <vt:variant>
        <vt:i4>4095</vt:i4>
      </vt:variant>
      <vt:variant>
        <vt:i4>0</vt:i4>
      </vt:variant>
      <vt:variant>
        <vt:i4>5</vt:i4>
      </vt:variant>
      <vt:variant>
        <vt:lpwstr/>
      </vt:variant>
      <vt:variant>
        <vt:lpwstr>_ENREF_146</vt:lpwstr>
      </vt:variant>
      <vt:variant>
        <vt:i4>7995452</vt:i4>
      </vt:variant>
      <vt:variant>
        <vt:i4>4089</vt:i4>
      </vt:variant>
      <vt:variant>
        <vt:i4>0</vt:i4>
      </vt:variant>
      <vt:variant>
        <vt:i4>5</vt:i4>
      </vt:variant>
      <vt:variant>
        <vt:lpwstr/>
      </vt:variant>
      <vt:variant>
        <vt:lpwstr>_ENREF_279</vt:lpwstr>
      </vt:variant>
      <vt:variant>
        <vt:i4>7340095</vt:i4>
      </vt:variant>
      <vt:variant>
        <vt:i4>4083</vt:i4>
      </vt:variant>
      <vt:variant>
        <vt:i4>0</vt:i4>
      </vt:variant>
      <vt:variant>
        <vt:i4>5</vt:i4>
      </vt:variant>
      <vt:variant>
        <vt:lpwstr/>
      </vt:variant>
      <vt:variant>
        <vt:lpwstr>_ENREF_140</vt:lpwstr>
      </vt:variant>
      <vt:variant>
        <vt:i4>8060984</vt:i4>
      </vt:variant>
      <vt:variant>
        <vt:i4>4077</vt:i4>
      </vt:variant>
      <vt:variant>
        <vt:i4>0</vt:i4>
      </vt:variant>
      <vt:variant>
        <vt:i4>5</vt:i4>
      </vt:variant>
      <vt:variant>
        <vt:lpwstr/>
      </vt:variant>
      <vt:variant>
        <vt:lpwstr>_ENREF_339</vt:lpwstr>
      </vt:variant>
      <vt:variant>
        <vt:i4>7340094</vt:i4>
      </vt:variant>
      <vt:variant>
        <vt:i4>4074</vt:i4>
      </vt:variant>
      <vt:variant>
        <vt:i4>0</vt:i4>
      </vt:variant>
      <vt:variant>
        <vt:i4>5</vt:i4>
      </vt:variant>
      <vt:variant>
        <vt:lpwstr/>
      </vt:variant>
      <vt:variant>
        <vt:lpwstr>_ENREF_150</vt:lpwstr>
      </vt:variant>
      <vt:variant>
        <vt:i4>7340095</vt:i4>
      </vt:variant>
      <vt:variant>
        <vt:i4>4066</vt:i4>
      </vt:variant>
      <vt:variant>
        <vt:i4>0</vt:i4>
      </vt:variant>
      <vt:variant>
        <vt:i4>5</vt:i4>
      </vt:variant>
      <vt:variant>
        <vt:lpwstr/>
      </vt:variant>
      <vt:variant>
        <vt:lpwstr>_ENREF_140</vt:lpwstr>
      </vt:variant>
      <vt:variant>
        <vt:i4>7798842</vt:i4>
      </vt:variant>
      <vt:variant>
        <vt:i4>4060</vt:i4>
      </vt:variant>
      <vt:variant>
        <vt:i4>0</vt:i4>
      </vt:variant>
      <vt:variant>
        <vt:i4>5</vt:i4>
      </vt:variant>
      <vt:variant>
        <vt:lpwstr/>
      </vt:variant>
      <vt:variant>
        <vt:lpwstr>_ENREF_315</vt:lpwstr>
      </vt:variant>
      <vt:variant>
        <vt:i4>4194315</vt:i4>
      </vt:variant>
      <vt:variant>
        <vt:i4>4057</vt:i4>
      </vt:variant>
      <vt:variant>
        <vt:i4>0</vt:i4>
      </vt:variant>
      <vt:variant>
        <vt:i4>5</vt:i4>
      </vt:variant>
      <vt:variant>
        <vt:lpwstr/>
      </vt:variant>
      <vt:variant>
        <vt:lpwstr>_ENREF_11</vt:lpwstr>
      </vt:variant>
      <vt:variant>
        <vt:i4>7995448</vt:i4>
      </vt:variant>
      <vt:variant>
        <vt:i4>4049</vt:i4>
      </vt:variant>
      <vt:variant>
        <vt:i4>0</vt:i4>
      </vt:variant>
      <vt:variant>
        <vt:i4>5</vt:i4>
      </vt:variant>
      <vt:variant>
        <vt:lpwstr/>
      </vt:variant>
      <vt:variant>
        <vt:lpwstr>_ENREF_338</vt:lpwstr>
      </vt:variant>
      <vt:variant>
        <vt:i4>7471160</vt:i4>
      </vt:variant>
      <vt:variant>
        <vt:i4>4043</vt:i4>
      </vt:variant>
      <vt:variant>
        <vt:i4>0</vt:i4>
      </vt:variant>
      <vt:variant>
        <vt:i4>5</vt:i4>
      </vt:variant>
      <vt:variant>
        <vt:lpwstr/>
      </vt:variant>
      <vt:variant>
        <vt:lpwstr>_ENREF_132</vt:lpwstr>
      </vt:variant>
      <vt:variant>
        <vt:i4>4784139</vt:i4>
      </vt:variant>
      <vt:variant>
        <vt:i4>4035</vt:i4>
      </vt:variant>
      <vt:variant>
        <vt:i4>0</vt:i4>
      </vt:variant>
      <vt:variant>
        <vt:i4>5</vt:i4>
      </vt:variant>
      <vt:variant>
        <vt:lpwstr/>
      </vt:variant>
      <vt:variant>
        <vt:lpwstr>_ENREF_8</vt:lpwstr>
      </vt:variant>
      <vt:variant>
        <vt:i4>4587531</vt:i4>
      </vt:variant>
      <vt:variant>
        <vt:i4>4029</vt:i4>
      </vt:variant>
      <vt:variant>
        <vt:i4>0</vt:i4>
      </vt:variant>
      <vt:variant>
        <vt:i4>5</vt:i4>
      </vt:variant>
      <vt:variant>
        <vt:lpwstr/>
      </vt:variant>
      <vt:variant>
        <vt:lpwstr>_ENREF_73</vt:lpwstr>
      </vt:variant>
      <vt:variant>
        <vt:i4>4587531</vt:i4>
      </vt:variant>
      <vt:variant>
        <vt:i4>4026</vt:i4>
      </vt:variant>
      <vt:variant>
        <vt:i4>0</vt:i4>
      </vt:variant>
      <vt:variant>
        <vt:i4>5</vt:i4>
      </vt:variant>
      <vt:variant>
        <vt:lpwstr/>
      </vt:variant>
      <vt:variant>
        <vt:lpwstr>_ENREF_72</vt:lpwstr>
      </vt:variant>
      <vt:variant>
        <vt:i4>524354</vt:i4>
      </vt:variant>
      <vt:variant>
        <vt:i4>4019</vt:i4>
      </vt:variant>
      <vt:variant>
        <vt:i4>0</vt:i4>
      </vt:variant>
      <vt:variant>
        <vt:i4>5</vt:i4>
      </vt:variant>
      <vt:variant>
        <vt:lpwstr>http://www.chem.agilent.com/</vt:lpwstr>
      </vt:variant>
      <vt:variant>
        <vt:lpwstr/>
      </vt:variant>
      <vt:variant>
        <vt:i4>524354</vt:i4>
      </vt:variant>
      <vt:variant>
        <vt:i4>4010</vt:i4>
      </vt:variant>
      <vt:variant>
        <vt:i4>0</vt:i4>
      </vt:variant>
      <vt:variant>
        <vt:i4>5</vt:i4>
      </vt:variant>
      <vt:variant>
        <vt:lpwstr>http://www.chem.agilent.com/</vt:lpwstr>
      </vt:variant>
      <vt:variant>
        <vt:lpwstr/>
      </vt:variant>
      <vt:variant>
        <vt:i4>7667771</vt:i4>
      </vt:variant>
      <vt:variant>
        <vt:i4>4003</vt:i4>
      </vt:variant>
      <vt:variant>
        <vt:i4>0</vt:i4>
      </vt:variant>
      <vt:variant>
        <vt:i4>5</vt:i4>
      </vt:variant>
      <vt:variant>
        <vt:lpwstr/>
      </vt:variant>
      <vt:variant>
        <vt:lpwstr>_ENREF_307</vt:lpwstr>
      </vt:variant>
      <vt:variant>
        <vt:i4>4653067</vt:i4>
      </vt:variant>
      <vt:variant>
        <vt:i4>4000</vt:i4>
      </vt:variant>
      <vt:variant>
        <vt:i4>0</vt:i4>
      </vt:variant>
      <vt:variant>
        <vt:i4>5</vt:i4>
      </vt:variant>
      <vt:variant>
        <vt:lpwstr/>
      </vt:variant>
      <vt:variant>
        <vt:lpwstr>_ENREF_63</vt:lpwstr>
      </vt:variant>
      <vt:variant>
        <vt:i4>4718603</vt:i4>
      </vt:variant>
      <vt:variant>
        <vt:i4>3997</vt:i4>
      </vt:variant>
      <vt:variant>
        <vt:i4>0</vt:i4>
      </vt:variant>
      <vt:variant>
        <vt:i4>5</vt:i4>
      </vt:variant>
      <vt:variant>
        <vt:lpwstr/>
      </vt:variant>
      <vt:variant>
        <vt:lpwstr>_ENREF_90</vt:lpwstr>
      </vt:variant>
      <vt:variant>
        <vt:i4>4456459</vt:i4>
      </vt:variant>
      <vt:variant>
        <vt:i4>3989</vt:i4>
      </vt:variant>
      <vt:variant>
        <vt:i4>0</vt:i4>
      </vt:variant>
      <vt:variant>
        <vt:i4>5</vt:i4>
      </vt:variant>
      <vt:variant>
        <vt:lpwstr/>
      </vt:variant>
      <vt:variant>
        <vt:lpwstr>_ENREF_57</vt:lpwstr>
      </vt:variant>
      <vt:variant>
        <vt:i4>7536703</vt:i4>
      </vt:variant>
      <vt:variant>
        <vt:i4>3983</vt:i4>
      </vt:variant>
      <vt:variant>
        <vt:i4>0</vt:i4>
      </vt:variant>
      <vt:variant>
        <vt:i4>5</vt:i4>
      </vt:variant>
      <vt:variant>
        <vt:lpwstr/>
      </vt:variant>
      <vt:variant>
        <vt:lpwstr>_ENREF_341</vt:lpwstr>
      </vt:variant>
      <vt:variant>
        <vt:i4>4653067</vt:i4>
      </vt:variant>
      <vt:variant>
        <vt:i4>3977</vt:i4>
      </vt:variant>
      <vt:variant>
        <vt:i4>0</vt:i4>
      </vt:variant>
      <vt:variant>
        <vt:i4>5</vt:i4>
      </vt:variant>
      <vt:variant>
        <vt:lpwstr/>
      </vt:variant>
      <vt:variant>
        <vt:lpwstr>_ENREF_6</vt:lpwstr>
      </vt:variant>
      <vt:variant>
        <vt:i4>7733307</vt:i4>
      </vt:variant>
      <vt:variant>
        <vt:i4>3963</vt:i4>
      </vt:variant>
      <vt:variant>
        <vt:i4>0</vt:i4>
      </vt:variant>
      <vt:variant>
        <vt:i4>5</vt:i4>
      </vt:variant>
      <vt:variant>
        <vt:lpwstr/>
      </vt:variant>
      <vt:variant>
        <vt:lpwstr>_ENREF_106</vt:lpwstr>
      </vt:variant>
      <vt:variant>
        <vt:i4>7995448</vt:i4>
      </vt:variant>
      <vt:variant>
        <vt:i4>3957</vt:i4>
      </vt:variant>
      <vt:variant>
        <vt:i4>0</vt:i4>
      </vt:variant>
      <vt:variant>
        <vt:i4>5</vt:i4>
      </vt:variant>
      <vt:variant>
        <vt:lpwstr/>
      </vt:variant>
      <vt:variant>
        <vt:lpwstr>_ENREF_239</vt:lpwstr>
      </vt:variant>
      <vt:variant>
        <vt:i4>8060978</vt:i4>
      </vt:variant>
      <vt:variant>
        <vt:i4>3951</vt:i4>
      </vt:variant>
      <vt:variant>
        <vt:i4>0</vt:i4>
      </vt:variant>
      <vt:variant>
        <vt:i4>5</vt:i4>
      </vt:variant>
      <vt:variant>
        <vt:lpwstr/>
      </vt:variant>
      <vt:variant>
        <vt:lpwstr>_ENREF_298</vt:lpwstr>
      </vt:variant>
      <vt:variant>
        <vt:i4>4521995</vt:i4>
      </vt:variant>
      <vt:variant>
        <vt:i4>3945</vt:i4>
      </vt:variant>
      <vt:variant>
        <vt:i4>0</vt:i4>
      </vt:variant>
      <vt:variant>
        <vt:i4>5</vt:i4>
      </vt:variant>
      <vt:variant>
        <vt:lpwstr/>
      </vt:variant>
      <vt:variant>
        <vt:lpwstr>_ENREF_4</vt:lpwstr>
      </vt:variant>
      <vt:variant>
        <vt:i4>7471163</vt:i4>
      </vt:variant>
      <vt:variant>
        <vt:i4>3939</vt:i4>
      </vt:variant>
      <vt:variant>
        <vt:i4>0</vt:i4>
      </vt:variant>
      <vt:variant>
        <vt:i4>5</vt:i4>
      </vt:variant>
      <vt:variant>
        <vt:lpwstr/>
      </vt:variant>
      <vt:variant>
        <vt:lpwstr>_ENREF_201</vt:lpwstr>
      </vt:variant>
      <vt:variant>
        <vt:i4>7798845</vt:i4>
      </vt:variant>
      <vt:variant>
        <vt:i4>3933</vt:i4>
      </vt:variant>
      <vt:variant>
        <vt:i4>0</vt:i4>
      </vt:variant>
      <vt:variant>
        <vt:i4>5</vt:i4>
      </vt:variant>
      <vt:variant>
        <vt:lpwstr/>
      </vt:variant>
      <vt:variant>
        <vt:lpwstr>_ENREF_264</vt:lpwstr>
      </vt:variant>
      <vt:variant>
        <vt:i4>7798847</vt:i4>
      </vt:variant>
      <vt:variant>
        <vt:i4>3930</vt:i4>
      </vt:variant>
      <vt:variant>
        <vt:i4>0</vt:i4>
      </vt:variant>
      <vt:variant>
        <vt:i4>5</vt:i4>
      </vt:variant>
      <vt:variant>
        <vt:lpwstr/>
      </vt:variant>
      <vt:variant>
        <vt:lpwstr>_ENREF_244</vt:lpwstr>
      </vt:variant>
      <vt:variant>
        <vt:i4>4784139</vt:i4>
      </vt:variant>
      <vt:variant>
        <vt:i4>3924</vt:i4>
      </vt:variant>
      <vt:variant>
        <vt:i4>0</vt:i4>
      </vt:variant>
      <vt:variant>
        <vt:i4>5</vt:i4>
      </vt:variant>
      <vt:variant>
        <vt:lpwstr/>
      </vt:variant>
      <vt:variant>
        <vt:lpwstr>_ENREF_81</vt:lpwstr>
      </vt:variant>
      <vt:variant>
        <vt:i4>4521995</vt:i4>
      </vt:variant>
      <vt:variant>
        <vt:i4>3921</vt:i4>
      </vt:variant>
      <vt:variant>
        <vt:i4>0</vt:i4>
      </vt:variant>
      <vt:variant>
        <vt:i4>5</vt:i4>
      </vt:variant>
      <vt:variant>
        <vt:lpwstr/>
      </vt:variant>
      <vt:variant>
        <vt:lpwstr>_ENREF_48</vt:lpwstr>
      </vt:variant>
      <vt:variant>
        <vt:i4>7798843</vt:i4>
      </vt:variant>
      <vt:variant>
        <vt:i4>3915</vt:i4>
      </vt:variant>
      <vt:variant>
        <vt:i4>0</vt:i4>
      </vt:variant>
      <vt:variant>
        <vt:i4>5</vt:i4>
      </vt:variant>
      <vt:variant>
        <vt:lpwstr/>
      </vt:variant>
      <vt:variant>
        <vt:lpwstr>_ENREF_107</vt:lpwstr>
      </vt:variant>
      <vt:variant>
        <vt:i4>7536697</vt:i4>
      </vt:variant>
      <vt:variant>
        <vt:i4>3909</vt:i4>
      </vt:variant>
      <vt:variant>
        <vt:i4>0</vt:i4>
      </vt:variant>
      <vt:variant>
        <vt:i4>5</vt:i4>
      </vt:variant>
      <vt:variant>
        <vt:lpwstr/>
      </vt:variant>
      <vt:variant>
        <vt:lpwstr>_ENREF_123</vt:lpwstr>
      </vt:variant>
      <vt:variant>
        <vt:i4>7733307</vt:i4>
      </vt:variant>
      <vt:variant>
        <vt:i4>3903</vt:i4>
      </vt:variant>
      <vt:variant>
        <vt:i4>0</vt:i4>
      </vt:variant>
      <vt:variant>
        <vt:i4>5</vt:i4>
      </vt:variant>
      <vt:variant>
        <vt:lpwstr/>
      </vt:variant>
      <vt:variant>
        <vt:lpwstr>_ENREF_205</vt:lpwstr>
      </vt:variant>
      <vt:variant>
        <vt:i4>7471167</vt:i4>
      </vt:variant>
      <vt:variant>
        <vt:i4>3900</vt:i4>
      </vt:variant>
      <vt:variant>
        <vt:i4>0</vt:i4>
      </vt:variant>
      <vt:variant>
        <vt:i4>5</vt:i4>
      </vt:variant>
      <vt:variant>
        <vt:lpwstr/>
      </vt:variant>
      <vt:variant>
        <vt:lpwstr>_ENREF_340</vt:lpwstr>
      </vt:variant>
      <vt:variant>
        <vt:i4>7798840</vt:i4>
      </vt:variant>
      <vt:variant>
        <vt:i4>3897</vt:i4>
      </vt:variant>
      <vt:variant>
        <vt:i4>0</vt:i4>
      </vt:variant>
      <vt:variant>
        <vt:i4>5</vt:i4>
      </vt:variant>
      <vt:variant>
        <vt:lpwstr/>
      </vt:variant>
      <vt:variant>
        <vt:lpwstr>_ENREF_137</vt:lpwstr>
      </vt:variant>
      <vt:variant>
        <vt:i4>7733305</vt:i4>
      </vt:variant>
      <vt:variant>
        <vt:i4>3891</vt:i4>
      </vt:variant>
      <vt:variant>
        <vt:i4>0</vt:i4>
      </vt:variant>
      <vt:variant>
        <vt:i4>5</vt:i4>
      </vt:variant>
      <vt:variant>
        <vt:lpwstr/>
      </vt:variant>
      <vt:variant>
        <vt:lpwstr>_ENREF_225</vt:lpwstr>
      </vt:variant>
      <vt:variant>
        <vt:i4>7602234</vt:i4>
      </vt:variant>
      <vt:variant>
        <vt:i4>3883</vt:i4>
      </vt:variant>
      <vt:variant>
        <vt:i4>0</vt:i4>
      </vt:variant>
      <vt:variant>
        <vt:i4>5</vt:i4>
      </vt:variant>
      <vt:variant>
        <vt:lpwstr/>
      </vt:variant>
      <vt:variant>
        <vt:lpwstr>_ENREF_316</vt:lpwstr>
      </vt:variant>
      <vt:variant>
        <vt:i4>7405627</vt:i4>
      </vt:variant>
      <vt:variant>
        <vt:i4>3877</vt:i4>
      </vt:variant>
      <vt:variant>
        <vt:i4>0</vt:i4>
      </vt:variant>
      <vt:variant>
        <vt:i4>5</vt:i4>
      </vt:variant>
      <vt:variant>
        <vt:lpwstr/>
      </vt:variant>
      <vt:variant>
        <vt:lpwstr>_ENREF_202</vt:lpwstr>
      </vt:variant>
      <vt:variant>
        <vt:i4>7471166</vt:i4>
      </vt:variant>
      <vt:variant>
        <vt:i4>3871</vt:i4>
      </vt:variant>
      <vt:variant>
        <vt:i4>0</vt:i4>
      </vt:variant>
      <vt:variant>
        <vt:i4>5</vt:i4>
      </vt:variant>
      <vt:variant>
        <vt:lpwstr/>
      </vt:variant>
      <vt:variant>
        <vt:lpwstr>_ENREF_152</vt:lpwstr>
      </vt:variant>
      <vt:variant>
        <vt:i4>7864379</vt:i4>
      </vt:variant>
      <vt:variant>
        <vt:i4>3868</vt:i4>
      </vt:variant>
      <vt:variant>
        <vt:i4>0</vt:i4>
      </vt:variant>
      <vt:variant>
        <vt:i4>5</vt:i4>
      </vt:variant>
      <vt:variant>
        <vt:lpwstr/>
      </vt:variant>
      <vt:variant>
        <vt:lpwstr>_ENREF_108</vt:lpwstr>
      </vt:variant>
      <vt:variant>
        <vt:i4>7602233</vt:i4>
      </vt:variant>
      <vt:variant>
        <vt:i4>3865</vt:i4>
      </vt:variant>
      <vt:variant>
        <vt:i4>0</vt:i4>
      </vt:variant>
      <vt:variant>
        <vt:i4>5</vt:i4>
      </vt:variant>
      <vt:variant>
        <vt:lpwstr/>
      </vt:variant>
      <vt:variant>
        <vt:lpwstr>_ENREF_326</vt:lpwstr>
      </vt:variant>
      <vt:variant>
        <vt:i4>7864370</vt:i4>
      </vt:variant>
      <vt:variant>
        <vt:i4>3859</vt:i4>
      </vt:variant>
      <vt:variant>
        <vt:i4>0</vt:i4>
      </vt:variant>
      <vt:variant>
        <vt:i4>5</vt:i4>
      </vt:variant>
      <vt:variant>
        <vt:lpwstr/>
      </vt:variant>
      <vt:variant>
        <vt:lpwstr>_ENREF_198</vt:lpwstr>
      </vt:variant>
      <vt:variant>
        <vt:i4>4653067</vt:i4>
      </vt:variant>
      <vt:variant>
        <vt:i4>3853</vt:i4>
      </vt:variant>
      <vt:variant>
        <vt:i4>0</vt:i4>
      </vt:variant>
      <vt:variant>
        <vt:i4>5</vt:i4>
      </vt:variant>
      <vt:variant>
        <vt:lpwstr/>
      </vt:variant>
      <vt:variant>
        <vt:lpwstr>_ENREF_64</vt:lpwstr>
      </vt:variant>
      <vt:variant>
        <vt:i4>7602232</vt:i4>
      </vt:variant>
      <vt:variant>
        <vt:i4>3845</vt:i4>
      </vt:variant>
      <vt:variant>
        <vt:i4>0</vt:i4>
      </vt:variant>
      <vt:variant>
        <vt:i4>5</vt:i4>
      </vt:variant>
      <vt:variant>
        <vt:lpwstr/>
      </vt:variant>
      <vt:variant>
        <vt:lpwstr>_ENREF_237</vt:lpwstr>
      </vt:variant>
      <vt:variant>
        <vt:i4>7667769</vt:i4>
      </vt:variant>
      <vt:variant>
        <vt:i4>3839</vt:i4>
      </vt:variant>
      <vt:variant>
        <vt:i4>0</vt:i4>
      </vt:variant>
      <vt:variant>
        <vt:i4>5</vt:i4>
      </vt:variant>
      <vt:variant>
        <vt:lpwstr/>
      </vt:variant>
      <vt:variant>
        <vt:lpwstr>_ENREF_226</vt:lpwstr>
      </vt:variant>
      <vt:variant>
        <vt:i4>4325387</vt:i4>
      </vt:variant>
      <vt:variant>
        <vt:i4>3836</vt:i4>
      </vt:variant>
      <vt:variant>
        <vt:i4>0</vt:i4>
      </vt:variant>
      <vt:variant>
        <vt:i4>5</vt:i4>
      </vt:variant>
      <vt:variant>
        <vt:lpwstr/>
      </vt:variant>
      <vt:variant>
        <vt:lpwstr>_ENREF_3</vt:lpwstr>
      </vt:variant>
      <vt:variant>
        <vt:i4>7995451</vt:i4>
      </vt:variant>
      <vt:variant>
        <vt:i4>3833</vt:i4>
      </vt:variant>
      <vt:variant>
        <vt:i4>0</vt:i4>
      </vt:variant>
      <vt:variant>
        <vt:i4>5</vt:i4>
      </vt:variant>
      <vt:variant>
        <vt:lpwstr/>
      </vt:variant>
      <vt:variant>
        <vt:lpwstr>_ENREF_209</vt:lpwstr>
      </vt:variant>
      <vt:variant>
        <vt:i4>7536691</vt:i4>
      </vt:variant>
      <vt:variant>
        <vt:i4>3825</vt:i4>
      </vt:variant>
      <vt:variant>
        <vt:i4>0</vt:i4>
      </vt:variant>
      <vt:variant>
        <vt:i4>5</vt:i4>
      </vt:variant>
      <vt:variant>
        <vt:lpwstr/>
      </vt:variant>
      <vt:variant>
        <vt:lpwstr>_ENREF_183</vt:lpwstr>
      </vt:variant>
      <vt:variant>
        <vt:i4>4718603</vt:i4>
      </vt:variant>
      <vt:variant>
        <vt:i4>3819</vt:i4>
      </vt:variant>
      <vt:variant>
        <vt:i4>0</vt:i4>
      </vt:variant>
      <vt:variant>
        <vt:i4>5</vt:i4>
      </vt:variant>
      <vt:variant>
        <vt:lpwstr/>
      </vt:variant>
      <vt:variant>
        <vt:lpwstr>_ENREF_94</vt:lpwstr>
      </vt:variant>
      <vt:variant>
        <vt:i4>7667774</vt:i4>
      </vt:variant>
      <vt:variant>
        <vt:i4>3816</vt:i4>
      </vt:variant>
      <vt:variant>
        <vt:i4>0</vt:i4>
      </vt:variant>
      <vt:variant>
        <vt:i4>5</vt:i4>
      </vt:variant>
      <vt:variant>
        <vt:lpwstr/>
      </vt:variant>
      <vt:variant>
        <vt:lpwstr>_ENREF_155</vt:lpwstr>
      </vt:variant>
      <vt:variant>
        <vt:i4>7340091</vt:i4>
      </vt:variant>
      <vt:variant>
        <vt:i4>3813</vt:i4>
      </vt:variant>
      <vt:variant>
        <vt:i4>0</vt:i4>
      </vt:variant>
      <vt:variant>
        <vt:i4>5</vt:i4>
      </vt:variant>
      <vt:variant>
        <vt:lpwstr/>
      </vt:variant>
      <vt:variant>
        <vt:lpwstr>_ENREF_100</vt:lpwstr>
      </vt:variant>
      <vt:variant>
        <vt:i4>7667768</vt:i4>
      </vt:variant>
      <vt:variant>
        <vt:i4>3805</vt:i4>
      </vt:variant>
      <vt:variant>
        <vt:i4>0</vt:i4>
      </vt:variant>
      <vt:variant>
        <vt:i4>5</vt:i4>
      </vt:variant>
      <vt:variant>
        <vt:lpwstr/>
      </vt:variant>
      <vt:variant>
        <vt:lpwstr>_ENREF_337</vt:lpwstr>
      </vt:variant>
      <vt:variant>
        <vt:i4>7405629</vt:i4>
      </vt:variant>
      <vt:variant>
        <vt:i4>3802</vt:i4>
      </vt:variant>
      <vt:variant>
        <vt:i4>0</vt:i4>
      </vt:variant>
      <vt:variant>
        <vt:i4>5</vt:i4>
      </vt:variant>
      <vt:variant>
        <vt:lpwstr/>
      </vt:variant>
      <vt:variant>
        <vt:lpwstr>_ENREF_262</vt:lpwstr>
      </vt:variant>
      <vt:variant>
        <vt:i4>7536697</vt:i4>
      </vt:variant>
      <vt:variant>
        <vt:i4>3794</vt:i4>
      </vt:variant>
      <vt:variant>
        <vt:i4>0</vt:i4>
      </vt:variant>
      <vt:variant>
        <vt:i4>5</vt:i4>
      </vt:variant>
      <vt:variant>
        <vt:lpwstr/>
      </vt:variant>
      <vt:variant>
        <vt:lpwstr>_ENREF_321</vt:lpwstr>
      </vt:variant>
      <vt:variant>
        <vt:i4>7798844</vt:i4>
      </vt:variant>
      <vt:variant>
        <vt:i4>3786</vt:i4>
      </vt:variant>
      <vt:variant>
        <vt:i4>0</vt:i4>
      </vt:variant>
      <vt:variant>
        <vt:i4>5</vt:i4>
      </vt:variant>
      <vt:variant>
        <vt:lpwstr/>
      </vt:variant>
      <vt:variant>
        <vt:lpwstr>_ENREF_274</vt:lpwstr>
      </vt:variant>
      <vt:variant>
        <vt:i4>7733304</vt:i4>
      </vt:variant>
      <vt:variant>
        <vt:i4>3780</vt:i4>
      </vt:variant>
      <vt:variant>
        <vt:i4>0</vt:i4>
      </vt:variant>
      <vt:variant>
        <vt:i4>5</vt:i4>
      </vt:variant>
      <vt:variant>
        <vt:lpwstr/>
      </vt:variant>
      <vt:variant>
        <vt:lpwstr>_ENREF_136</vt:lpwstr>
      </vt:variant>
      <vt:variant>
        <vt:i4>8060991</vt:i4>
      </vt:variant>
      <vt:variant>
        <vt:i4>3774</vt:i4>
      </vt:variant>
      <vt:variant>
        <vt:i4>0</vt:i4>
      </vt:variant>
      <vt:variant>
        <vt:i4>5</vt:i4>
      </vt:variant>
      <vt:variant>
        <vt:lpwstr/>
      </vt:variant>
      <vt:variant>
        <vt:lpwstr>_ENREF_248</vt:lpwstr>
      </vt:variant>
      <vt:variant>
        <vt:i4>7602233</vt:i4>
      </vt:variant>
      <vt:variant>
        <vt:i4>3771</vt:i4>
      </vt:variant>
      <vt:variant>
        <vt:i4>0</vt:i4>
      </vt:variant>
      <vt:variant>
        <vt:i4>5</vt:i4>
      </vt:variant>
      <vt:variant>
        <vt:lpwstr/>
      </vt:variant>
      <vt:variant>
        <vt:lpwstr>_ENREF_227</vt:lpwstr>
      </vt:variant>
      <vt:variant>
        <vt:i4>7667763</vt:i4>
      </vt:variant>
      <vt:variant>
        <vt:i4>3763</vt:i4>
      </vt:variant>
      <vt:variant>
        <vt:i4>0</vt:i4>
      </vt:variant>
      <vt:variant>
        <vt:i4>5</vt:i4>
      </vt:variant>
      <vt:variant>
        <vt:lpwstr/>
      </vt:variant>
      <vt:variant>
        <vt:lpwstr>_ENREF_185</vt:lpwstr>
      </vt:variant>
      <vt:variant>
        <vt:i4>8060987</vt:i4>
      </vt:variant>
      <vt:variant>
        <vt:i4>3757</vt:i4>
      </vt:variant>
      <vt:variant>
        <vt:i4>0</vt:i4>
      </vt:variant>
      <vt:variant>
        <vt:i4>5</vt:i4>
      </vt:variant>
      <vt:variant>
        <vt:lpwstr/>
      </vt:variant>
      <vt:variant>
        <vt:lpwstr>_ENREF_309</vt:lpwstr>
      </vt:variant>
      <vt:variant>
        <vt:i4>7340095</vt:i4>
      </vt:variant>
      <vt:variant>
        <vt:i4>3751</vt:i4>
      </vt:variant>
      <vt:variant>
        <vt:i4>0</vt:i4>
      </vt:variant>
      <vt:variant>
        <vt:i4>5</vt:i4>
      </vt:variant>
      <vt:variant>
        <vt:lpwstr/>
      </vt:variant>
      <vt:variant>
        <vt:lpwstr>_ENREF_342</vt:lpwstr>
      </vt:variant>
      <vt:variant>
        <vt:i4>4390923</vt:i4>
      </vt:variant>
      <vt:variant>
        <vt:i4>3748</vt:i4>
      </vt:variant>
      <vt:variant>
        <vt:i4>0</vt:i4>
      </vt:variant>
      <vt:variant>
        <vt:i4>5</vt:i4>
      </vt:variant>
      <vt:variant>
        <vt:lpwstr/>
      </vt:variant>
      <vt:variant>
        <vt:lpwstr>_ENREF_25</vt:lpwstr>
      </vt:variant>
      <vt:variant>
        <vt:i4>7536690</vt:i4>
      </vt:variant>
      <vt:variant>
        <vt:i4>3740</vt:i4>
      </vt:variant>
      <vt:variant>
        <vt:i4>0</vt:i4>
      </vt:variant>
      <vt:variant>
        <vt:i4>5</vt:i4>
      </vt:variant>
      <vt:variant>
        <vt:lpwstr/>
      </vt:variant>
      <vt:variant>
        <vt:lpwstr>_ENREF_193</vt:lpwstr>
      </vt:variant>
      <vt:variant>
        <vt:i4>7471154</vt:i4>
      </vt:variant>
      <vt:variant>
        <vt:i4>3734</vt:i4>
      </vt:variant>
      <vt:variant>
        <vt:i4>0</vt:i4>
      </vt:variant>
      <vt:variant>
        <vt:i4>5</vt:i4>
      </vt:variant>
      <vt:variant>
        <vt:lpwstr/>
      </vt:variant>
      <vt:variant>
        <vt:lpwstr>_ENREF_291</vt:lpwstr>
      </vt:variant>
      <vt:variant>
        <vt:i4>7667771</vt:i4>
      </vt:variant>
      <vt:variant>
        <vt:i4>3728</vt:i4>
      </vt:variant>
      <vt:variant>
        <vt:i4>0</vt:i4>
      </vt:variant>
      <vt:variant>
        <vt:i4>5</vt:i4>
      </vt:variant>
      <vt:variant>
        <vt:lpwstr/>
      </vt:variant>
      <vt:variant>
        <vt:lpwstr>_ENREF_206</vt:lpwstr>
      </vt:variant>
      <vt:variant>
        <vt:i4>4456459</vt:i4>
      </vt:variant>
      <vt:variant>
        <vt:i4>3725</vt:i4>
      </vt:variant>
      <vt:variant>
        <vt:i4>0</vt:i4>
      </vt:variant>
      <vt:variant>
        <vt:i4>5</vt:i4>
      </vt:variant>
      <vt:variant>
        <vt:lpwstr/>
      </vt:variant>
      <vt:variant>
        <vt:lpwstr>_ENREF_52</vt:lpwstr>
      </vt:variant>
      <vt:variant>
        <vt:i4>7929915</vt:i4>
      </vt:variant>
      <vt:variant>
        <vt:i4>3717</vt:i4>
      </vt:variant>
      <vt:variant>
        <vt:i4>0</vt:i4>
      </vt:variant>
      <vt:variant>
        <vt:i4>5</vt:i4>
      </vt:variant>
      <vt:variant>
        <vt:lpwstr/>
      </vt:variant>
      <vt:variant>
        <vt:lpwstr>_ENREF_109</vt:lpwstr>
      </vt:variant>
      <vt:variant>
        <vt:i4>4653067</vt:i4>
      </vt:variant>
      <vt:variant>
        <vt:i4>3711</vt:i4>
      </vt:variant>
      <vt:variant>
        <vt:i4>0</vt:i4>
      </vt:variant>
      <vt:variant>
        <vt:i4>5</vt:i4>
      </vt:variant>
      <vt:variant>
        <vt:lpwstr/>
      </vt:variant>
      <vt:variant>
        <vt:lpwstr>_ENREF_69</vt:lpwstr>
      </vt:variant>
      <vt:variant>
        <vt:i4>4194315</vt:i4>
      </vt:variant>
      <vt:variant>
        <vt:i4>3705</vt:i4>
      </vt:variant>
      <vt:variant>
        <vt:i4>0</vt:i4>
      </vt:variant>
      <vt:variant>
        <vt:i4>5</vt:i4>
      </vt:variant>
      <vt:variant>
        <vt:lpwstr/>
      </vt:variant>
      <vt:variant>
        <vt:lpwstr>_ENREF_13</vt:lpwstr>
      </vt:variant>
      <vt:variant>
        <vt:i4>4456459</vt:i4>
      </vt:variant>
      <vt:variant>
        <vt:i4>3697</vt:i4>
      </vt:variant>
      <vt:variant>
        <vt:i4>0</vt:i4>
      </vt:variant>
      <vt:variant>
        <vt:i4>5</vt:i4>
      </vt:variant>
      <vt:variant>
        <vt:lpwstr/>
      </vt:variant>
      <vt:variant>
        <vt:lpwstr>_ENREF_56</vt:lpwstr>
      </vt:variant>
      <vt:variant>
        <vt:i4>7667762</vt:i4>
      </vt:variant>
      <vt:variant>
        <vt:i4>3694</vt:i4>
      </vt:variant>
      <vt:variant>
        <vt:i4>0</vt:i4>
      </vt:variant>
      <vt:variant>
        <vt:i4>5</vt:i4>
      </vt:variant>
      <vt:variant>
        <vt:lpwstr/>
      </vt:variant>
      <vt:variant>
        <vt:lpwstr>_ENREF_296</vt:lpwstr>
      </vt:variant>
      <vt:variant>
        <vt:i4>4784139</vt:i4>
      </vt:variant>
      <vt:variant>
        <vt:i4>3686</vt:i4>
      </vt:variant>
      <vt:variant>
        <vt:i4>0</vt:i4>
      </vt:variant>
      <vt:variant>
        <vt:i4>5</vt:i4>
      </vt:variant>
      <vt:variant>
        <vt:lpwstr/>
      </vt:variant>
      <vt:variant>
        <vt:lpwstr>_ENREF_82</vt:lpwstr>
      </vt:variant>
      <vt:variant>
        <vt:i4>7340088</vt:i4>
      </vt:variant>
      <vt:variant>
        <vt:i4>3683</vt:i4>
      </vt:variant>
      <vt:variant>
        <vt:i4>0</vt:i4>
      </vt:variant>
      <vt:variant>
        <vt:i4>5</vt:i4>
      </vt:variant>
      <vt:variant>
        <vt:lpwstr/>
      </vt:variant>
      <vt:variant>
        <vt:lpwstr>_ENREF_332</vt:lpwstr>
      </vt:variant>
      <vt:variant>
        <vt:i4>7405627</vt:i4>
      </vt:variant>
      <vt:variant>
        <vt:i4>3675</vt:i4>
      </vt:variant>
      <vt:variant>
        <vt:i4>0</vt:i4>
      </vt:variant>
      <vt:variant>
        <vt:i4>5</vt:i4>
      </vt:variant>
      <vt:variant>
        <vt:lpwstr/>
      </vt:variant>
      <vt:variant>
        <vt:lpwstr>_ENREF_303</vt:lpwstr>
      </vt:variant>
      <vt:variant>
        <vt:i4>7471161</vt:i4>
      </vt:variant>
      <vt:variant>
        <vt:i4>3672</vt:i4>
      </vt:variant>
      <vt:variant>
        <vt:i4>0</vt:i4>
      </vt:variant>
      <vt:variant>
        <vt:i4>5</vt:i4>
      </vt:variant>
      <vt:variant>
        <vt:lpwstr/>
      </vt:variant>
      <vt:variant>
        <vt:lpwstr>_ENREF_221</vt:lpwstr>
      </vt:variant>
      <vt:variant>
        <vt:i4>7602227</vt:i4>
      </vt:variant>
      <vt:variant>
        <vt:i4>3669</vt:i4>
      </vt:variant>
      <vt:variant>
        <vt:i4>0</vt:i4>
      </vt:variant>
      <vt:variant>
        <vt:i4>5</vt:i4>
      </vt:variant>
      <vt:variant>
        <vt:lpwstr/>
      </vt:variant>
      <vt:variant>
        <vt:lpwstr>_ENREF_287</vt:lpwstr>
      </vt:variant>
      <vt:variant>
        <vt:i4>7667769</vt:i4>
      </vt:variant>
      <vt:variant>
        <vt:i4>3666</vt:i4>
      </vt:variant>
      <vt:variant>
        <vt:i4>0</vt:i4>
      </vt:variant>
      <vt:variant>
        <vt:i4>5</vt:i4>
      </vt:variant>
      <vt:variant>
        <vt:lpwstr/>
      </vt:variant>
      <vt:variant>
        <vt:lpwstr>_ENREF_327</vt:lpwstr>
      </vt:variant>
      <vt:variant>
        <vt:i4>4718603</vt:i4>
      </vt:variant>
      <vt:variant>
        <vt:i4>3663</vt:i4>
      </vt:variant>
      <vt:variant>
        <vt:i4>0</vt:i4>
      </vt:variant>
      <vt:variant>
        <vt:i4>5</vt:i4>
      </vt:variant>
      <vt:variant>
        <vt:lpwstr/>
      </vt:variant>
      <vt:variant>
        <vt:lpwstr>_ENREF_9</vt:lpwstr>
      </vt:variant>
      <vt:variant>
        <vt:i4>7602235</vt:i4>
      </vt:variant>
      <vt:variant>
        <vt:i4>3660</vt:i4>
      </vt:variant>
      <vt:variant>
        <vt:i4>0</vt:i4>
      </vt:variant>
      <vt:variant>
        <vt:i4>5</vt:i4>
      </vt:variant>
      <vt:variant>
        <vt:lpwstr/>
      </vt:variant>
      <vt:variant>
        <vt:lpwstr>_ENREF_104</vt:lpwstr>
      </vt:variant>
      <vt:variant>
        <vt:i4>7471161</vt:i4>
      </vt:variant>
      <vt:variant>
        <vt:i4>3652</vt:i4>
      </vt:variant>
      <vt:variant>
        <vt:i4>0</vt:i4>
      </vt:variant>
      <vt:variant>
        <vt:i4>5</vt:i4>
      </vt:variant>
      <vt:variant>
        <vt:lpwstr/>
      </vt:variant>
      <vt:variant>
        <vt:lpwstr>_ENREF_221</vt:lpwstr>
      </vt:variant>
      <vt:variant>
        <vt:i4>7995450</vt:i4>
      </vt:variant>
      <vt:variant>
        <vt:i4>3649</vt:i4>
      </vt:variant>
      <vt:variant>
        <vt:i4>0</vt:i4>
      </vt:variant>
      <vt:variant>
        <vt:i4>5</vt:i4>
      </vt:variant>
      <vt:variant>
        <vt:lpwstr/>
      </vt:variant>
      <vt:variant>
        <vt:lpwstr>_ENREF_219</vt:lpwstr>
      </vt:variant>
      <vt:variant>
        <vt:i4>4784139</vt:i4>
      </vt:variant>
      <vt:variant>
        <vt:i4>3646</vt:i4>
      </vt:variant>
      <vt:variant>
        <vt:i4>0</vt:i4>
      </vt:variant>
      <vt:variant>
        <vt:i4>5</vt:i4>
      </vt:variant>
      <vt:variant>
        <vt:lpwstr/>
      </vt:variant>
      <vt:variant>
        <vt:lpwstr>_ENREF_82</vt:lpwstr>
      </vt:variant>
      <vt:variant>
        <vt:i4>7667770</vt:i4>
      </vt:variant>
      <vt:variant>
        <vt:i4>3638</vt:i4>
      </vt:variant>
      <vt:variant>
        <vt:i4>0</vt:i4>
      </vt:variant>
      <vt:variant>
        <vt:i4>5</vt:i4>
      </vt:variant>
      <vt:variant>
        <vt:lpwstr/>
      </vt:variant>
      <vt:variant>
        <vt:lpwstr>_ENREF_317</vt:lpwstr>
      </vt:variant>
      <vt:variant>
        <vt:i4>4390923</vt:i4>
      </vt:variant>
      <vt:variant>
        <vt:i4>3632</vt:i4>
      </vt:variant>
      <vt:variant>
        <vt:i4>0</vt:i4>
      </vt:variant>
      <vt:variant>
        <vt:i4>5</vt:i4>
      </vt:variant>
      <vt:variant>
        <vt:lpwstr/>
      </vt:variant>
      <vt:variant>
        <vt:lpwstr>_ENREF_21</vt:lpwstr>
      </vt:variant>
      <vt:variant>
        <vt:i4>7733311</vt:i4>
      </vt:variant>
      <vt:variant>
        <vt:i4>3624</vt:i4>
      </vt:variant>
      <vt:variant>
        <vt:i4>0</vt:i4>
      </vt:variant>
      <vt:variant>
        <vt:i4>5</vt:i4>
      </vt:variant>
      <vt:variant>
        <vt:lpwstr/>
      </vt:variant>
      <vt:variant>
        <vt:lpwstr>_ENREF_245</vt:lpwstr>
      </vt:variant>
      <vt:variant>
        <vt:i4>7405627</vt:i4>
      </vt:variant>
      <vt:variant>
        <vt:i4>3621</vt:i4>
      </vt:variant>
      <vt:variant>
        <vt:i4>0</vt:i4>
      </vt:variant>
      <vt:variant>
        <vt:i4>5</vt:i4>
      </vt:variant>
      <vt:variant>
        <vt:lpwstr/>
      </vt:variant>
      <vt:variant>
        <vt:lpwstr>_ENREF_303</vt:lpwstr>
      </vt:variant>
      <vt:variant>
        <vt:i4>4718603</vt:i4>
      </vt:variant>
      <vt:variant>
        <vt:i4>3613</vt:i4>
      </vt:variant>
      <vt:variant>
        <vt:i4>0</vt:i4>
      </vt:variant>
      <vt:variant>
        <vt:i4>5</vt:i4>
      </vt:variant>
      <vt:variant>
        <vt:lpwstr/>
      </vt:variant>
      <vt:variant>
        <vt:lpwstr>_ENREF_98</vt:lpwstr>
      </vt:variant>
      <vt:variant>
        <vt:i4>4653067</vt:i4>
      </vt:variant>
      <vt:variant>
        <vt:i4>3610</vt:i4>
      </vt:variant>
      <vt:variant>
        <vt:i4>0</vt:i4>
      </vt:variant>
      <vt:variant>
        <vt:i4>5</vt:i4>
      </vt:variant>
      <vt:variant>
        <vt:lpwstr/>
      </vt:variant>
      <vt:variant>
        <vt:lpwstr>_ENREF_62</vt:lpwstr>
      </vt:variant>
      <vt:variant>
        <vt:i4>4390923</vt:i4>
      </vt:variant>
      <vt:variant>
        <vt:i4>3602</vt:i4>
      </vt:variant>
      <vt:variant>
        <vt:i4>0</vt:i4>
      </vt:variant>
      <vt:variant>
        <vt:i4>5</vt:i4>
      </vt:variant>
      <vt:variant>
        <vt:lpwstr/>
      </vt:variant>
      <vt:variant>
        <vt:lpwstr>_ENREF_23</vt:lpwstr>
      </vt:variant>
      <vt:variant>
        <vt:i4>8060987</vt:i4>
      </vt:variant>
      <vt:variant>
        <vt:i4>3599</vt:i4>
      </vt:variant>
      <vt:variant>
        <vt:i4>0</vt:i4>
      </vt:variant>
      <vt:variant>
        <vt:i4>5</vt:i4>
      </vt:variant>
      <vt:variant>
        <vt:lpwstr/>
      </vt:variant>
      <vt:variant>
        <vt:lpwstr>_ENREF_208</vt:lpwstr>
      </vt:variant>
      <vt:variant>
        <vt:i4>7340088</vt:i4>
      </vt:variant>
      <vt:variant>
        <vt:i4>3591</vt:i4>
      </vt:variant>
      <vt:variant>
        <vt:i4>0</vt:i4>
      </vt:variant>
      <vt:variant>
        <vt:i4>5</vt:i4>
      </vt:variant>
      <vt:variant>
        <vt:lpwstr/>
      </vt:variant>
      <vt:variant>
        <vt:lpwstr>_ENREF_233</vt:lpwstr>
      </vt:variant>
      <vt:variant>
        <vt:i4>7733298</vt:i4>
      </vt:variant>
      <vt:variant>
        <vt:i4>3588</vt:i4>
      </vt:variant>
      <vt:variant>
        <vt:i4>0</vt:i4>
      </vt:variant>
      <vt:variant>
        <vt:i4>5</vt:i4>
      </vt:variant>
      <vt:variant>
        <vt:lpwstr/>
      </vt:variant>
      <vt:variant>
        <vt:lpwstr>_ENREF_196</vt:lpwstr>
      </vt:variant>
      <vt:variant>
        <vt:i4>7929918</vt:i4>
      </vt:variant>
      <vt:variant>
        <vt:i4>3582</vt:i4>
      </vt:variant>
      <vt:variant>
        <vt:i4>0</vt:i4>
      </vt:variant>
      <vt:variant>
        <vt:i4>5</vt:i4>
      </vt:variant>
      <vt:variant>
        <vt:lpwstr/>
      </vt:variant>
      <vt:variant>
        <vt:lpwstr>_ENREF_159</vt:lpwstr>
      </vt:variant>
      <vt:variant>
        <vt:i4>7733306</vt:i4>
      </vt:variant>
      <vt:variant>
        <vt:i4>3579</vt:i4>
      </vt:variant>
      <vt:variant>
        <vt:i4>0</vt:i4>
      </vt:variant>
      <vt:variant>
        <vt:i4>5</vt:i4>
      </vt:variant>
      <vt:variant>
        <vt:lpwstr/>
      </vt:variant>
      <vt:variant>
        <vt:lpwstr>_ENREF_116</vt:lpwstr>
      </vt:variant>
      <vt:variant>
        <vt:i4>7405625</vt:i4>
      </vt:variant>
      <vt:variant>
        <vt:i4>3576</vt:i4>
      </vt:variant>
      <vt:variant>
        <vt:i4>0</vt:i4>
      </vt:variant>
      <vt:variant>
        <vt:i4>5</vt:i4>
      </vt:variant>
      <vt:variant>
        <vt:lpwstr/>
      </vt:variant>
      <vt:variant>
        <vt:lpwstr>_ENREF_222</vt:lpwstr>
      </vt:variant>
      <vt:variant>
        <vt:i4>7471160</vt:i4>
      </vt:variant>
      <vt:variant>
        <vt:i4>3568</vt:i4>
      </vt:variant>
      <vt:variant>
        <vt:i4>0</vt:i4>
      </vt:variant>
      <vt:variant>
        <vt:i4>5</vt:i4>
      </vt:variant>
      <vt:variant>
        <vt:lpwstr/>
      </vt:variant>
      <vt:variant>
        <vt:lpwstr>_ENREF_231</vt:lpwstr>
      </vt:variant>
      <vt:variant>
        <vt:i4>4390923</vt:i4>
      </vt:variant>
      <vt:variant>
        <vt:i4>3565</vt:i4>
      </vt:variant>
      <vt:variant>
        <vt:i4>0</vt:i4>
      </vt:variant>
      <vt:variant>
        <vt:i4>5</vt:i4>
      </vt:variant>
      <vt:variant>
        <vt:lpwstr/>
      </vt:variant>
      <vt:variant>
        <vt:lpwstr>_ENREF_26</vt:lpwstr>
      </vt:variant>
      <vt:variant>
        <vt:i4>7602232</vt:i4>
      </vt:variant>
      <vt:variant>
        <vt:i4>3557</vt:i4>
      </vt:variant>
      <vt:variant>
        <vt:i4>0</vt:i4>
      </vt:variant>
      <vt:variant>
        <vt:i4>5</vt:i4>
      </vt:variant>
      <vt:variant>
        <vt:lpwstr/>
      </vt:variant>
      <vt:variant>
        <vt:lpwstr>_ENREF_134</vt:lpwstr>
      </vt:variant>
      <vt:variant>
        <vt:i4>7536703</vt:i4>
      </vt:variant>
      <vt:variant>
        <vt:i4>3551</vt:i4>
      </vt:variant>
      <vt:variant>
        <vt:i4>0</vt:i4>
      </vt:variant>
      <vt:variant>
        <vt:i4>5</vt:i4>
      </vt:variant>
      <vt:variant>
        <vt:lpwstr/>
      </vt:variant>
      <vt:variant>
        <vt:lpwstr>_ENREF_240</vt:lpwstr>
      </vt:variant>
      <vt:variant>
        <vt:i4>7798843</vt:i4>
      </vt:variant>
      <vt:variant>
        <vt:i4>3545</vt:i4>
      </vt:variant>
      <vt:variant>
        <vt:i4>0</vt:i4>
      </vt:variant>
      <vt:variant>
        <vt:i4>5</vt:i4>
      </vt:variant>
      <vt:variant>
        <vt:lpwstr/>
      </vt:variant>
      <vt:variant>
        <vt:lpwstr>_ENREF_204</vt:lpwstr>
      </vt:variant>
      <vt:variant>
        <vt:i4>7667770</vt:i4>
      </vt:variant>
      <vt:variant>
        <vt:i4>3542</vt:i4>
      </vt:variant>
      <vt:variant>
        <vt:i4>0</vt:i4>
      </vt:variant>
      <vt:variant>
        <vt:i4>5</vt:i4>
      </vt:variant>
      <vt:variant>
        <vt:lpwstr/>
      </vt:variant>
      <vt:variant>
        <vt:lpwstr>_ENREF_216</vt:lpwstr>
      </vt:variant>
      <vt:variant>
        <vt:i4>7733310</vt:i4>
      </vt:variant>
      <vt:variant>
        <vt:i4>3534</vt:i4>
      </vt:variant>
      <vt:variant>
        <vt:i4>0</vt:i4>
      </vt:variant>
      <vt:variant>
        <vt:i4>5</vt:i4>
      </vt:variant>
      <vt:variant>
        <vt:lpwstr/>
      </vt:variant>
      <vt:variant>
        <vt:lpwstr>_ENREF_255</vt:lpwstr>
      </vt:variant>
      <vt:variant>
        <vt:i4>7798840</vt:i4>
      </vt:variant>
      <vt:variant>
        <vt:i4>3528</vt:i4>
      </vt:variant>
      <vt:variant>
        <vt:i4>0</vt:i4>
      </vt:variant>
      <vt:variant>
        <vt:i4>5</vt:i4>
      </vt:variant>
      <vt:variant>
        <vt:lpwstr/>
      </vt:variant>
      <vt:variant>
        <vt:lpwstr>_ENREF_335</vt:lpwstr>
      </vt:variant>
      <vt:variant>
        <vt:i4>4784139</vt:i4>
      </vt:variant>
      <vt:variant>
        <vt:i4>3525</vt:i4>
      </vt:variant>
      <vt:variant>
        <vt:i4>0</vt:i4>
      </vt:variant>
      <vt:variant>
        <vt:i4>5</vt:i4>
      </vt:variant>
      <vt:variant>
        <vt:lpwstr/>
      </vt:variant>
      <vt:variant>
        <vt:lpwstr>_ENREF_85</vt:lpwstr>
      </vt:variant>
      <vt:variant>
        <vt:i4>4194315</vt:i4>
      </vt:variant>
      <vt:variant>
        <vt:i4>3505</vt:i4>
      </vt:variant>
      <vt:variant>
        <vt:i4>0</vt:i4>
      </vt:variant>
      <vt:variant>
        <vt:i4>5</vt:i4>
      </vt:variant>
      <vt:variant>
        <vt:lpwstr/>
      </vt:variant>
      <vt:variant>
        <vt:lpwstr>_ENREF_14</vt:lpwstr>
      </vt:variant>
      <vt:variant>
        <vt:i4>4653067</vt:i4>
      </vt:variant>
      <vt:variant>
        <vt:i4>3499</vt:i4>
      </vt:variant>
      <vt:variant>
        <vt:i4>0</vt:i4>
      </vt:variant>
      <vt:variant>
        <vt:i4>5</vt:i4>
      </vt:variant>
      <vt:variant>
        <vt:lpwstr/>
      </vt:variant>
      <vt:variant>
        <vt:lpwstr>_ENREF_60</vt:lpwstr>
      </vt:variant>
      <vt:variant>
        <vt:i4>7602235</vt:i4>
      </vt:variant>
      <vt:variant>
        <vt:i4>3331</vt:i4>
      </vt:variant>
      <vt:variant>
        <vt:i4>0</vt:i4>
      </vt:variant>
      <vt:variant>
        <vt:i4>5</vt:i4>
      </vt:variant>
      <vt:variant>
        <vt:lpwstr/>
      </vt:variant>
      <vt:variant>
        <vt:lpwstr>_ENREF_207</vt:lpwstr>
      </vt:variant>
      <vt:variant>
        <vt:i4>4456459</vt:i4>
      </vt:variant>
      <vt:variant>
        <vt:i4>3325</vt:i4>
      </vt:variant>
      <vt:variant>
        <vt:i4>0</vt:i4>
      </vt:variant>
      <vt:variant>
        <vt:i4>5</vt:i4>
      </vt:variant>
      <vt:variant>
        <vt:lpwstr/>
      </vt:variant>
      <vt:variant>
        <vt:lpwstr>_ENREF_5</vt:lpwstr>
      </vt:variant>
      <vt:variant>
        <vt:i4>4587531</vt:i4>
      </vt:variant>
      <vt:variant>
        <vt:i4>3322</vt:i4>
      </vt:variant>
      <vt:variant>
        <vt:i4>0</vt:i4>
      </vt:variant>
      <vt:variant>
        <vt:i4>5</vt:i4>
      </vt:variant>
      <vt:variant>
        <vt:lpwstr/>
      </vt:variant>
      <vt:variant>
        <vt:lpwstr>_ENREF_74</vt:lpwstr>
      </vt:variant>
      <vt:variant>
        <vt:i4>4390923</vt:i4>
      </vt:variant>
      <vt:variant>
        <vt:i4>3289</vt:i4>
      </vt:variant>
      <vt:variant>
        <vt:i4>0</vt:i4>
      </vt:variant>
      <vt:variant>
        <vt:i4>5</vt:i4>
      </vt:variant>
      <vt:variant>
        <vt:lpwstr/>
      </vt:variant>
      <vt:variant>
        <vt:lpwstr>_ENREF_28</vt:lpwstr>
      </vt:variant>
      <vt:variant>
        <vt:i4>7667775</vt:i4>
      </vt:variant>
      <vt:variant>
        <vt:i4>3199</vt:i4>
      </vt:variant>
      <vt:variant>
        <vt:i4>0</vt:i4>
      </vt:variant>
      <vt:variant>
        <vt:i4>5</vt:i4>
      </vt:variant>
      <vt:variant>
        <vt:lpwstr/>
      </vt:variant>
      <vt:variant>
        <vt:lpwstr>_ENREF_246</vt:lpwstr>
      </vt:variant>
      <vt:variant>
        <vt:i4>7471161</vt:i4>
      </vt:variant>
      <vt:variant>
        <vt:i4>3196</vt:i4>
      </vt:variant>
      <vt:variant>
        <vt:i4>0</vt:i4>
      </vt:variant>
      <vt:variant>
        <vt:i4>5</vt:i4>
      </vt:variant>
      <vt:variant>
        <vt:lpwstr/>
      </vt:variant>
      <vt:variant>
        <vt:lpwstr>_ENREF_122</vt:lpwstr>
      </vt:variant>
      <vt:variant>
        <vt:i4>7798846</vt:i4>
      </vt:variant>
      <vt:variant>
        <vt:i4>3178</vt:i4>
      </vt:variant>
      <vt:variant>
        <vt:i4>0</vt:i4>
      </vt:variant>
      <vt:variant>
        <vt:i4>5</vt:i4>
      </vt:variant>
      <vt:variant>
        <vt:lpwstr/>
      </vt:variant>
      <vt:variant>
        <vt:lpwstr>_ENREF_254</vt:lpwstr>
      </vt:variant>
      <vt:variant>
        <vt:i4>7864376</vt:i4>
      </vt:variant>
      <vt:variant>
        <vt:i4>3175</vt:i4>
      </vt:variant>
      <vt:variant>
        <vt:i4>0</vt:i4>
      </vt:variant>
      <vt:variant>
        <vt:i4>5</vt:i4>
      </vt:variant>
      <vt:variant>
        <vt:lpwstr/>
      </vt:variant>
      <vt:variant>
        <vt:lpwstr>_ENREF_138</vt:lpwstr>
      </vt:variant>
      <vt:variant>
        <vt:i4>7471161</vt:i4>
      </vt:variant>
      <vt:variant>
        <vt:i4>3073</vt:i4>
      </vt:variant>
      <vt:variant>
        <vt:i4>0</vt:i4>
      </vt:variant>
      <vt:variant>
        <vt:i4>5</vt:i4>
      </vt:variant>
      <vt:variant>
        <vt:lpwstr/>
      </vt:variant>
      <vt:variant>
        <vt:lpwstr>_ENREF_320</vt:lpwstr>
      </vt:variant>
      <vt:variant>
        <vt:i4>7798835</vt:i4>
      </vt:variant>
      <vt:variant>
        <vt:i4>3070</vt:i4>
      </vt:variant>
      <vt:variant>
        <vt:i4>0</vt:i4>
      </vt:variant>
      <vt:variant>
        <vt:i4>5</vt:i4>
      </vt:variant>
      <vt:variant>
        <vt:lpwstr/>
      </vt:variant>
      <vt:variant>
        <vt:lpwstr>_ENREF_187</vt:lpwstr>
      </vt:variant>
      <vt:variant>
        <vt:i4>4325387</vt:i4>
      </vt:variant>
      <vt:variant>
        <vt:i4>3067</vt:i4>
      </vt:variant>
      <vt:variant>
        <vt:i4>0</vt:i4>
      </vt:variant>
      <vt:variant>
        <vt:i4>5</vt:i4>
      </vt:variant>
      <vt:variant>
        <vt:lpwstr/>
      </vt:variant>
      <vt:variant>
        <vt:lpwstr>_ENREF_39</vt:lpwstr>
      </vt:variant>
      <vt:variant>
        <vt:i4>7929913</vt:i4>
      </vt:variant>
      <vt:variant>
        <vt:i4>3022</vt:i4>
      </vt:variant>
      <vt:variant>
        <vt:i4>0</vt:i4>
      </vt:variant>
      <vt:variant>
        <vt:i4>5</vt:i4>
      </vt:variant>
      <vt:variant>
        <vt:lpwstr/>
      </vt:variant>
      <vt:variant>
        <vt:lpwstr>_ENREF_129</vt:lpwstr>
      </vt:variant>
      <vt:variant>
        <vt:i4>7667768</vt:i4>
      </vt:variant>
      <vt:variant>
        <vt:i4>3016</vt:i4>
      </vt:variant>
      <vt:variant>
        <vt:i4>0</vt:i4>
      </vt:variant>
      <vt:variant>
        <vt:i4>5</vt:i4>
      </vt:variant>
      <vt:variant>
        <vt:lpwstr/>
      </vt:variant>
      <vt:variant>
        <vt:lpwstr>_ENREF_236</vt:lpwstr>
      </vt:variant>
      <vt:variant>
        <vt:i4>4587531</vt:i4>
      </vt:variant>
      <vt:variant>
        <vt:i4>3013</vt:i4>
      </vt:variant>
      <vt:variant>
        <vt:i4>0</vt:i4>
      </vt:variant>
      <vt:variant>
        <vt:i4>5</vt:i4>
      </vt:variant>
      <vt:variant>
        <vt:lpwstr/>
      </vt:variant>
      <vt:variant>
        <vt:lpwstr>_ENREF_75</vt:lpwstr>
      </vt:variant>
      <vt:variant>
        <vt:i4>4325387</vt:i4>
      </vt:variant>
      <vt:variant>
        <vt:i4>2971</vt:i4>
      </vt:variant>
      <vt:variant>
        <vt:i4>0</vt:i4>
      </vt:variant>
      <vt:variant>
        <vt:i4>5</vt:i4>
      </vt:variant>
      <vt:variant>
        <vt:lpwstr/>
      </vt:variant>
      <vt:variant>
        <vt:lpwstr>_ENREF_37</vt:lpwstr>
      </vt:variant>
      <vt:variant>
        <vt:i4>7667773</vt:i4>
      </vt:variant>
      <vt:variant>
        <vt:i4>2965</vt:i4>
      </vt:variant>
      <vt:variant>
        <vt:i4>0</vt:i4>
      </vt:variant>
      <vt:variant>
        <vt:i4>5</vt:i4>
      </vt:variant>
      <vt:variant>
        <vt:lpwstr/>
      </vt:variant>
      <vt:variant>
        <vt:lpwstr>_ENREF_266</vt:lpwstr>
      </vt:variant>
      <vt:variant>
        <vt:i4>7667763</vt:i4>
      </vt:variant>
      <vt:variant>
        <vt:i4>2959</vt:i4>
      </vt:variant>
      <vt:variant>
        <vt:i4>0</vt:i4>
      </vt:variant>
      <vt:variant>
        <vt:i4>5</vt:i4>
      </vt:variant>
      <vt:variant>
        <vt:lpwstr/>
      </vt:variant>
      <vt:variant>
        <vt:lpwstr>_ENREF_286</vt:lpwstr>
      </vt:variant>
      <vt:variant>
        <vt:i4>4325387</vt:i4>
      </vt:variant>
      <vt:variant>
        <vt:i4>2953</vt:i4>
      </vt:variant>
      <vt:variant>
        <vt:i4>0</vt:i4>
      </vt:variant>
      <vt:variant>
        <vt:i4>5</vt:i4>
      </vt:variant>
      <vt:variant>
        <vt:lpwstr/>
      </vt:variant>
      <vt:variant>
        <vt:lpwstr>_ENREF_34</vt:lpwstr>
      </vt:variant>
      <vt:variant>
        <vt:i4>7798847</vt:i4>
      </vt:variant>
      <vt:variant>
        <vt:i4>2947</vt:i4>
      </vt:variant>
      <vt:variant>
        <vt:i4>0</vt:i4>
      </vt:variant>
      <vt:variant>
        <vt:i4>5</vt:i4>
      </vt:variant>
      <vt:variant>
        <vt:lpwstr/>
      </vt:variant>
      <vt:variant>
        <vt:lpwstr>_ENREF_147</vt:lpwstr>
      </vt:variant>
      <vt:variant>
        <vt:i4>4587531</vt:i4>
      </vt:variant>
      <vt:variant>
        <vt:i4>2941</vt:i4>
      </vt:variant>
      <vt:variant>
        <vt:i4>0</vt:i4>
      </vt:variant>
      <vt:variant>
        <vt:i4>5</vt:i4>
      </vt:variant>
      <vt:variant>
        <vt:lpwstr/>
      </vt:variant>
      <vt:variant>
        <vt:lpwstr>_ENREF_73</vt:lpwstr>
      </vt:variant>
      <vt:variant>
        <vt:i4>4521995</vt:i4>
      </vt:variant>
      <vt:variant>
        <vt:i4>2935</vt:i4>
      </vt:variant>
      <vt:variant>
        <vt:i4>0</vt:i4>
      </vt:variant>
      <vt:variant>
        <vt:i4>5</vt:i4>
      </vt:variant>
      <vt:variant>
        <vt:lpwstr/>
      </vt:variant>
      <vt:variant>
        <vt:lpwstr>_ENREF_45</vt:lpwstr>
      </vt:variant>
      <vt:variant>
        <vt:i4>7536702</vt:i4>
      </vt:variant>
      <vt:variant>
        <vt:i4>2929</vt:i4>
      </vt:variant>
      <vt:variant>
        <vt:i4>0</vt:i4>
      </vt:variant>
      <vt:variant>
        <vt:i4>5</vt:i4>
      </vt:variant>
      <vt:variant>
        <vt:lpwstr/>
      </vt:variant>
      <vt:variant>
        <vt:lpwstr>_ENREF_153</vt:lpwstr>
      </vt:variant>
      <vt:variant>
        <vt:i4>7471164</vt:i4>
      </vt:variant>
      <vt:variant>
        <vt:i4>2923</vt:i4>
      </vt:variant>
      <vt:variant>
        <vt:i4>0</vt:i4>
      </vt:variant>
      <vt:variant>
        <vt:i4>5</vt:i4>
      </vt:variant>
      <vt:variant>
        <vt:lpwstr/>
      </vt:variant>
      <vt:variant>
        <vt:lpwstr>_ENREF_271</vt:lpwstr>
      </vt:variant>
      <vt:variant>
        <vt:i4>4784139</vt:i4>
      </vt:variant>
      <vt:variant>
        <vt:i4>2917</vt:i4>
      </vt:variant>
      <vt:variant>
        <vt:i4>0</vt:i4>
      </vt:variant>
      <vt:variant>
        <vt:i4>5</vt:i4>
      </vt:variant>
      <vt:variant>
        <vt:lpwstr/>
      </vt:variant>
      <vt:variant>
        <vt:lpwstr>_ENREF_89</vt:lpwstr>
      </vt:variant>
      <vt:variant>
        <vt:i4>4653067</vt:i4>
      </vt:variant>
      <vt:variant>
        <vt:i4>2914</vt:i4>
      </vt:variant>
      <vt:variant>
        <vt:i4>0</vt:i4>
      </vt:variant>
      <vt:variant>
        <vt:i4>5</vt:i4>
      </vt:variant>
      <vt:variant>
        <vt:lpwstr/>
      </vt:variant>
      <vt:variant>
        <vt:lpwstr>_ENREF_61</vt:lpwstr>
      </vt:variant>
      <vt:variant>
        <vt:i4>7536702</vt:i4>
      </vt:variant>
      <vt:variant>
        <vt:i4>2906</vt:i4>
      </vt:variant>
      <vt:variant>
        <vt:i4>0</vt:i4>
      </vt:variant>
      <vt:variant>
        <vt:i4>5</vt:i4>
      </vt:variant>
      <vt:variant>
        <vt:lpwstr/>
      </vt:variant>
      <vt:variant>
        <vt:lpwstr>_ENREF_153</vt:lpwstr>
      </vt:variant>
      <vt:variant>
        <vt:i4>7340091</vt:i4>
      </vt:variant>
      <vt:variant>
        <vt:i4>2903</vt:i4>
      </vt:variant>
      <vt:variant>
        <vt:i4>0</vt:i4>
      </vt:variant>
      <vt:variant>
        <vt:i4>5</vt:i4>
      </vt:variant>
      <vt:variant>
        <vt:lpwstr/>
      </vt:variant>
      <vt:variant>
        <vt:lpwstr>_ENREF_302</vt:lpwstr>
      </vt:variant>
      <vt:variant>
        <vt:i4>7471166</vt:i4>
      </vt:variant>
      <vt:variant>
        <vt:i4>2897</vt:i4>
      </vt:variant>
      <vt:variant>
        <vt:i4>0</vt:i4>
      </vt:variant>
      <vt:variant>
        <vt:i4>5</vt:i4>
      </vt:variant>
      <vt:variant>
        <vt:lpwstr/>
      </vt:variant>
      <vt:variant>
        <vt:lpwstr>_ENREF_251</vt:lpwstr>
      </vt:variant>
      <vt:variant>
        <vt:i4>7471166</vt:i4>
      </vt:variant>
      <vt:variant>
        <vt:i4>2889</vt:i4>
      </vt:variant>
      <vt:variant>
        <vt:i4>0</vt:i4>
      </vt:variant>
      <vt:variant>
        <vt:i4>5</vt:i4>
      </vt:variant>
      <vt:variant>
        <vt:lpwstr/>
      </vt:variant>
      <vt:variant>
        <vt:lpwstr>_ENREF_251</vt:lpwstr>
      </vt:variant>
      <vt:variant>
        <vt:i4>7667772</vt:i4>
      </vt:variant>
      <vt:variant>
        <vt:i4>2881</vt:i4>
      </vt:variant>
      <vt:variant>
        <vt:i4>0</vt:i4>
      </vt:variant>
      <vt:variant>
        <vt:i4>5</vt:i4>
      </vt:variant>
      <vt:variant>
        <vt:lpwstr/>
      </vt:variant>
      <vt:variant>
        <vt:lpwstr>_ENREF_175</vt:lpwstr>
      </vt:variant>
      <vt:variant>
        <vt:i4>7733306</vt:i4>
      </vt:variant>
      <vt:variant>
        <vt:i4>2875</vt:i4>
      </vt:variant>
      <vt:variant>
        <vt:i4>0</vt:i4>
      </vt:variant>
      <vt:variant>
        <vt:i4>5</vt:i4>
      </vt:variant>
      <vt:variant>
        <vt:lpwstr/>
      </vt:variant>
      <vt:variant>
        <vt:lpwstr>_ENREF_314</vt:lpwstr>
      </vt:variant>
      <vt:variant>
        <vt:i4>4521995</vt:i4>
      </vt:variant>
      <vt:variant>
        <vt:i4>2869</vt:i4>
      </vt:variant>
      <vt:variant>
        <vt:i4>0</vt:i4>
      </vt:variant>
      <vt:variant>
        <vt:i4>5</vt:i4>
      </vt:variant>
      <vt:variant>
        <vt:lpwstr/>
      </vt:variant>
      <vt:variant>
        <vt:lpwstr>_ENREF_40</vt:lpwstr>
      </vt:variant>
      <vt:variant>
        <vt:i4>4718603</vt:i4>
      </vt:variant>
      <vt:variant>
        <vt:i4>2863</vt:i4>
      </vt:variant>
      <vt:variant>
        <vt:i4>0</vt:i4>
      </vt:variant>
      <vt:variant>
        <vt:i4>5</vt:i4>
      </vt:variant>
      <vt:variant>
        <vt:lpwstr/>
      </vt:variant>
      <vt:variant>
        <vt:lpwstr>_ENREF_92</vt:lpwstr>
      </vt:variant>
      <vt:variant>
        <vt:i4>7733306</vt:i4>
      </vt:variant>
      <vt:variant>
        <vt:i4>2857</vt:i4>
      </vt:variant>
      <vt:variant>
        <vt:i4>0</vt:i4>
      </vt:variant>
      <vt:variant>
        <vt:i4>5</vt:i4>
      </vt:variant>
      <vt:variant>
        <vt:lpwstr/>
      </vt:variant>
      <vt:variant>
        <vt:lpwstr>_ENREF_314</vt:lpwstr>
      </vt:variant>
      <vt:variant>
        <vt:i4>7602227</vt:i4>
      </vt:variant>
      <vt:variant>
        <vt:i4>2851</vt:i4>
      </vt:variant>
      <vt:variant>
        <vt:i4>0</vt:i4>
      </vt:variant>
      <vt:variant>
        <vt:i4>5</vt:i4>
      </vt:variant>
      <vt:variant>
        <vt:lpwstr/>
      </vt:variant>
      <vt:variant>
        <vt:lpwstr>_ENREF_184</vt:lpwstr>
      </vt:variant>
      <vt:variant>
        <vt:i4>7733308</vt:i4>
      </vt:variant>
      <vt:variant>
        <vt:i4>2845</vt:i4>
      </vt:variant>
      <vt:variant>
        <vt:i4>0</vt:i4>
      </vt:variant>
      <vt:variant>
        <vt:i4>5</vt:i4>
      </vt:variant>
      <vt:variant>
        <vt:lpwstr/>
      </vt:variant>
      <vt:variant>
        <vt:lpwstr>_ENREF_275</vt:lpwstr>
      </vt:variant>
      <vt:variant>
        <vt:i4>7667772</vt:i4>
      </vt:variant>
      <vt:variant>
        <vt:i4>2839</vt:i4>
      </vt:variant>
      <vt:variant>
        <vt:i4>0</vt:i4>
      </vt:variant>
      <vt:variant>
        <vt:i4>5</vt:i4>
      </vt:variant>
      <vt:variant>
        <vt:lpwstr/>
      </vt:variant>
      <vt:variant>
        <vt:lpwstr>_ENREF_276</vt:lpwstr>
      </vt:variant>
      <vt:variant>
        <vt:i4>4456459</vt:i4>
      </vt:variant>
      <vt:variant>
        <vt:i4>2833</vt:i4>
      </vt:variant>
      <vt:variant>
        <vt:i4>0</vt:i4>
      </vt:variant>
      <vt:variant>
        <vt:i4>5</vt:i4>
      </vt:variant>
      <vt:variant>
        <vt:lpwstr/>
      </vt:variant>
      <vt:variant>
        <vt:lpwstr>_ENREF_55</vt:lpwstr>
      </vt:variant>
      <vt:variant>
        <vt:i4>4325387</vt:i4>
      </vt:variant>
      <vt:variant>
        <vt:i4>2825</vt:i4>
      </vt:variant>
      <vt:variant>
        <vt:i4>0</vt:i4>
      </vt:variant>
      <vt:variant>
        <vt:i4>5</vt:i4>
      </vt:variant>
      <vt:variant>
        <vt:lpwstr/>
      </vt:variant>
      <vt:variant>
        <vt:lpwstr>_ENREF_35</vt:lpwstr>
      </vt:variant>
      <vt:variant>
        <vt:i4>7405626</vt:i4>
      </vt:variant>
      <vt:variant>
        <vt:i4>2819</vt:i4>
      </vt:variant>
      <vt:variant>
        <vt:i4>0</vt:i4>
      </vt:variant>
      <vt:variant>
        <vt:i4>5</vt:i4>
      </vt:variant>
      <vt:variant>
        <vt:lpwstr/>
      </vt:variant>
      <vt:variant>
        <vt:lpwstr>_ENREF_111</vt:lpwstr>
      </vt:variant>
      <vt:variant>
        <vt:i4>7995451</vt:i4>
      </vt:variant>
      <vt:variant>
        <vt:i4>2813</vt:i4>
      </vt:variant>
      <vt:variant>
        <vt:i4>0</vt:i4>
      </vt:variant>
      <vt:variant>
        <vt:i4>5</vt:i4>
      </vt:variant>
      <vt:variant>
        <vt:lpwstr/>
      </vt:variant>
      <vt:variant>
        <vt:lpwstr>_ENREF_308</vt:lpwstr>
      </vt:variant>
      <vt:variant>
        <vt:i4>7733305</vt:i4>
      </vt:variant>
      <vt:variant>
        <vt:i4>2805</vt:i4>
      </vt:variant>
      <vt:variant>
        <vt:i4>0</vt:i4>
      </vt:variant>
      <vt:variant>
        <vt:i4>5</vt:i4>
      </vt:variant>
      <vt:variant>
        <vt:lpwstr/>
      </vt:variant>
      <vt:variant>
        <vt:lpwstr>_ENREF_126</vt:lpwstr>
      </vt:variant>
      <vt:variant>
        <vt:i4>7536696</vt:i4>
      </vt:variant>
      <vt:variant>
        <vt:i4>2799</vt:i4>
      </vt:variant>
      <vt:variant>
        <vt:i4>0</vt:i4>
      </vt:variant>
      <vt:variant>
        <vt:i4>5</vt:i4>
      </vt:variant>
      <vt:variant>
        <vt:lpwstr/>
      </vt:variant>
      <vt:variant>
        <vt:lpwstr>_ENREF_230</vt:lpwstr>
      </vt:variant>
      <vt:variant>
        <vt:i4>4194315</vt:i4>
      </vt:variant>
      <vt:variant>
        <vt:i4>2793</vt:i4>
      </vt:variant>
      <vt:variant>
        <vt:i4>0</vt:i4>
      </vt:variant>
      <vt:variant>
        <vt:i4>5</vt:i4>
      </vt:variant>
      <vt:variant>
        <vt:lpwstr/>
      </vt:variant>
      <vt:variant>
        <vt:lpwstr>_ENREF_10</vt:lpwstr>
      </vt:variant>
      <vt:variant>
        <vt:i4>7929919</vt:i4>
      </vt:variant>
      <vt:variant>
        <vt:i4>2787</vt:i4>
      </vt:variant>
      <vt:variant>
        <vt:i4>0</vt:i4>
      </vt:variant>
      <vt:variant>
        <vt:i4>5</vt:i4>
      </vt:variant>
      <vt:variant>
        <vt:lpwstr/>
      </vt:variant>
      <vt:variant>
        <vt:lpwstr>_ENREF_149</vt:lpwstr>
      </vt:variant>
      <vt:variant>
        <vt:i4>7798847</vt:i4>
      </vt:variant>
      <vt:variant>
        <vt:i4>2781</vt:i4>
      </vt:variant>
      <vt:variant>
        <vt:i4>0</vt:i4>
      </vt:variant>
      <vt:variant>
        <vt:i4>5</vt:i4>
      </vt:variant>
      <vt:variant>
        <vt:lpwstr/>
      </vt:variant>
      <vt:variant>
        <vt:lpwstr>_ENREF_345</vt:lpwstr>
      </vt:variant>
      <vt:variant>
        <vt:i4>7536696</vt:i4>
      </vt:variant>
      <vt:variant>
        <vt:i4>2778</vt:i4>
      </vt:variant>
      <vt:variant>
        <vt:i4>0</vt:i4>
      </vt:variant>
      <vt:variant>
        <vt:i4>5</vt:i4>
      </vt:variant>
      <vt:variant>
        <vt:lpwstr/>
      </vt:variant>
      <vt:variant>
        <vt:lpwstr>_ENREF_331</vt:lpwstr>
      </vt:variant>
      <vt:variant>
        <vt:i4>7602239</vt:i4>
      </vt:variant>
      <vt:variant>
        <vt:i4>2772</vt:i4>
      </vt:variant>
      <vt:variant>
        <vt:i4>0</vt:i4>
      </vt:variant>
      <vt:variant>
        <vt:i4>5</vt:i4>
      </vt:variant>
      <vt:variant>
        <vt:lpwstr/>
      </vt:variant>
      <vt:variant>
        <vt:lpwstr>_ENREF_247</vt:lpwstr>
      </vt:variant>
      <vt:variant>
        <vt:i4>7340089</vt:i4>
      </vt:variant>
      <vt:variant>
        <vt:i4>2769</vt:i4>
      </vt:variant>
      <vt:variant>
        <vt:i4>0</vt:i4>
      </vt:variant>
      <vt:variant>
        <vt:i4>5</vt:i4>
      </vt:variant>
      <vt:variant>
        <vt:lpwstr/>
      </vt:variant>
      <vt:variant>
        <vt:lpwstr>_ENREF_223</vt:lpwstr>
      </vt:variant>
      <vt:variant>
        <vt:i4>7536698</vt:i4>
      </vt:variant>
      <vt:variant>
        <vt:i4>2763</vt:i4>
      </vt:variant>
      <vt:variant>
        <vt:i4>0</vt:i4>
      </vt:variant>
      <vt:variant>
        <vt:i4>5</vt:i4>
      </vt:variant>
      <vt:variant>
        <vt:lpwstr/>
      </vt:variant>
      <vt:variant>
        <vt:lpwstr>_ENREF_311</vt:lpwstr>
      </vt:variant>
      <vt:variant>
        <vt:i4>8060985</vt:i4>
      </vt:variant>
      <vt:variant>
        <vt:i4>2757</vt:i4>
      </vt:variant>
      <vt:variant>
        <vt:i4>0</vt:i4>
      </vt:variant>
      <vt:variant>
        <vt:i4>5</vt:i4>
      </vt:variant>
      <vt:variant>
        <vt:lpwstr/>
      </vt:variant>
      <vt:variant>
        <vt:lpwstr>_ENREF_228</vt:lpwstr>
      </vt:variant>
      <vt:variant>
        <vt:i4>7798846</vt:i4>
      </vt:variant>
      <vt:variant>
        <vt:i4>2751</vt:i4>
      </vt:variant>
      <vt:variant>
        <vt:i4>0</vt:i4>
      </vt:variant>
      <vt:variant>
        <vt:i4>5</vt:i4>
      </vt:variant>
      <vt:variant>
        <vt:lpwstr/>
      </vt:variant>
      <vt:variant>
        <vt:lpwstr>_ENREF_157</vt:lpwstr>
      </vt:variant>
      <vt:variant>
        <vt:i4>8060990</vt:i4>
      </vt:variant>
      <vt:variant>
        <vt:i4>2745</vt:i4>
      </vt:variant>
      <vt:variant>
        <vt:i4>0</vt:i4>
      </vt:variant>
      <vt:variant>
        <vt:i4>5</vt:i4>
      </vt:variant>
      <vt:variant>
        <vt:lpwstr/>
      </vt:variant>
      <vt:variant>
        <vt:lpwstr>_ENREF_258</vt:lpwstr>
      </vt:variant>
      <vt:variant>
        <vt:i4>7864381</vt:i4>
      </vt:variant>
      <vt:variant>
        <vt:i4>2739</vt:i4>
      </vt:variant>
      <vt:variant>
        <vt:i4>0</vt:i4>
      </vt:variant>
      <vt:variant>
        <vt:i4>5</vt:i4>
      </vt:variant>
      <vt:variant>
        <vt:lpwstr/>
      </vt:variant>
      <vt:variant>
        <vt:lpwstr>_ENREF_168</vt:lpwstr>
      </vt:variant>
      <vt:variant>
        <vt:i4>7405624</vt:i4>
      </vt:variant>
      <vt:variant>
        <vt:i4>2733</vt:i4>
      </vt:variant>
      <vt:variant>
        <vt:i4>0</vt:i4>
      </vt:variant>
      <vt:variant>
        <vt:i4>5</vt:i4>
      </vt:variant>
      <vt:variant>
        <vt:lpwstr/>
      </vt:variant>
      <vt:variant>
        <vt:lpwstr>_ENREF_232</vt:lpwstr>
      </vt:variant>
      <vt:variant>
        <vt:i4>7471155</vt:i4>
      </vt:variant>
      <vt:variant>
        <vt:i4>2727</vt:i4>
      </vt:variant>
      <vt:variant>
        <vt:i4>0</vt:i4>
      </vt:variant>
      <vt:variant>
        <vt:i4>5</vt:i4>
      </vt:variant>
      <vt:variant>
        <vt:lpwstr/>
      </vt:variant>
      <vt:variant>
        <vt:lpwstr>_ENREF_182</vt:lpwstr>
      </vt:variant>
      <vt:variant>
        <vt:i4>4325387</vt:i4>
      </vt:variant>
      <vt:variant>
        <vt:i4>2715</vt:i4>
      </vt:variant>
      <vt:variant>
        <vt:i4>0</vt:i4>
      </vt:variant>
      <vt:variant>
        <vt:i4>5</vt:i4>
      </vt:variant>
      <vt:variant>
        <vt:lpwstr/>
      </vt:variant>
      <vt:variant>
        <vt:lpwstr>_ENREF_37</vt:lpwstr>
      </vt:variant>
      <vt:variant>
        <vt:i4>7667773</vt:i4>
      </vt:variant>
      <vt:variant>
        <vt:i4>2709</vt:i4>
      </vt:variant>
      <vt:variant>
        <vt:i4>0</vt:i4>
      </vt:variant>
      <vt:variant>
        <vt:i4>5</vt:i4>
      </vt:variant>
      <vt:variant>
        <vt:lpwstr/>
      </vt:variant>
      <vt:variant>
        <vt:lpwstr>_ENREF_266</vt:lpwstr>
      </vt:variant>
      <vt:variant>
        <vt:i4>7667763</vt:i4>
      </vt:variant>
      <vt:variant>
        <vt:i4>2703</vt:i4>
      </vt:variant>
      <vt:variant>
        <vt:i4>0</vt:i4>
      </vt:variant>
      <vt:variant>
        <vt:i4>5</vt:i4>
      </vt:variant>
      <vt:variant>
        <vt:lpwstr/>
      </vt:variant>
      <vt:variant>
        <vt:lpwstr>_ENREF_286</vt:lpwstr>
      </vt:variant>
      <vt:variant>
        <vt:i4>4325387</vt:i4>
      </vt:variant>
      <vt:variant>
        <vt:i4>2697</vt:i4>
      </vt:variant>
      <vt:variant>
        <vt:i4>0</vt:i4>
      </vt:variant>
      <vt:variant>
        <vt:i4>5</vt:i4>
      </vt:variant>
      <vt:variant>
        <vt:lpwstr/>
      </vt:variant>
      <vt:variant>
        <vt:lpwstr>_ENREF_34</vt:lpwstr>
      </vt:variant>
      <vt:variant>
        <vt:i4>4194315</vt:i4>
      </vt:variant>
      <vt:variant>
        <vt:i4>2685</vt:i4>
      </vt:variant>
      <vt:variant>
        <vt:i4>0</vt:i4>
      </vt:variant>
      <vt:variant>
        <vt:i4>5</vt:i4>
      </vt:variant>
      <vt:variant>
        <vt:lpwstr/>
      </vt:variant>
      <vt:variant>
        <vt:lpwstr>_ENREF_15</vt:lpwstr>
      </vt:variant>
      <vt:variant>
        <vt:i4>7340089</vt:i4>
      </vt:variant>
      <vt:variant>
        <vt:i4>2679</vt:i4>
      </vt:variant>
      <vt:variant>
        <vt:i4>0</vt:i4>
      </vt:variant>
      <vt:variant>
        <vt:i4>5</vt:i4>
      </vt:variant>
      <vt:variant>
        <vt:lpwstr/>
      </vt:variant>
      <vt:variant>
        <vt:lpwstr>_ENREF_120</vt:lpwstr>
      </vt:variant>
      <vt:variant>
        <vt:i4>7405626</vt:i4>
      </vt:variant>
      <vt:variant>
        <vt:i4>2673</vt:i4>
      </vt:variant>
      <vt:variant>
        <vt:i4>0</vt:i4>
      </vt:variant>
      <vt:variant>
        <vt:i4>5</vt:i4>
      </vt:variant>
      <vt:variant>
        <vt:lpwstr/>
      </vt:variant>
      <vt:variant>
        <vt:lpwstr>_ENREF_313</vt:lpwstr>
      </vt:variant>
      <vt:variant>
        <vt:i4>7340090</vt:i4>
      </vt:variant>
      <vt:variant>
        <vt:i4>2667</vt:i4>
      </vt:variant>
      <vt:variant>
        <vt:i4>0</vt:i4>
      </vt:variant>
      <vt:variant>
        <vt:i4>5</vt:i4>
      </vt:variant>
      <vt:variant>
        <vt:lpwstr/>
      </vt:variant>
      <vt:variant>
        <vt:lpwstr>_ENREF_312</vt:lpwstr>
      </vt:variant>
      <vt:variant>
        <vt:i4>7405626</vt:i4>
      </vt:variant>
      <vt:variant>
        <vt:i4>2661</vt:i4>
      </vt:variant>
      <vt:variant>
        <vt:i4>0</vt:i4>
      </vt:variant>
      <vt:variant>
        <vt:i4>5</vt:i4>
      </vt:variant>
      <vt:variant>
        <vt:lpwstr/>
      </vt:variant>
      <vt:variant>
        <vt:lpwstr>_ENREF_313</vt:lpwstr>
      </vt:variant>
      <vt:variant>
        <vt:i4>7798847</vt:i4>
      </vt:variant>
      <vt:variant>
        <vt:i4>2649</vt:i4>
      </vt:variant>
      <vt:variant>
        <vt:i4>0</vt:i4>
      </vt:variant>
      <vt:variant>
        <vt:i4>5</vt:i4>
      </vt:variant>
      <vt:variant>
        <vt:lpwstr/>
      </vt:variant>
      <vt:variant>
        <vt:lpwstr>_ENREF_147</vt:lpwstr>
      </vt:variant>
      <vt:variant>
        <vt:i4>4587531</vt:i4>
      </vt:variant>
      <vt:variant>
        <vt:i4>2643</vt:i4>
      </vt:variant>
      <vt:variant>
        <vt:i4>0</vt:i4>
      </vt:variant>
      <vt:variant>
        <vt:i4>5</vt:i4>
      </vt:variant>
      <vt:variant>
        <vt:lpwstr/>
      </vt:variant>
      <vt:variant>
        <vt:lpwstr>_ENREF_73</vt:lpwstr>
      </vt:variant>
      <vt:variant>
        <vt:i4>7340090</vt:i4>
      </vt:variant>
      <vt:variant>
        <vt:i4>2637</vt:i4>
      </vt:variant>
      <vt:variant>
        <vt:i4>0</vt:i4>
      </vt:variant>
      <vt:variant>
        <vt:i4>5</vt:i4>
      </vt:variant>
      <vt:variant>
        <vt:lpwstr/>
      </vt:variant>
      <vt:variant>
        <vt:lpwstr>_ENREF_312</vt:lpwstr>
      </vt:variant>
      <vt:variant>
        <vt:i4>7995443</vt:i4>
      </vt:variant>
      <vt:variant>
        <vt:i4>2631</vt:i4>
      </vt:variant>
      <vt:variant>
        <vt:i4>0</vt:i4>
      </vt:variant>
      <vt:variant>
        <vt:i4>5</vt:i4>
      </vt:variant>
      <vt:variant>
        <vt:lpwstr/>
      </vt:variant>
      <vt:variant>
        <vt:lpwstr>_ENREF_289</vt:lpwstr>
      </vt:variant>
      <vt:variant>
        <vt:i4>7733308</vt:i4>
      </vt:variant>
      <vt:variant>
        <vt:i4>2625</vt:i4>
      </vt:variant>
      <vt:variant>
        <vt:i4>0</vt:i4>
      </vt:variant>
      <vt:variant>
        <vt:i4>5</vt:i4>
      </vt:variant>
      <vt:variant>
        <vt:lpwstr/>
      </vt:variant>
      <vt:variant>
        <vt:lpwstr>_ENREF_176</vt:lpwstr>
      </vt:variant>
      <vt:variant>
        <vt:i4>4718603</vt:i4>
      </vt:variant>
      <vt:variant>
        <vt:i4>2619</vt:i4>
      </vt:variant>
      <vt:variant>
        <vt:i4>0</vt:i4>
      </vt:variant>
      <vt:variant>
        <vt:i4>5</vt:i4>
      </vt:variant>
      <vt:variant>
        <vt:lpwstr/>
      </vt:variant>
      <vt:variant>
        <vt:lpwstr>_ENREF_93</vt:lpwstr>
      </vt:variant>
      <vt:variant>
        <vt:i4>7733299</vt:i4>
      </vt:variant>
      <vt:variant>
        <vt:i4>2613</vt:i4>
      </vt:variant>
      <vt:variant>
        <vt:i4>0</vt:i4>
      </vt:variant>
      <vt:variant>
        <vt:i4>5</vt:i4>
      </vt:variant>
      <vt:variant>
        <vt:lpwstr/>
      </vt:variant>
      <vt:variant>
        <vt:lpwstr>_ENREF_186</vt:lpwstr>
      </vt:variant>
      <vt:variant>
        <vt:i4>7798841</vt:i4>
      </vt:variant>
      <vt:variant>
        <vt:i4>2607</vt:i4>
      </vt:variant>
      <vt:variant>
        <vt:i4>0</vt:i4>
      </vt:variant>
      <vt:variant>
        <vt:i4>5</vt:i4>
      </vt:variant>
      <vt:variant>
        <vt:lpwstr/>
      </vt:variant>
      <vt:variant>
        <vt:lpwstr>_ENREF_325</vt:lpwstr>
      </vt:variant>
      <vt:variant>
        <vt:i4>7995449</vt:i4>
      </vt:variant>
      <vt:variant>
        <vt:i4>2601</vt:i4>
      </vt:variant>
      <vt:variant>
        <vt:i4>0</vt:i4>
      </vt:variant>
      <vt:variant>
        <vt:i4>5</vt:i4>
      </vt:variant>
      <vt:variant>
        <vt:lpwstr/>
      </vt:variant>
      <vt:variant>
        <vt:lpwstr>_ENREF_328</vt:lpwstr>
      </vt:variant>
      <vt:variant>
        <vt:i4>4718603</vt:i4>
      </vt:variant>
      <vt:variant>
        <vt:i4>2593</vt:i4>
      </vt:variant>
      <vt:variant>
        <vt:i4>0</vt:i4>
      </vt:variant>
      <vt:variant>
        <vt:i4>5</vt:i4>
      </vt:variant>
      <vt:variant>
        <vt:lpwstr/>
      </vt:variant>
      <vt:variant>
        <vt:lpwstr>_ENREF_91</vt:lpwstr>
      </vt:variant>
      <vt:variant>
        <vt:i4>7667770</vt:i4>
      </vt:variant>
      <vt:variant>
        <vt:i4>2587</vt:i4>
      </vt:variant>
      <vt:variant>
        <vt:i4>0</vt:i4>
      </vt:variant>
      <vt:variant>
        <vt:i4>5</vt:i4>
      </vt:variant>
      <vt:variant>
        <vt:lpwstr/>
      </vt:variant>
      <vt:variant>
        <vt:lpwstr>_ENREF_115</vt:lpwstr>
      </vt:variant>
      <vt:variant>
        <vt:i4>7995442</vt:i4>
      </vt:variant>
      <vt:variant>
        <vt:i4>2581</vt:i4>
      </vt:variant>
      <vt:variant>
        <vt:i4>0</vt:i4>
      </vt:variant>
      <vt:variant>
        <vt:i4>5</vt:i4>
      </vt:variant>
      <vt:variant>
        <vt:lpwstr/>
      </vt:variant>
      <vt:variant>
        <vt:lpwstr>_ENREF_299</vt:lpwstr>
      </vt:variant>
      <vt:variant>
        <vt:i4>7995442</vt:i4>
      </vt:variant>
      <vt:variant>
        <vt:i4>2575</vt:i4>
      </vt:variant>
      <vt:variant>
        <vt:i4>0</vt:i4>
      </vt:variant>
      <vt:variant>
        <vt:i4>5</vt:i4>
      </vt:variant>
      <vt:variant>
        <vt:lpwstr/>
      </vt:variant>
      <vt:variant>
        <vt:lpwstr>_ENREF_299</vt:lpwstr>
      </vt:variant>
      <vt:variant>
        <vt:i4>7602232</vt:i4>
      </vt:variant>
      <vt:variant>
        <vt:i4>2569</vt:i4>
      </vt:variant>
      <vt:variant>
        <vt:i4>0</vt:i4>
      </vt:variant>
      <vt:variant>
        <vt:i4>5</vt:i4>
      </vt:variant>
      <vt:variant>
        <vt:lpwstr/>
      </vt:variant>
      <vt:variant>
        <vt:lpwstr>_ENREF_336</vt:lpwstr>
      </vt:variant>
      <vt:variant>
        <vt:i4>4325387</vt:i4>
      </vt:variant>
      <vt:variant>
        <vt:i4>2566</vt:i4>
      </vt:variant>
      <vt:variant>
        <vt:i4>0</vt:i4>
      </vt:variant>
      <vt:variant>
        <vt:i4>5</vt:i4>
      </vt:variant>
      <vt:variant>
        <vt:lpwstr/>
      </vt:variant>
      <vt:variant>
        <vt:lpwstr>_ENREF_32</vt:lpwstr>
      </vt:variant>
      <vt:variant>
        <vt:i4>7340093</vt:i4>
      </vt:variant>
      <vt:variant>
        <vt:i4>2558</vt:i4>
      </vt:variant>
      <vt:variant>
        <vt:i4>0</vt:i4>
      </vt:variant>
      <vt:variant>
        <vt:i4>5</vt:i4>
      </vt:variant>
      <vt:variant>
        <vt:lpwstr/>
      </vt:variant>
      <vt:variant>
        <vt:lpwstr>_ENREF_263</vt:lpwstr>
      </vt:variant>
      <vt:variant>
        <vt:i4>7405618</vt:i4>
      </vt:variant>
      <vt:variant>
        <vt:i4>2552</vt:i4>
      </vt:variant>
      <vt:variant>
        <vt:i4>0</vt:i4>
      </vt:variant>
      <vt:variant>
        <vt:i4>5</vt:i4>
      </vt:variant>
      <vt:variant>
        <vt:lpwstr/>
      </vt:variant>
      <vt:variant>
        <vt:lpwstr>_ENREF_292</vt:lpwstr>
      </vt:variant>
      <vt:variant>
        <vt:i4>7733304</vt:i4>
      </vt:variant>
      <vt:variant>
        <vt:i4>2546</vt:i4>
      </vt:variant>
      <vt:variant>
        <vt:i4>0</vt:i4>
      </vt:variant>
      <vt:variant>
        <vt:i4>5</vt:i4>
      </vt:variant>
      <vt:variant>
        <vt:lpwstr/>
      </vt:variant>
      <vt:variant>
        <vt:lpwstr>_ENREF_334</vt:lpwstr>
      </vt:variant>
      <vt:variant>
        <vt:i4>4653067</vt:i4>
      </vt:variant>
      <vt:variant>
        <vt:i4>2540</vt:i4>
      </vt:variant>
      <vt:variant>
        <vt:i4>0</vt:i4>
      </vt:variant>
      <vt:variant>
        <vt:i4>5</vt:i4>
      </vt:variant>
      <vt:variant>
        <vt:lpwstr/>
      </vt:variant>
      <vt:variant>
        <vt:lpwstr>_ENREF_66</vt:lpwstr>
      </vt:variant>
      <vt:variant>
        <vt:i4>7405627</vt:i4>
      </vt:variant>
      <vt:variant>
        <vt:i4>2534</vt:i4>
      </vt:variant>
      <vt:variant>
        <vt:i4>0</vt:i4>
      </vt:variant>
      <vt:variant>
        <vt:i4>5</vt:i4>
      </vt:variant>
      <vt:variant>
        <vt:lpwstr/>
      </vt:variant>
      <vt:variant>
        <vt:lpwstr>_ENREF_101</vt:lpwstr>
      </vt:variant>
      <vt:variant>
        <vt:i4>4718603</vt:i4>
      </vt:variant>
      <vt:variant>
        <vt:i4>2528</vt:i4>
      </vt:variant>
      <vt:variant>
        <vt:i4>0</vt:i4>
      </vt:variant>
      <vt:variant>
        <vt:i4>5</vt:i4>
      </vt:variant>
      <vt:variant>
        <vt:lpwstr/>
      </vt:variant>
      <vt:variant>
        <vt:lpwstr>_ENREF_99</vt:lpwstr>
      </vt:variant>
      <vt:variant>
        <vt:i4>4653067</vt:i4>
      </vt:variant>
      <vt:variant>
        <vt:i4>2525</vt:i4>
      </vt:variant>
      <vt:variant>
        <vt:i4>0</vt:i4>
      </vt:variant>
      <vt:variant>
        <vt:i4>5</vt:i4>
      </vt:variant>
      <vt:variant>
        <vt:lpwstr/>
      </vt:variant>
      <vt:variant>
        <vt:lpwstr>_ENREF_66</vt:lpwstr>
      </vt:variant>
      <vt:variant>
        <vt:i4>7864377</vt:i4>
      </vt:variant>
      <vt:variant>
        <vt:i4>2519</vt:i4>
      </vt:variant>
      <vt:variant>
        <vt:i4>0</vt:i4>
      </vt:variant>
      <vt:variant>
        <vt:i4>5</vt:i4>
      </vt:variant>
      <vt:variant>
        <vt:lpwstr/>
      </vt:variant>
      <vt:variant>
        <vt:lpwstr>_ENREF_128</vt:lpwstr>
      </vt:variant>
      <vt:variant>
        <vt:i4>7798842</vt:i4>
      </vt:variant>
      <vt:variant>
        <vt:i4>2513</vt:i4>
      </vt:variant>
      <vt:variant>
        <vt:i4>0</vt:i4>
      </vt:variant>
      <vt:variant>
        <vt:i4>5</vt:i4>
      </vt:variant>
      <vt:variant>
        <vt:lpwstr/>
      </vt:variant>
      <vt:variant>
        <vt:lpwstr>_ENREF_214</vt:lpwstr>
      </vt:variant>
      <vt:variant>
        <vt:i4>7667762</vt:i4>
      </vt:variant>
      <vt:variant>
        <vt:i4>2507</vt:i4>
      </vt:variant>
      <vt:variant>
        <vt:i4>0</vt:i4>
      </vt:variant>
      <vt:variant>
        <vt:i4>5</vt:i4>
      </vt:variant>
      <vt:variant>
        <vt:lpwstr/>
      </vt:variant>
      <vt:variant>
        <vt:lpwstr>_ENREF_195</vt:lpwstr>
      </vt:variant>
      <vt:variant>
        <vt:i4>7667762</vt:i4>
      </vt:variant>
      <vt:variant>
        <vt:i4>2501</vt:i4>
      </vt:variant>
      <vt:variant>
        <vt:i4>0</vt:i4>
      </vt:variant>
      <vt:variant>
        <vt:i4>5</vt:i4>
      </vt:variant>
      <vt:variant>
        <vt:lpwstr/>
      </vt:variant>
      <vt:variant>
        <vt:lpwstr>_ENREF_195</vt:lpwstr>
      </vt:variant>
      <vt:variant>
        <vt:i4>7602239</vt:i4>
      </vt:variant>
      <vt:variant>
        <vt:i4>2495</vt:i4>
      </vt:variant>
      <vt:variant>
        <vt:i4>0</vt:i4>
      </vt:variant>
      <vt:variant>
        <vt:i4>5</vt:i4>
      </vt:variant>
      <vt:variant>
        <vt:lpwstr/>
      </vt:variant>
      <vt:variant>
        <vt:lpwstr>_ENREF_144</vt:lpwstr>
      </vt:variant>
      <vt:variant>
        <vt:i4>8060984</vt:i4>
      </vt:variant>
      <vt:variant>
        <vt:i4>2489</vt:i4>
      </vt:variant>
      <vt:variant>
        <vt:i4>0</vt:i4>
      </vt:variant>
      <vt:variant>
        <vt:i4>5</vt:i4>
      </vt:variant>
      <vt:variant>
        <vt:lpwstr/>
      </vt:variant>
      <vt:variant>
        <vt:lpwstr>_ENREF_238</vt:lpwstr>
      </vt:variant>
      <vt:variant>
        <vt:i4>4587531</vt:i4>
      </vt:variant>
      <vt:variant>
        <vt:i4>2483</vt:i4>
      </vt:variant>
      <vt:variant>
        <vt:i4>0</vt:i4>
      </vt:variant>
      <vt:variant>
        <vt:i4>5</vt:i4>
      </vt:variant>
      <vt:variant>
        <vt:lpwstr/>
      </vt:variant>
      <vt:variant>
        <vt:lpwstr>_ENREF_79</vt:lpwstr>
      </vt:variant>
      <vt:variant>
        <vt:i4>7536699</vt:i4>
      </vt:variant>
      <vt:variant>
        <vt:i4>2480</vt:i4>
      </vt:variant>
      <vt:variant>
        <vt:i4>0</vt:i4>
      </vt:variant>
      <vt:variant>
        <vt:i4>5</vt:i4>
      </vt:variant>
      <vt:variant>
        <vt:lpwstr/>
      </vt:variant>
      <vt:variant>
        <vt:lpwstr>_ENREF_200</vt:lpwstr>
      </vt:variant>
      <vt:variant>
        <vt:i4>8060985</vt:i4>
      </vt:variant>
      <vt:variant>
        <vt:i4>2474</vt:i4>
      </vt:variant>
      <vt:variant>
        <vt:i4>0</vt:i4>
      </vt:variant>
      <vt:variant>
        <vt:i4>5</vt:i4>
      </vt:variant>
      <vt:variant>
        <vt:lpwstr/>
      </vt:variant>
      <vt:variant>
        <vt:lpwstr>_ENREF_329</vt:lpwstr>
      </vt:variant>
      <vt:variant>
        <vt:i4>4587531</vt:i4>
      </vt:variant>
      <vt:variant>
        <vt:i4>2471</vt:i4>
      </vt:variant>
      <vt:variant>
        <vt:i4>0</vt:i4>
      </vt:variant>
      <vt:variant>
        <vt:i4>5</vt:i4>
      </vt:variant>
      <vt:variant>
        <vt:lpwstr/>
      </vt:variant>
      <vt:variant>
        <vt:lpwstr>_ENREF_7</vt:lpwstr>
      </vt:variant>
      <vt:variant>
        <vt:i4>8060986</vt:i4>
      </vt:variant>
      <vt:variant>
        <vt:i4>2465</vt:i4>
      </vt:variant>
      <vt:variant>
        <vt:i4>0</vt:i4>
      </vt:variant>
      <vt:variant>
        <vt:i4>5</vt:i4>
      </vt:variant>
      <vt:variant>
        <vt:lpwstr/>
      </vt:variant>
      <vt:variant>
        <vt:lpwstr>_ENREF_218</vt:lpwstr>
      </vt:variant>
      <vt:variant>
        <vt:i4>7471164</vt:i4>
      </vt:variant>
      <vt:variant>
        <vt:i4>2462</vt:i4>
      </vt:variant>
      <vt:variant>
        <vt:i4>0</vt:i4>
      </vt:variant>
      <vt:variant>
        <vt:i4>5</vt:i4>
      </vt:variant>
      <vt:variant>
        <vt:lpwstr/>
      </vt:variant>
      <vt:variant>
        <vt:lpwstr>_ENREF_172</vt:lpwstr>
      </vt:variant>
      <vt:variant>
        <vt:i4>7536699</vt:i4>
      </vt:variant>
      <vt:variant>
        <vt:i4>2450</vt:i4>
      </vt:variant>
      <vt:variant>
        <vt:i4>0</vt:i4>
      </vt:variant>
      <vt:variant>
        <vt:i4>5</vt:i4>
      </vt:variant>
      <vt:variant>
        <vt:lpwstr/>
      </vt:variant>
      <vt:variant>
        <vt:lpwstr>_ENREF_200</vt:lpwstr>
      </vt:variant>
      <vt:variant>
        <vt:i4>4194315</vt:i4>
      </vt:variant>
      <vt:variant>
        <vt:i4>2447</vt:i4>
      </vt:variant>
      <vt:variant>
        <vt:i4>0</vt:i4>
      </vt:variant>
      <vt:variant>
        <vt:i4>5</vt:i4>
      </vt:variant>
      <vt:variant>
        <vt:lpwstr/>
      </vt:variant>
      <vt:variant>
        <vt:lpwstr>_ENREF_16</vt:lpwstr>
      </vt:variant>
      <vt:variant>
        <vt:i4>4784139</vt:i4>
      </vt:variant>
      <vt:variant>
        <vt:i4>2441</vt:i4>
      </vt:variant>
      <vt:variant>
        <vt:i4>0</vt:i4>
      </vt:variant>
      <vt:variant>
        <vt:i4>5</vt:i4>
      </vt:variant>
      <vt:variant>
        <vt:lpwstr/>
      </vt:variant>
      <vt:variant>
        <vt:lpwstr>_ENREF_83</vt:lpwstr>
      </vt:variant>
      <vt:variant>
        <vt:i4>8060984</vt:i4>
      </vt:variant>
      <vt:variant>
        <vt:i4>2435</vt:i4>
      </vt:variant>
      <vt:variant>
        <vt:i4>0</vt:i4>
      </vt:variant>
      <vt:variant>
        <vt:i4>5</vt:i4>
      </vt:variant>
      <vt:variant>
        <vt:lpwstr/>
      </vt:variant>
      <vt:variant>
        <vt:lpwstr>_ENREF_238</vt:lpwstr>
      </vt:variant>
      <vt:variant>
        <vt:i4>7929906</vt:i4>
      </vt:variant>
      <vt:variant>
        <vt:i4>2429</vt:i4>
      </vt:variant>
      <vt:variant>
        <vt:i4>0</vt:i4>
      </vt:variant>
      <vt:variant>
        <vt:i4>5</vt:i4>
      </vt:variant>
      <vt:variant>
        <vt:lpwstr/>
      </vt:variant>
      <vt:variant>
        <vt:lpwstr>_ENREF_199</vt:lpwstr>
      </vt:variant>
      <vt:variant>
        <vt:i4>7471162</vt:i4>
      </vt:variant>
      <vt:variant>
        <vt:i4>2423</vt:i4>
      </vt:variant>
      <vt:variant>
        <vt:i4>0</vt:i4>
      </vt:variant>
      <vt:variant>
        <vt:i4>5</vt:i4>
      </vt:variant>
      <vt:variant>
        <vt:lpwstr/>
      </vt:variant>
      <vt:variant>
        <vt:lpwstr>_ENREF_211</vt:lpwstr>
      </vt:variant>
      <vt:variant>
        <vt:i4>4587531</vt:i4>
      </vt:variant>
      <vt:variant>
        <vt:i4>2417</vt:i4>
      </vt:variant>
      <vt:variant>
        <vt:i4>0</vt:i4>
      </vt:variant>
      <vt:variant>
        <vt:i4>5</vt:i4>
      </vt:variant>
      <vt:variant>
        <vt:lpwstr/>
      </vt:variant>
      <vt:variant>
        <vt:lpwstr>_ENREF_7</vt:lpwstr>
      </vt:variant>
      <vt:variant>
        <vt:i4>7471163</vt:i4>
      </vt:variant>
      <vt:variant>
        <vt:i4>2411</vt:i4>
      </vt:variant>
      <vt:variant>
        <vt:i4>0</vt:i4>
      </vt:variant>
      <vt:variant>
        <vt:i4>5</vt:i4>
      </vt:variant>
      <vt:variant>
        <vt:lpwstr/>
      </vt:variant>
      <vt:variant>
        <vt:lpwstr>_ENREF_102</vt:lpwstr>
      </vt:variant>
      <vt:variant>
        <vt:i4>7798834</vt:i4>
      </vt:variant>
      <vt:variant>
        <vt:i4>2405</vt:i4>
      </vt:variant>
      <vt:variant>
        <vt:i4>0</vt:i4>
      </vt:variant>
      <vt:variant>
        <vt:i4>5</vt:i4>
      </vt:variant>
      <vt:variant>
        <vt:lpwstr/>
      </vt:variant>
      <vt:variant>
        <vt:lpwstr>_ENREF_294</vt:lpwstr>
      </vt:variant>
      <vt:variant>
        <vt:i4>7405619</vt:i4>
      </vt:variant>
      <vt:variant>
        <vt:i4>2399</vt:i4>
      </vt:variant>
      <vt:variant>
        <vt:i4>0</vt:i4>
      </vt:variant>
      <vt:variant>
        <vt:i4>5</vt:i4>
      </vt:variant>
      <vt:variant>
        <vt:lpwstr/>
      </vt:variant>
      <vt:variant>
        <vt:lpwstr>_ENREF_282</vt:lpwstr>
      </vt:variant>
      <vt:variant>
        <vt:i4>7405630</vt:i4>
      </vt:variant>
      <vt:variant>
        <vt:i4>2396</vt:i4>
      </vt:variant>
      <vt:variant>
        <vt:i4>0</vt:i4>
      </vt:variant>
      <vt:variant>
        <vt:i4>5</vt:i4>
      </vt:variant>
      <vt:variant>
        <vt:lpwstr/>
      </vt:variant>
      <vt:variant>
        <vt:lpwstr>_ENREF_252</vt:lpwstr>
      </vt:variant>
      <vt:variant>
        <vt:i4>7405618</vt:i4>
      </vt:variant>
      <vt:variant>
        <vt:i4>2390</vt:i4>
      </vt:variant>
      <vt:variant>
        <vt:i4>0</vt:i4>
      </vt:variant>
      <vt:variant>
        <vt:i4>5</vt:i4>
      </vt:variant>
      <vt:variant>
        <vt:lpwstr/>
      </vt:variant>
      <vt:variant>
        <vt:lpwstr>_ENREF_191</vt:lpwstr>
      </vt:variant>
      <vt:variant>
        <vt:i4>4784139</vt:i4>
      </vt:variant>
      <vt:variant>
        <vt:i4>2384</vt:i4>
      </vt:variant>
      <vt:variant>
        <vt:i4>0</vt:i4>
      </vt:variant>
      <vt:variant>
        <vt:i4>5</vt:i4>
      </vt:variant>
      <vt:variant>
        <vt:lpwstr/>
      </vt:variant>
      <vt:variant>
        <vt:lpwstr>_ENREF_88</vt:lpwstr>
      </vt:variant>
      <vt:variant>
        <vt:i4>4325387</vt:i4>
      </vt:variant>
      <vt:variant>
        <vt:i4>2381</vt:i4>
      </vt:variant>
      <vt:variant>
        <vt:i4>0</vt:i4>
      </vt:variant>
      <vt:variant>
        <vt:i4>5</vt:i4>
      </vt:variant>
      <vt:variant>
        <vt:lpwstr/>
      </vt:variant>
      <vt:variant>
        <vt:lpwstr>_ENREF_36</vt:lpwstr>
      </vt:variant>
      <vt:variant>
        <vt:i4>4390923</vt:i4>
      </vt:variant>
      <vt:variant>
        <vt:i4>2378</vt:i4>
      </vt:variant>
      <vt:variant>
        <vt:i4>0</vt:i4>
      </vt:variant>
      <vt:variant>
        <vt:i4>5</vt:i4>
      </vt:variant>
      <vt:variant>
        <vt:lpwstr/>
      </vt:variant>
      <vt:variant>
        <vt:lpwstr>_ENREF_22</vt:lpwstr>
      </vt:variant>
      <vt:variant>
        <vt:i4>4587531</vt:i4>
      </vt:variant>
      <vt:variant>
        <vt:i4>2372</vt:i4>
      </vt:variant>
      <vt:variant>
        <vt:i4>0</vt:i4>
      </vt:variant>
      <vt:variant>
        <vt:i4>5</vt:i4>
      </vt:variant>
      <vt:variant>
        <vt:lpwstr/>
      </vt:variant>
      <vt:variant>
        <vt:lpwstr>_ENREF_77</vt:lpwstr>
      </vt:variant>
      <vt:variant>
        <vt:i4>7929918</vt:i4>
      </vt:variant>
      <vt:variant>
        <vt:i4>2367</vt:i4>
      </vt:variant>
      <vt:variant>
        <vt:i4>0</vt:i4>
      </vt:variant>
      <vt:variant>
        <vt:i4>5</vt:i4>
      </vt:variant>
      <vt:variant>
        <vt:lpwstr/>
      </vt:variant>
      <vt:variant>
        <vt:lpwstr>_ENREF_159</vt:lpwstr>
      </vt:variant>
      <vt:variant>
        <vt:i4>4521995</vt:i4>
      </vt:variant>
      <vt:variant>
        <vt:i4>2364</vt:i4>
      </vt:variant>
      <vt:variant>
        <vt:i4>0</vt:i4>
      </vt:variant>
      <vt:variant>
        <vt:i4>5</vt:i4>
      </vt:variant>
      <vt:variant>
        <vt:lpwstr/>
      </vt:variant>
      <vt:variant>
        <vt:lpwstr>_ENREF_45</vt:lpwstr>
      </vt:variant>
      <vt:variant>
        <vt:i4>4325387</vt:i4>
      </vt:variant>
      <vt:variant>
        <vt:i4>2361</vt:i4>
      </vt:variant>
      <vt:variant>
        <vt:i4>0</vt:i4>
      </vt:variant>
      <vt:variant>
        <vt:i4>5</vt:i4>
      </vt:variant>
      <vt:variant>
        <vt:lpwstr/>
      </vt:variant>
      <vt:variant>
        <vt:lpwstr>_ENREF_36</vt:lpwstr>
      </vt:variant>
      <vt:variant>
        <vt:i4>7405624</vt:i4>
      </vt:variant>
      <vt:variant>
        <vt:i4>2357</vt:i4>
      </vt:variant>
      <vt:variant>
        <vt:i4>0</vt:i4>
      </vt:variant>
      <vt:variant>
        <vt:i4>5</vt:i4>
      </vt:variant>
      <vt:variant>
        <vt:lpwstr/>
      </vt:variant>
      <vt:variant>
        <vt:lpwstr>_ENREF_333</vt:lpwstr>
      </vt:variant>
      <vt:variant>
        <vt:i4>7536700</vt:i4>
      </vt:variant>
      <vt:variant>
        <vt:i4>2354</vt:i4>
      </vt:variant>
      <vt:variant>
        <vt:i4>0</vt:i4>
      </vt:variant>
      <vt:variant>
        <vt:i4>5</vt:i4>
      </vt:variant>
      <vt:variant>
        <vt:lpwstr/>
      </vt:variant>
      <vt:variant>
        <vt:lpwstr>_ENREF_173</vt:lpwstr>
      </vt:variant>
      <vt:variant>
        <vt:i4>4718603</vt:i4>
      </vt:variant>
      <vt:variant>
        <vt:i4>2351</vt:i4>
      </vt:variant>
      <vt:variant>
        <vt:i4>0</vt:i4>
      </vt:variant>
      <vt:variant>
        <vt:i4>5</vt:i4>
      </vt:variant>
      <vt:variant>
        <vt:lpwstr/>
      </vt:variant>
      <vt:variant>
        <vt:lpwstr>_ENREF_97</vt:lpwstr>
      </vt:variant>
      <vt:variant>
        <vt:i4>7995450</vt:i4>
      </vt:variant>
      <vt:variant>
        <vt:i4>2348</vt:i4>
      </vt:variant>
      <vt:variant>
        <vt:i4>0</vt:i4>
      </vt:variant>
      <vt:variant>
        <vt:i4>5</vt:i4>
      </vt:variant>
      <vt:variant>
        <vt:lpwstr/>
      </vt:variant>
      <vt:variant>
        <vt:lpwstr>_ENREF_318</vt:lpwstr>
      </vt:variant>
      <vt:variant>
        <vt:i4>4784139</vt:i4>
      </vt:variant>
      <vt:variant>
        <vt:i4>2345</vt:i4>
      </vt:variant>
      <vt:variant>
        <vt:i4>0</vt:i4>
      </vt:variant>
      <vt:variant>
        <vt:i4>5</vt:i4>
      </vt:variant>
      <vt:variant>
        <vt:lpwstr/>
      </vt:variant>
      <vt:variant>
        <vt:lpwstr>_ENREF_80</vt:lpwstr>
      </vt:variant>
      <vt:variant>
        <vt:i4>7667768</vt:i4>
      </vt:variant>
      <vt:variant>
        <vt:i4>2337</vt:i4>
      </vt:variant>
      <vt:variant>
        <vt:i4>0</vt:i4>
      </vt:variant>
      <vt:variant>
        <vt:i4>5</vt:i4>
      </vt:variant>
      <vt:variant>
        <vt:lpwstr/>
      </vt:variant>
      <vt:variant>
        <vt:lpwstr>_ENREF_135</vt:lpwstr>
      </vt:variant>
      <vt:variant>
        <vt:i4>7340093</vt:i4>
      </vt:variant>
      <vt:variant>
        <vt:i4>2331</vt:i4>
      </vt:variant>
      <vt:variant>
        <vt:i4>0</vt:i4>
      </vt:variant>
      <vt:variant>
        <vt:i4>5</vt:i4>
      </vt:variant>
      <vt:variant>
        <vt:lpwstr/>
      </vt:variant>
      <vt:variant>
        <vt:lpwstr>_ENREF_160</vt:lpwstr>
      </vt:variant>
      <vt:variant>
        <vt:i4>7733304</vt:i4>
      </vt:variant>
      <vt:variant>
        <vt:i4>2325</vt:i4>
      </vt:variant>
      <vt:variant>
        <vt:i4>0</vt:i4>
      </vt:variant>
      <vt:variant>
        <vt:i4>5</vt:i4>
      </vt:variant>
      <vt:variant>
        <vt:lpwstr/>
      </vt:variant>
      <vt:variant>
        <vt:lpwstr>_ENREF_235</vt:lpwstr>
      </vt:variant>
      <vt:variant>
        <vt:i4>4521995</vt:i4>
      </vt:variant>
      <vt:variant>
        <vt:i4>2317</vt:i4>
      </vt:variant>
      <vt:variant>
        <vt:i4>0</vt:i4>
      </vt:variant>
      <vt:variant>
        <vt:i4>5</vt:i4>
      </vt:variant>
      <vt:variant>
        <vt:lpwstr/>
      </vt:variant>
      <vt:variant>
        <vt:lpwstr>_ENREF_47</vt:lpwstr>
      </vt:variant>
      <vt:variant>
        <vt:i4>7995453</vt:i4>
      </vt:variant>
      <vt:variant>
        <vt:i4>2311</vt:i4>
      </vt:variant>
      <vt:variant>
        <vt:i4>0</vt:i4>
      </vt:variant>
      <vt:variant>
        <vt:i4>5</vt:i4>
      </vt:variant>
      <vt:variant>
        <vt:lpwstr/>
      </vt:variant>
      <vt:variant>
        <vt:lpwstr>_ENREF_269</vt:lpwstr>
      </vt:variant>
      <vt:variant>
        <vt:i4>7340094</vt:i4>
      </vt:variant>
      <vt:variant>
        <vt:i4>2305</vt:i4>
      </vt:variant>
      <vt:variant>
        <vt:i4>0</vt:i4>
      </vt:variant>
      <vt:variant>
        <vt:i4>5</vt:i4>
      </vt:variant>
      <vt:variant>
        <vt:lpwstr/>
      </vt:variant>
      <vt:variant>
        <vt:lpwstr>_ENREF_253</vt:lpwstr>
      </vt:variant>
      <vt:variant>
        <vt:i4>7733309</vt:i4>
      </vt:variant>
      <vt:variant>
        <vt:i4>2299</vt:i4>
      </vt:variant>
      <vt:variant>
        <vt:i4>0</vt:i4>
      </vt:variant>
      <vt:variant>
        <vt:i4>5</vt:i4>
      </vt:variant>
      <vt:variant>
        <vt:lpwstr/>
      </vt:variant>
      <vt:variant>
        <vt:lpwstr>_ENREF_166</vt:lpwstr>
      </vt:variant>
      <vt:variant>
        <vt:i4>4521995</vt:i4>
      </vt:variant>
      <vt:variant>
        <vt:i4>2296</vt:i4>
      </vt:variant>
      <vt:variant>
        <vt:i4>0</vt:i4>
      </vt:variant>
      <vt:variant>
        <vt:i4>5</vt:i4>
      </vt:variant>
      <vt:variant>
        <vt:lpwstr/>
      </vt:variant>
      <vt:variant>
        <vt:lpwstr>_ENREF_46</vt:lpwstr>
      </vt:variant>
      <vt:variant>
        <vt:i4>4325387</vt:i4>
      </vt:variant>
      <vt:variant>
        <vt:i4>2293</vt:i4>
      </vt:variant>
      <vt:variant>
        <vt:i4>0</vt:i4>
      </vt:variant>
      <vt:variant>
        <vt:i4>5</vt:i4>
      </vt:variant>
      <vt:variant>
        <vt:lpwstr/>
      </vt:variant>
      <vt:variant>
        <vt:lpwstr>_ENREF_38</vt:lpwstr>
      </vt:variant>
      <vt:variant>
        <vt:i4>7471167</vt:i4>
      </vt:variant>
      <vt:variant>
        <vt:i4>2285</vt:i4>
      </vt:variant>
      <vt:variant>
        <vt:i4>0</vt:i4>
      </vt:variant>
      <vt:variant>
        <vt:i4>5</vt:i4>
      </vt:variant>
      <vt:variant>
        <vt:lpwstr/>
      </vt:variant>
      <vt:variant>
        <vt:lpwstr>_ENREF_241</vt:lpwstr>
      </vt:variant>
      <vt:variant>
        <vt:i4>7405631</vt:i4>
      </vt:variant>
      <vt:variant>
        <vt:i4>2268</vt:i4>
      </vt:variant>
      <vt:variant>
        <vt:i4>0</vt:i4>
      </vt:variant>
      <vt:variant>
        <vt:i4>5</vt:i4>
      </vt:variant>
      <vt:variant>
        <vt:lpwstr/>
      </vt:variant>
      <vt:variant>
        <vt:lpwstr>_ENREF_343</vt:lpwstr>
      </vt:variant>
      <vt:variant>
        <vt:i4>7340092</vt:i4>
      </vt:variant>
      <vt:variant>
        <vt:i4>2262</vt:i4>
      </vt:variant>
      <vt:variant>
        <vt:i4>0</vt:i4>
      </vt:variant>
      <vt:variant>
        <vt:i4>5</vt:i4>
      </vt:variant>
      <vt:variant>
        <vt:lpwstr/>
      </vt:variant>
      <vt:variant>
        <vt:lpwstr>_ENREF_170</vt:lpwstr>
      </vt:variant>
      <vt:variant>
        <vt:i4>4390923</vt:i4>
      </vt:variant>
      <vt:variant>
        <vt:i4>2254</vt:i4>
      </vt:variant>
      <vt:variant>
        <vt:i4>0</vt:i4>
      </vt:variant>
      <vt:variant>
        <vt:i4>5</vt:i4>
      </vt:variant>
      <vt:variant>
        <vt:lpwstr/>
      </vt:variant>
      <vt:variant>
        <vt:lpwstr>_ENREF_24</vt:lpwstr>
      </vt:variant>
      <vt:variant>
        <vt:i4>7405627</vt:i4>
      </vt:variant>
      <vt:variant>
        <vt:i4>2248</vt:i4>
      </vt:variant>
      <vt:variant>
        <vt:i4>0</vt:i4>
      </vt:variant>
      <vt:variant>
        <vt:i4>5</vt:i4>
      </vt:variant>
      <vt:variant>
        <vt:lpwstr/>
      </vt:variant>
      <vt:variant>
        <vt:lpwstr>_ENREF_303</vt:lpwstr>
      </vt:variant>
      <vt:variant>
        <vt:i4>7667769</vt:i4>
      </vt:variant>
      <vt:variant>
        <vt:i4>2245</vt:i4>
      </vt:variant>
      <vt:variant>
        <vt:i4>0</vt:i4>
      </vt:variant>
      <vt:variant>
        <vt:i4>5</vt:i4>
      </vt:variant>
      <vt:variant>
        <vt:lpwstr/>
      </vt:variant>
      <vt:variant>
        <vt:lpwstr>_ENREF_327</vt:lpwstr>
      </vt:variant>
      <vt:variant>
        <vt:i4>4718603</vt:i4>
      </vt:variant>
      <vt:variant>
        <vt:i4>2242</vt:i4>
      </vt:variant>
      <vt:variant>
        <vt:i4>0</vt:i4>
      </vt:variant>
      <vt:variant>
        <vt:i4>5</vt:i4>
      </vt:variant>
      <vt:variant>
        <vt:lpwstr/>
      </vt:variant>
      <vt:variant>
        <vt:lpwstr>_ENREF_9</vt:lpwstr>
      </vt:variant>
      <vt:variant>
        <vt:i4>7602235</vt:i4>
      </vt:variant>
      <vt:variant>
        <vt:i4>2239</vt:i4>
      </vt:variant>
      <vt:variant>
        <vt:i4>0</vt:i4>
      </vt:variant>
      <vt:variant>
        <vt:i4>5</vt:i4>
      </vt:variant>
      <vt:variant>
        <vt:lpwstr/>
      </vt:variant>
      <vt:variant>
        <vt:lpwstr>_ENREF_104</vt:lpwstr>
      </vt:variant>
      <vt:variant>
        <vt:i4>4325387</vt:i4>
      </vt:variant>
      <vt:variant>
        <vt:i4>2231</vt:i4>
      </vt:variant>
      <vt:variant>
        <vt:i4>0</vt:i4>
      </vt:variant>
      <vt:variant>
        <vt:i4>5</vt:i4>
      </vt:variant>
      <vt:variant>
        <vt:lpwstr/>
      </vt:variant>
      <vt:variant>
        <vt:lpwstr>_ENREF_33</vt:lpwstr>
      </vt:variant>
      <vt:variant>
        <vt:i4>4194315</vt:i4>
      </vt:variant>
      <vt:variant>
        <vt:i4>2228</vt:i4>
      </vt:variant>
      <vt:variant>
        <vt:i4>0</vt:i4>
      </vt:variant>
      <vt:variant>
        <vt:i4>5</vt:i4>
      </vt:variant>
      <vt:variant>
        <vt:lpwstr/>
      </vt:variant>
      <vt:variant>
        <vt:lpwstr>_ENREF_19</vt:lpwstr>
      </vt:variant>
      <vt:variant>
        <vt:i4>7536698</vt:i4>
      </vt:variant>
      <vt:variant>
        <vt:i4>2220</vt:i4>
      </vt:variant>
      <vt:variant>
        <vt:i4>0</vt:i4>
      </vt:variant>
      <vt:variant>
        <vt:i4>5</vt:i4>
      </vt:variant>
      <vt:variant>
        <vt:lpwstr/>
      </vt:variant>
      <vt:variant>
        <vt:lpwstr>_ENREF_210</vt:lpwstr>
      </vt:variant>
      <vt:variant>
        <vt:i4>4325387</vt:i4>
      </vt:variant>
      <vt:variant>
        <vt:i4>2214</vt:i4>
      </vt:variant>
      <vt:variant>
        <vt:i4>0</vt:i4>
      </vt:variant>
      <vt:variant>
        <vt:i4>5</vt:i4>
      </vt:variant>
      <vt:variant>
        <vt:lpwstr/>
      </vt:variant>
      <vt:variant>
        <vt:lpwstr>_ENREF_38</vt:lpwstr>
      </vt:variant>
      <vt:variant>
        <vt:i4>7405631</vt:i4>
      </vt:variant>
      <vt:variant>
        <vt:i4>2211</vt:i4>
      </vt:variant>
      <vt:variant>
        <vt:i4>0</vt:i4>
      </vt:variant>
      <vt:variant>
        <vt:i4>5</vt:i4>
      </vt:variant>
      <vt:variant>
        <vt:lpwstr/>
      </vt:variant>
      <vt:variant>
        <vt:lpwstr>_ENREF_141</vt:lpwstr>
      </vt:variant>
      <vt:variant>
        <vt:i4>7733309</vt:i4>
      </vt:variant>
      <vt:variant>
        <vt:i4>2203</vt:i4>
      </vt:variant>
      <vt:variant>
        <vt:i4>0</vt:i4>
      </vt:variant>
      <vt:variant>
        <vt:i4>5</vt:i4>
      </vt:variant>
      <vt:variant>
        <vt:lpwstr/>
      </vt:variant>
      <vt:variant>
        <vt:lpwstr>_ENREF_265</vt:lpwstr>
      </vt:variant>
      <vt:variant>
        <vt:i4>7864382</vt:i4>
      </vt:variant>
      <vt:variant>
        <vt:i4>2191</vt:i4>
      </vt:variant>
      <vt:variant>
        <vt:i4>0</vt:i4>
      </vt:variant>
      <vt:variant>
        <vt:i4>5</vt:i4>
      </vt:variant>
      <vt:variant>
        <vt:lpwstr/>
      </vt:variant>
      <vt:variant>
        <vt:lpwstr>_ENREF_158</vt:lpwstr>
      </vt:variant>
      <vt:variant>
        <vt:i4>7667771</vt:i4>
      </vt:variant>
      <vt:variant>
        <vt:i4>2188</vt:i4>
      </vt:variant>
      <vt:variant>
        <vt:i4>0</vt:i4>
      </vt:variant>
      <vt:variant>
        <vt:i4>5</vt:i4>
      </vt:variant>
      <vt:variant>
        <vt:lpwstr/>
      </vt:variant>
      <vt:variant>
        <vt:lpwstr>_ENREF_105</vt:lpwstr>
      </vt:variant>
      <vt:variant>
        <vt:i4>7798842</vt:i4>
      </vt:variant>
      <vt:variant>
        <vt:i4>2182</vt:i4>
      </vt:variant>
      <vt:variant>
        <vt:i4>0</vt:i4>
      </vt:variant>
      <vt:variant>
        <vt:i4>5</vt:i4>
      </vt:variant>
      <vt:variant>
        <vt:lpwstr/>
      </vt:variant>
      <vt:variant>
        <vt:lpwstr>_ENREF_117</vt:lpwstr>
      </vt:variant>
      <vt:variant>
        <vt:i4>4390923</vt:i4>
      </vt:variant>
      <vt:variant>
        <vt:i4>2173</vt:i4>
      </vt:variant>
      <vt:variant>
        <vt:i4>0</vt:i4>
      </vt:variant>
      <vt:variant>
        <vt:i4>5</vt:i4>
      </vt:variant>
      <vt:variant>
        <vt:lpwstr/>
      </vt:variant>
      <vt:variant>
        <vt:lpwstr>_ENREF_23</vt:lpwstr>
      </vt:variant>
      <vt:variant>
        <vt:i4>8060987</vt:i4>
      </vt:variant>
      <vt:variant>
        <vt:i4>2167</vt:i4>
      </vt:variant>
      <vt:variant>
        <vt:i4>0</vt:i4>
      </vt:variant>
      <vt:variant>
        <vt:i4>5</vt:i4>
      </vt:variant>
      <vt:variant>
        <vt:lpwstr/>
      </vt:variant>
      <vt:variant>
        <vt:lpwstr>_ENREF_208</vt:lpwstr>
      </vt:variant>
      <vt:variant>
        <vt:i4>7471155</vt:i4>
      </vt:variant>
      <vt:variant>
        <vt:i4>2161</vt:i4>
      </vt:variant>
      <vt:variant>
        <vt:i4>0</vt:i4>
      </vt:variant>
      <vt:variant>
        <vt:i4>5</vt:i4>
      </vt:variant>
      <vt:variant>
        <vt:lpwstr/>
      </vt:variant>
      <vt:variant>
        <vt:lpwstr>_ENREF_281</vt:lpwstr>
      </vt:variant>
      <vt:variant>
        <vt:i4>7733310</vt:i4>
      </vt:variant>
      <vt:variant>
        <vt:i4>2155</vt:i4>
      </vt:variant>
      <vt:variant>
        <vt:i4>0</vt:i4>
      </vt:variant>
      <vt:variant>
        <vt:i4>5</vt:i4>
      </vt:variant>
      <vt:variant>
        <vt:lpwstr/>
      </vt:variant>
      <vt:variant>
        <vt:lpwstr>_ENREF_156</vt:lpwstr>
      </vt:variant>
      <vt:variant>
        <vt:i4>7602236</vt:i4>
      </vt:variant>
      <vt:variant>
        <vt:i4>2147</vt:i4>
      </vt:variant>
      <vt:variant>
        <vt:i4>0</vt:i4>
      </vt:variant>
      <vt:variant>
        <vt:i4>5</vt:i4>
      </vt:variant>
      <vt:variant>
        <vt:lpwstr/>
      </vt:variant>
      <vt:variant>
        <vt:lpwstr>_ENREF_174</vt:lpwstr>
      </vt:variant>
      <vt:variant>
        <vt:i4>7340088</vt:i4>
      </vt:variant>
      <vt:variant>
        <vt:i4>2138</vt:i4>
      </vt:variant>
      <vt:variant>
        <vt:i4>0</vt:i4>
      </vt:variant>
      <vt:variant>
        <vt:i4>5</vt:i4>
      </vt:variant>
      <vt:variant>
        <vt:lpwstr/>
      </vt:variant>
      <vt:variant>
        <vt:lpwstr>_ENREF_233</vt:lpwstr>
      </vt:variant>
      <vt:variant>
        <vt:i4>7733298</vt:i4>
      </vt:variant>
      <vt:variant>
        <vt:i4>2135</vt:i4>
      </vt:variant>
      <vt:variant>
        <vt:i4>0</vt:i4>
      </vt:variant>
      <vt:variant>
        <vt:i4>5</vt:i4>
      </vt:variant>
      <vt:variant>
        <vt:lpwstr/>
      </vt:variant>
      <vt:variant>
        <vt:lpwstr>_ENREF_196</vt:lpwstr>
      </vt:variant>
      <vt:variant>
        <vt:i4>7929918</vt:i4>
      </vt:variant>
      <vt:variant>
        <vt:i4>2129</vt:i4>
      </vt:variant>
      <vt:variant>
        <vt:i4>0</vt:i4>
      </vt:variant>
      <vt:variant>
        <vt:i4>5</vt:i4>
      </vt:variant>
      <vt:variant>
        <vt:lpwstr/>
      </vt:variant>
      <vt:variant>
        <vt:lpwstr>_ENREF_159</vt:lpwstr>
      </vt:variant>
      <vt:variant>
        <vt:i4>7733306</vt:i4>
      </vt:variant>
      <vt:variant>
        <vt:i4>2126</vt:i4>
      </vt:variant>
      <vt:variant>
        <vt:i4>0</vt:i4>
      </vt:variant>
      <vt:variant>
        <vt:i4>5</vt:i4>
      </vt:variant>
      <vt:variant>
        <vt:lpwstr/>
      </vt:variant>
      <vt:variant>
        <vt:lpwstr>_ENREF_116</vt:lpwstr>
      </vt:variant>
      <vt:variant>
        <vt:i4>7405625</vt:i4>
      </vt:variant>
      <vt:variant>
        <vt:i4>2118</vt:i4>
      </vt:variant>
      <vt:variant>
        <vt:i4>0</vt:i4>
      </vt:variant>
      <vt:variant>
        <vt:i4>5</vt:i4>
      </vt:variant>
      <vt:variant>
        <vt:lpwstr/>
      </vt:variant>
      <vt:variant>
        <vt:lpwstr>_ENREF_222</vt:lpwstr>
      </vt:variant>
      <vt:variant>
        <vt:i4>7667770</vt:i4>
      </vt:variant>
      <vt:variant>
        <vt:i4>2112</vt:i4>
      </vt:variant>
      <vt:variant>
        <vt:i4>0</vt:i4>
      </vt:variant>
      <vt:variant>
        <vt:i4>5</vt:i4>
      </vt:variant>
      <vt:variant>
        <vt:lpwstr/>
      </vt:variant>
      <vt:variant>
        <vt:lpwstr>_ENREF_216</vt:lpwstr>
      </vt:variant>
      <vt:variant>
        <vt:i4>7602226</vt:i4>
      </vt:variant>
      <vt:variant>
        <vt:i4>2106</vt:i4>
      </vt:variant>
      <vt:variant>
        <vt:i4>0</vt:i4>
      </vt:variant>
      <vt:variant>
        <vt:i4>5</vt:i4>
      </vt:variant>
      <vt:variant>
        <vt:lpwstr/>
      </vt:variant>
      <vt:variant>
        <vt:lpwstr>_ENREF_297</vt:lpwstr>
      </vt:variant>
      <vt:variant>
        <vt:i4>7340091</vt:i4>
      </vt:variant>
      <vt:variant>
        <vt:i4>2103</vt:i4>
      </vt:variant>
      <vt:variant>
        <vt:i4>0</vt:i4>
      </vt:variant>
      <vt:variant>
        <vt:i4>5</vt:i4>
      </vt:variant>
      <vt:variant>
        <vt:lpwstr/>
      </vt:variant>
      <vt:variant>
        <vt:lpwstr>_ENREF_203</vt:lpwstr>
      </vt:variant>
      <vt:variant>
        <vt:i4>4521995</vt:i4>
      </vt:variant>
      <vt:variant>
        <vt:i4>2086</vt:i4>
      </vt:variant>
      <vt:variant>
        <vt:i4>0</vt:i4>
      </vt:variant>
      <vt:variant>
        <vt:i4>5</vt:i4>
      </vt:variant>
      <vt:variant>
        <vt:lpwstr/>
      </vt:variant>
      <vt:variant>
        <vt:lpwstr>_ENREF_43</vt:lpwstr>
      </vt:variant>
      <vt:variant>
        <vt:i4>7340090</vt:i4>
      </vt:variant>
      <vt:variant>
        <vt:i4>2083</vt:i4>
      </vt:variant>
      <vt:variant>
        <vt:i4>0</vt:i4>
      </vt:variant>
      <vt:variant>
        <vt:i4>5</vt:i4>
      </vt:variant>
      <vt:variant>
        <vt:lpwstr/>
      </vt:variant>
      <vt:variant>
        <vt:lpwstr>_ENREF_213</vt:lpwstr>
      </vt:variant>
      <vt:variant>
        <vt:i4>4521995</vt:i4>
      </vt:variant>
      <vt:variant>
        <vt:i4>2077</vt:i4>
      </vt:variant>
      <vt:variant>
        <vt:i4>0</vt:i4>
      </vt:variant>
      <vt:variant>
        <vt:i4>5</vt:i4>
      </vt:variant>
      <vt:variant>
        <vt:lpwstr/>
      </vt:variant>
      <vt:variant>
        <vt:lpwstr>_ENREF_43</vt:lpwstr>
      </vt:variant>
      <vt:variant>
        <vt:i4>7471160</vt:i4>
      </vt:variant>
      <vt:variant>
        <vt:i4>2074</vt:i4>
      </vt:variant>
      <vt:variant>
        <vt:i4>0</vt:i4>
      </vt:variant>
      <vt:variant>
        <vt:i4>5</vt:i4>
      </vt:variant>
      <vt:variant>
        <vt:lpwstr/>
      </vt:variant>
      <vt:variant>
        <vt:lpwstr>_ENREF_330</vt:lpwstr>
      </vt:variant>
      <vt:variant>
        <vt:i4>7667773</vt:i4>
      </vt:variant>
      <vt:variant>
        <vt:i4>2068</vt:i4>
      </vt:variant>
      <vt:variant>
        <vt:i4>0</vt:i4>
      </vt:variant>
      <vt:variant>
        <vt:i4>5</vt:i4>
      </vt:variant>
      <vt:variant>
        <vt:lpwstr/>
      </vt:variant>
      <vt:variant>
        <vt:lpwstr>_ENREF_165</vt:lpwstr>
      </vt:variant>
      <vt:variant>
        <vt:i4>7405629</vt:i4>
      </vt:variant>
      <vt:variant>
        <vt:i4>2065</vt:i4>
      </vt:variant>
      <vt:variant>
        <vt:i4>0</vt:i4>
      </vt:variant>
      <vt:variant>
        <vt:i4>5</vt:i4>
      </vt:variant>
      <vt:variant>
        <vt:lpwstr/>
      </vt:variant>
      <vt:variant>
        <vt:lpwstr>_ENREF_161</vt:lpwstr>
      </vt:variant>
      <vt:variant>
        <vt:i4>4587531</vt:i4>
      </vt:variant>
      <vt:variant>
        <vt:i4>2062</vt:i4>
      </vt:variant>
      <vt:variant>
        <vt:i4>0</vt:i4>
      </vt:variant>
      <vt:variant>
        <vt:i4>5</vt:i4>
      </vt:variant>
      <vt:variant>
        <vt:lpwstr/>
      </vt:variant>
      <vt:variant>
        <vt:lpwstr>_ENREF_76</vt:lpwstr>
      </vt:variant>
      <vt:variant>
        <vt:i4>7602226</vt:i4>
      </vt:variant>
      <vt:variant>
        <vt:i4>2056</vt:i4>
      </vt:variant>
      <vt:variant>
        <vt:i4>0</vt:i4>
      </vt:variant>
      <vt:variant>
        <vt:i4>5</vt:i4>
      </vt:variant>
      <vt:variant>
        <vt:lpwstr/>
      </vt:variant>
      <vt:variant>
        <vt:lpwstr>_ENREF_194</vt:lpwstr>
      </vt:variant>
      <vt:variant>
        <vt:i4>7602237</vt:i4>
      </vt:variant>
      <vt:variant>
        <vt:i4>2050</vt:i4>
      </vt:variant>
      <vt:variant>
        <vt:i4>0</vt:i4>
      </vt:variant>
      <vt:variant>
        <vt:i4>5</vt:i4>
      </vt:variant>
      <vt:variant>
        <vt:lpwstr/>
      </vt:variant>
      <vt:variant>
        <vt:lpwstr>_ENREF_267</vt:lpwstr>
      </vt:variant>
      <vt:variant>
        <vt:i4>7536699</vt:i4>
      </vt:variant>
      <vt:variant>
        <vt:i4>2047</vt:i4>
      </vt:variant>
      <vt:variant>
        <vt:i4>0</vt:i4>
      </vt:variant>
      <vt:variant>
        <vt:i4>5</vt:i4>
      </vt:variant>
      <vt:variant>
        <vt:lpwstr/>
      </vt:variant>
      <vt:variant>
        <vt:lpwstr>_ENREF_103</vt:lpwstr>
      </vt:variant>
      <vt:variant>
        <vt:i4>4521995</vt:i4>
      </vt:variant>
      <vt:variant>
        <vt:i4>2041</vt:i4>
      </vt:variant>
      <vt:variant>
        <vt:i4>0</vt:i4>
      </vt:variant>
      <vt:variant>
        <vt:i4>5</vt:i4>
      </vt:variant>
      <vt:variant>
        <vt:lpwstr/>
      </vt:variant>
      <vt:variant>
        <vt:lpwstr>_ENREF_43</vt:lpwstr>
      </vt:variant>
      <vt:variant>
        <vt:i4>7733299</vt:i4>
      </vt:variant>
      <vt:variant>
        <vt:i4>2035</vt:i4>
      </vt:variant>
      <vt:variant>
        <vt:i4>0</vt:i4>
      </vt:variant>
      <vt:variant>
        <vt:i4>5</vt:i4>
      </vt:variant>
      <vt:variant>
        <vt:lpwstr/>
      </vt:variant>
      <vt:variant>
        <vt:lpwstr>_ENREF_285</vt:lpwstr>
      </vt:variant>
      <vt:variant>
        <vt:i4>7340092</vt:i4>
      </vt:variant>
      <vt:variant>
        <vt:i4>2029</vt:i4>
      </vt:variant>
      <vt:variant>
        <vt:i4>0</vt:i4>
      </vt:variant>
      <vt:variant>
        <vt:i4>5</vt:i4>
      </vt:variant>
      <vt:variant>
        <vt:lpwstr/>
      </vt:variant>
      <vt:variant>
        <vt:lpwstr>_ENREF_273</vt:lpwstr>
      </vt:variant>
      <vt:variant>
        <vt:i4>7667775</vt:i4>
      </vt:variant>
      <vt:variant>
        <vt:i4>2023</vt:i4>
      </vt:variant>
      <vt:variant>
        <vt:i4>0</vt:i4>
      </vt:variant>
      <vt:variant>
        <vt:i4>5</vt:i4>
      </vt:variant>
      <vt:variant>
        <vt:lpwstr/>
      </vt:variant>
      <vt:variant>
        <vt:lpwstr>_ENREF_145</vt:lpwstr>
      </vt:variant>
      <vt:variant>
        <vt:i4>4587531</vt:i4>
      </vt:variant>
      <vt:variant>
        <vt:i4>2020</vt:i4>
      </vt:variant>
      <vt:variant>
        <vt:i4>0</vt:i4>
      </vt:variant>
      <vt:variant>
        <vt:i4>5</vt:i4>
      </vt:variant>
      <vt:variant>
        <vt:lpwstr/>
      </vt:variant>
      <vt:variant>
        <vt:lpwstr>_ENREF_70</vt:lpwstr>
      </vt:variant>
      <vt:variant>
        <vt:i4>4456459</vt:i4>
      </vt:variant>
      <vt:variant>
        <vt:i4>2012</vt:i4>
      </vt:variant>
      <vt:variant>
        <vt:i4>0</vt:i4>
      </vt:variant>
      <vt:variant>
        <vt:i4>5</vt:i4>
      </vt:variant>
      <vt:variant>
        <vt:lpwstr/>
      </vt:variant>
      <vt:variant>
        <vt:lpwstr>_ENREF_58</vt:lpwstr>
      </vt:variant>
      <vt:variant>
        <vt:i4>7536691</vt:i4>
      </vt:variant>
      <vt:variant>
        <vt:i4>2006</vt:i4>
      </vt:variant>
      <vt:variant>
        <vt:i4>0</vt:i4>
      </vt:variant>
      <vt:variant>
        <vt:i4>5</vt:i4>
      </vt:variant>
      <vt:variant>
        <vt:lpwstr/>
      </vt:variant>
      <vt:variant>
        <vt:lpwstr>_ENREF_280</vt:lpwstr>
      </vt:variant>
      <vt:variant>
        <vt:i4>7995455</vt:i4>
      </vt:variant>
      <vt:variant>
        <vt:i4>2003</vt:i4>
      </vt:variant>
      <vt:variant>
        <vt:i4>0</vt:i4>
      </vt:variant>
      <vt:variant>
        <vt:i4>5</vt:i4>
      </vt:variant>
      <vt:variant>
        <vt:lpwstr/>
      </vt:variant>
      <vt:variant>
        <vt:lpwstr>_ENREF_249</vt:lpwstr>
      </vt:variant>
      <vt:variant>
        <vt:i4>7536700</vt:i4>
      </vt:variant>
      <vt:variant>
        <vt:i4>1995</vt:i4>
      </vt:variant>
      <vt:variant>
        <vt:i4>0</vt:i4>
      </vt:variant>
      <vt:variant>
        <vt:i4>5</vt:i4>
      </vt:variant>
      <vt:variant>
        <vt:lpwstr/>
      </vt:variant>
      <vt:variant>
        <vt:lpwstr>_ENREF_270</vt:lpwstr>
      </vt:variant>
      <vt:variant>
        <vt:i4>7602237</vt:i4>
      </vt:variant>
      <vt:variant>
        <vt:i4>1989</vt:i4>
      </vt:variant>
      <vt:variant>
        <vt:i4>0</vt:i4>
      </vt:variant>
      <vt:variant>
        <vt:i4>5</vt:i4>
      </vt:variant>
      <vt:variant>
        <vt:lpwstr/>
      </vt:variant>
      <vt:variant>
        <vt:lpwstr>_ENREF_164</vt:lpwstr>
      </vt:variant>
      <vt:variant>
        <vt:i4>4521995</vt:i4>
      </vt:variant>
      <vt:variant>
        <vt:i4>1986</vt:i4>
      </vt:variant>
      <vt:variant>
        <vt:i4>0</vt:i4>
      </vt:variant>
      <vt:variant>
        <vt:i4>5</vt:i4>
      </vt:variant>
      <vt:variant>
        <vt:lpwstr/>
      </vt:variant>
      <vt:variant>
        <vt:lpwstr>_ENREF_43</vt:lpwstr>
      </vt:variant>
      <vt:variant>
        <vt:i4>8060979</vt:i4>
      </vt:variant>
      <vt:variant>
        <vt:i4>1980</vt:i4>
      </vt:variant>
      <vt:variant>
        <vt:i4>0</vt:i4>
      </vt:variant>
      <vt:variant>
        <vt:i4>5</vt:i4>
      </vt:variant>
      <vt:variant>
        <vt:lpwstr/>
      </vt:variant>
      <vt:variant>
        <vt:lpwstr>_ENREF_288</vt:lpwstr>
      </vt:variant>
      <vt:variant>
        <vt:i4>4653067</vt:i4>
      </vt:variant>
      <vt:variant>
        <vt:i4>1974</vt:i4>
      </vt:variant>
      <vt:variant>
        <vt:i4>0</vt:i4>
      </vt:variant>
      <vt:variant>
        <vt:i4>5</vt:i4>
      </vt:variant>
      <vt:variant>
        <vt:lpwstr/>
      </vt:variant>
      <vt:variant>
        <vt:lpwstr>_ENREF_67</vt:lpwstr>
      </vt:variant>
      <vt:variant>
        <vt:i4>4587531</vt:i4>
      </vt:variant>
      <vt:variant>
        <vt:i4>1971</vt:i4>
      </vt:variant>
      <vt:variant>
        <vt:i4>0</vt:i4>
      </vt:variant>
      <vt:variant>
        <vt:i4>5</vt:i4>
      </vt:variant>
      <vt:variant>
        <vt:lpwstr/>
      </vt:variant>
      <vt:variant>
        <vt:lpwstr>_ENREF_71</vt:lpwstr>
      </vt:variant>
      <vt:variant>
        <vt:i4>7340088</vt:i4>
      </vt:variant>
      <vt:variant>
        <vt:i4>1965</vt:i4>
      </vt:variant>
      <vt:variant>
        <vt:i4>0</vt:i4>
      </vt:variant>
      <vt:variant>
        <vt:i4>5</vt:i4>
      </vt:variant>
      <vt:variant>
        <vt:lpwstr/>
      </vt:variant>
      <vt:variant>
        <vt:lpwstr>_ENREF_130</vt:lpwstr>
      </vt:variant>
      <vt:variant>
        <vt:i4>7995449</vt:i4>
      </vt:variant>
      <vt:variant>
        <vt:i4>1959</vt:i4>
      </vt:variant>
      <vt:variant>
        <vt:i4>0</vt:i4>
      </vt:variant>
      <vt:variant>
        <vt:i4>5</vt:i4>
      </vt:variant>
      <vt:variant>
        <vt:lpwstr/>
      </vt:variant>
      <vt:variant>
        <vt:lpwstr>_ENREF_229</vt:lpwstr>
      </vt:variant>
      <vt:variant>
        <vt:i4>7798841</vt:i4>
      </vt:variant>
      <vt:variant>
        <vt:i4>1956</vt:i4>
      </vt:variant>
      <vt:variant>
        <vt:i4>0</vt:i4>
      </vt:variant>
      <vt:variant>
        <vt:i4>5</vt:i4>
      </vt:variant>
      <vt:variant>
        <vt:lpwstr/>
      </vt:variant>
      <vt:variant>
        <vt:lpwstr>_ENREF_127</vt:lpwstr>
      </vt:variant>
      <vt:variant>
        <vt:i4>7798841</vt:i4>
      </vt:variant>
      <vt:variant>
        <vt:i4>1948</vt:i4>
      </vt:variant>
      <vt:variant>
        <vt:i4>0</vt:i4>
      </vt:variant>
      <vt:variant>
        <vt:i4>5</vt:i4>
      </vt:variant>
      <vt:variant>
        <vt:lpwstr/>
      </vt:variant>
      <vt:variant>
        <vt:lpwstr>_ENREF_127</vt:lpwstr>
      </vt:variant>
      <vt:variant>
        <vt:i4>7667774</vt:i4>
      </vt:variant>
      <vt:variant>
        <vt:i4>1942</vt:i4>
      </vt:variant>
      <vt:variant>
        <vt:i4>0</vt:i4>
      </vt:variant>
      <vt:variant>
        <vt:i4>5</vt:i4>
      </vt:variant>
      <vt:variant>
        <vt:lpwstr/>
      </vt:variant>
      <vt:variant>
        <vt:lpwstr>_ENREF_256</vt:lpwstr>
      </vt:variant>
      <vt:variant>
        <vt:i4>7667770</vt:i4>
      </vt:variant>
      <vt:variant>
        <vt:i4>1936</vt:i4>
      </vt:variant>
      <vt:variant>
        <vt:i4>0</vt:i4>
      </vt:variant>
      <vt:variant>
        <vt:i4>5</vt:i4>
      </vt:variant>
      <vt:variant>
        <vt:lpwstr/>
      </vt:variant>
      <vt:variant>
        <vt:lpwstr>_ENREF_216</vt:lpwstr>
      </vt:variant>
      <vt:variant>
        <vt:i4>7667770</vt:i4>
      </vt:variant>
      <vt:variant>
        <vt:i4>1930</vt:i4>
      </vt:variant>
      <vt:variant>
        <vt:i4>0</vt:i4>
      </vt:variant>
      <vt:variant>
        <vt:i4>5</vt:i4>
      </vt:variant>
      <vt:variant>
        <vt:lpwstr/>
      </vt:variant>
      <vt:variant>
        <vt:lpwstr>_ENREF_216</vt:lpwstr>
      </vt:variant>
      <vt:variant>
        <vt:i4>7340088</vt:i4>
      </vt:variant>
      <vt:variant>
        <vt:i4>1927</vt:i4>
      </vt:variant>
      <vt:variant>
        <vt:i4>0</vt:i4>
      </vt:variant>
      <vt:variant>
        <vt:i4>5</vt:i4>
      </vt:variant>
      <vt:variant>
        <vt:lpwstr/>
      </vt:variant>
      <vt:variant>
        <vt:lpwstr>_ENREF_130</vt:lpwstr>
      </vt:variant>
      <vt:variant>
        <vt:i4>7798834</vt:i4>
      </vt:variant>
      <vt:variant>
        <vt:i4>1924</vt:i4>
      </vt:variant>
      <vt:variant>
        <vt:i4>0</vt:i4>
      </vt:variant>
      <vt:variant>
        <vt:i4>5</vt:i4>
      </vt:variant>
      <vt:variant>
        <vt:lpwstr/>
      </vt:variant>
      <vt:variant>
        <vt:lpwstr>_ENREF_197</vt:lpwstr>
      </vt:variant>
      <vt:variant>
        <vt:i4>7667770</vt:i4>
      </vt:variant>
      <vt:variant>
        <vt:i4>1918</vt:i4>
      </vt:variant>
      <vt:variant>
        <vt:i4>0</vt:i4>
      </vt:variant>
      <vt:variant>
        <vt:i4>5</vt:i4>
      </vt:variant>
      <vt:variant>
        <vt:lpwstr/>
      </vt:variant>
      <vt:variant>
        <vt:lpwstr>_ENREF_216</vt:lpwstr>
      </vt:variant>
      <vt:variant>
        <vt:i4>7405629</vt:i4>
      </vt:variant>
      <vt:variant>
        <vt:i4>1915</vt:i4>
      </vt:variant>
      <vt:variant>
        <vt:i4>0</vt:i4>
      </vt:variant>
      <vt:variant>
        <vt:i4>5</vt:i4>
      </vt:variant>
      <vt:variant>
        <vt:lpwstr/>
      </vt:variant>
      <vt:variant>
        <vt:lpwstr>_ENREF_161</vt:lpwstr>
      </vt:variant>
      <vt:variant>
        <vt:i4>7667768</vt:i4>
      </vt:variant>
      <vt:variant>
        <vt:i4>1912</vt:i4>
      </vt:variant>
      <vt:variant>
        <vt:i4>0</vt:i4>
      </vt:variant>
      <vt:variant>
        <vt:i4>5</vt:i4>
      </vt:variant>
      <vt:variant>
        <vt:lpwstr/>
      </vt:variant>
      <vt:variant>
        <vt:lpwstr>_ENREF_236</vt:lpwstr>
      </vt:variant>
      <vt:variant>
        <vt:i4>4521995</vt:i4>
      </vt:variant>
      <vt:variant>
        <vt:i4>1888</vt:i4>
      </vt:variant>
      <vt:variant>
        <vt:i4>0</vt:i4>
      </vt:variant>
      <vt:variant>
        <vt:i4>5</vt:i4>
      </vt:variant>
      <vt:variant>
        <vt:lpwstr/>
      </vt:variant>
      <vt:variant>
        <vt:lpwstr>_ENREF_43</vt:lpwstr>
      </vt:variant>
      <vt:variant>
        <vt:i4>7536701</vt:i4>
      </vt:variant>
      <vt:variant>
        <vt:i4>1885</vt:i4>
      </vt:variant>
      <vt:variant>
        <vt:i4>0</vt:i4>
      </vt:variant>
      <vt:variant>
        <vt:i4>5</vt:i4>
      </vt:variant>
      <vt:variant>
        <vt:lpwstr/>
      </vt:variant>
      <vt:variant>
        <vt:lpwstr>_ENREF_163</vt:lpwstr>
      </vt:variant>
      <vt:variant>
        <vt:i4>4784139</vt:i4>
      </vt:variant>
      <vt:variant>
        <vt:i4>1873</vt:i4>
      </vt:variant>
      <vt:variant>
        <vt:i4>0</vt:i4>
      </vt:variant>
      <vt:variant>
        <vt:i4>5</vt:i4>
      </vt:variant>
      <vt:variant>
        <vt:lpwstr/>
      </vt:variant>
      <vt:variant>
        <vt:lpwstr>_ENREF_86</vt:lpwstr>
      </vt:variant>
      <vt:variant>
        <vt:i4>7602237</vt:i4>
      </vt:variant>
      <vt:variant>
        <vt:i4>1865</vt:i4>
      </vt:variant>
      <vt:variant>
        <vt:i4>0</vt:i4>
      </vt:variant>
      <vt:variant>
        <vt:i4>5</vt:i4>
      </vt:variant>
      <vt:variant>
        <vt:lpwstr/>
      </vt:variant>
      <vt:variant>
        <vt:lpwstr>_ENREF_164</vt:lpwstr>
      </vt:variant>
      <vt:variant>
        <vt:i4>4390923</vt:i4>
      </vt:variant>
      <vt:variant>
        <vt:i4>1853</vt:i4>
      </vt:variant>
      <vt:variant>
        <vt:i4>0</vt:i4>
      </vt:variant>
      <vt:variant>
        <vt:i4>5</vt:i4>
      </vt:variant>
      <vt:variant>
        <vt:lpwstr/>
      </vt:variant>
      <vt:variant>
        <vt:lpwstr>_ENREF_20</vt:lpwstr>
      </vt:variant>
      <vt:variant>
        <vt:i4>4587531</vt:i4>
      </vt:variant>
      <vt:variant>
        <vt:i4>1847</vt:i4>
      </vt:variant>
      <vt:variant>
        <vt:i4>0</vt:i4>
      </vt:variant>
      <vt:variant>
        <vt:i4>5</vt:i4>
      </vt:variant>
      <vt:variant>
        <vt:lpwstr/>
      </vt:variant>
      <vt:variant>
        <vt:lpwstr>_ENREF_78</vt:lpwstr>
      </vt:variant>
      <vt:variant>
        <vt:i4>7602238</vt:i4>
      </vt:variant>
      <vt:variant>
        <vt:i4>1841</vt:i4>
      </vt:variant>
      <vt:variant>
        <vt:i4>0</vt:i4>
      </vt:variant>
      <vt:variant>
        <vt:i4>5</vt:i4>
      </vt:variant>
      <vt:variant>
        <vt:lpwstr/>
      </vt:variant>
      <vt:variant>
        <vt:lpwstr>_ENREF_154</vt:lpwstr>
      </vt:variant>
      <vt:variant>
        <vt:i4>7602237</vt:i4>
      </vt:variant>
      <vt:variant>
        <vt:i4>1835</vt:i4>
      </vt:variant>
      <vt:variant>
        <vt:i4>0</vt:i4>
      </vt:variant>
      <vt:variant>
        <vt:i4>5</vt:i4>
      </vt:variant>
      <vt:variant>
        <vt:lpwstr/>
      </vt:variant>
      <vt:variant>
        <vt:lpwstr>_ENREF_164</vt:lpwstr>
      </vt:variant>
      <vt:variant>
        <vt:i4>1114170</vt:i4>
      </vt:variant>
      <vt:variant>
        <vt:i4>1826</vt:i4>
      </vt:variant>
      <vt:variant>
        <vt:i4>0</vt:i4>
      </vt:variant>
      <vt:variant>
        <vt:i4>5</vt:i4>
      </vt:variant>
      <vt:variant>
        <vt:lpwstr/>
      </vt:variant>
      <vt:variant>
        <vt:lpwstr>_Toc306570835</vt:lpwstr>
      </vt:variant>
      <vt:variant>
        <vt:i4>1114170</vt:i4>
      </vt:variant>
      <vt:variant>
        <vt:i4>1820</vt:i4>
      </vt:variant>
      <vt:variant>
        <vt:i4>0</vt:i4>
      </vt:variant>
      <vt:variant>
        <vt:i4>5</vt:i4>
      </vt:variant>
      <vt:variant>
        <vt:lpwstr/>
      </vt:variant>
      <vt:variant>
        <vt:lpwstr>_Toc306570833</vt:lpwstr>
      </vt:variant>
      <vt:variant>
        <vt:i4>1048634</vt:i4>
      </vt:variant>
      <vt:variant>
        <vt:i4>1814</vt:i4>
      </vt:variant>
      <vt:variant>
        <vt:i4>0</vt:i4>
      </vt:variant>
      <vt:variant>
        <vt:i4>5</vt:i4>
      </vt:variant>
      <vt:variant>
        <vt:lpwstr/>
      </vt:variant>
      <vt:variant>
        <vt:lpwstr>_Toc306570829</vt:lpwstr>
      </vt:variant>
      <vt:variant>
        <vt:i4>1048634</vt:i4>
      </vt:variant>
      <vt:variant>
        <vt:i4>1808</vt:i4>
      </vt:variant>
      <vt:variant>
        <vt:i4>0</vt:i4>
      </vt:variant>
      <vt:variant>
        <vt:i4>5</vt:i4>
      </vt:variant>
      <vt:variant>
        <vt:lpwstr/>
      </vt:variant>
      <vt:variant>
        <vt:lpwstr>_Toc306570828</vt:lpwstr>
      </vt:variant>
      <vt:variant>
        <vt:i4>1048634</vt:i4>
      </vt:variant>
      <vt:variant>
        <vt:i4>1802</vt:i4>
      </vt:variant>
      <vt:variant>
        <vt:i4>0</vt:i4>
      </vt:variant>
      <vt:variant>
        <vt:i4>5</vt:i4>
      </vt:variant>
      <vt:variant>
        <vt:lpwstr/>
      </vt:variant>
      <vt:variant>
        <vt:lpwstr>_Toc306570827</vt:lpwstr>
      </vt:variant>
      <vt:variant>
        <vt:i4>1048634</vt:i4>
      </vt:variant>
      <vt:variant>
        <vt:i4>1796</vt:i4>
      </vt:variant>
      <vt:variant>
        <vt:i4>0</vt:i4>
      </vt:variant>
      <vt:variant>
        <vt:i4>5</vt:i4>
      </vt:variant>
      <vt:variant>
        <vt:lpwstr/>
      </vt:variant>
      <vt:variant>
        <vt:lpwstr>_Toc306570826</vt:lpwstr>
      </vt:variant>
      <vt:variant>
        <vt:i4>1048634</vt:i4>
      </vt:variant>
      <vt:variant>
        <vt:i4>1790</vt:i4>
      </vt:variant>
      <vt:variant>
        <vt:i4>0</vt:i4>
      </vt:variant>
      <vt:variant>
        <vt:i4>5</vt:i4>
      </vt:variant>
      <vt:variant>
        <vt:lpwstr/>
      </vt:variant>
      <vt:variant>
        <vt:lpwstr>_Toc306570825</vt:lpwstr>
      </vt:variant>
      <vt:variant>
        <vt:i4>1048634</vt:i4>
      </vt:variant>
      <vt:variant>
        <vt:i4>1784</vt:i4>
      </vt:variant>
      <vt:variant>
        <vt:i4>0</vt:i4>
      </vt:variant>
      <vt:variant>
        <vt:i4>5</vt:i4>
      </vt:variant>
      <vt:variant>
        <vt:lpwstr/>
      </vt:variant>
      <vt:variant>
        <vt:lpwstr>_Toc306570824</vt:lpwstr>
      </vt:variant>
      <vt:variant>
        <vt:i4>1048634</vt:i4>
      </vt:variant>
      <vt:variant>
        <vt:i4>1778</vt:i4>
      </vt:variant>
      <vt:variant>
        <vt:i4>0</vt:i4>
      </vt:variant>
      <vt:variant>
        <vt:i4>5</vt:i4>
      </vt:variant>
      <vt:variant>
        <vt:lpwstr/>
      </vt:variant>
      <vt:variant>
        <vt:lpwstr>_Toc306570823</vt:lpwstr>
      </vt:variant>
      <vt:variant>
        <vt:i4>1048634</vt:i4>
      </vt:variant>
      <vt:variant>
        <vt:i4>1772</vt:i4>
      </vt:variant>
      <vt:variant>
        <vt:i4>0</vt:i4>
      </vt:variant>
      <vt:variant>
        <vt:i4>5</vt:i4>
      </vt:variant>
      <vt:variant>
        <vt:lpwstr/>
      </vt:variant>
      <vt:variant>
        <vt:lpwstr>_Toc306570822</vt:lpwstr>
      </vt:variant>
      <vt:variant>
        <vt:i4>1048634</vt:i4>
      </vt:variant>
      <vt:variant>
        <vt:i4>1766</vt:i4>
      </vt:variant>
      <vt:variant>
        <vt:i4>0</vt:i4>
      </vt:variant>
      <vt:variant>
        <vt:i4>5</vt:i4>
      </vt:variant>
      <vt:variant>
        <vt:lpwstr/>
      </vt:variant>
      <vt:variant>
        <vt:lpwstr>_Toc306570821</vt:lpwstr>
      </vt:variant>
      <vt:variant>
        <vt:i4>1048634</vt:i4>
      </vt:variant>
      <vt:variant>
        <vt:i4>1760</vt:i4>
      </vt:variant>
      <vt:variant>
        <vt:i4>0</vt:i4>
      </vt:variant>
      <vt:variant>
        <vt:i4>5</vt:i4>
      </vt:variant>
      <vt:variant>
        <vt:lpwstr/>
      </vt:variant>
      <vt:variant>
        <vt:lpwstr>_Toc306570820</vt:lpwstr>
      </vt:variant>
      <vt:variant>
        <vt:i4>1245242</vt:i4>
      </vt:variant>
      <vt:variant>
        <vt:i4>1754</vt:i4>
      </vt:variant>
      <vt:variant>
        <vt:i4>0</vt:i4>
      </vt:variant>
      <vt:variant>
        <vt:i4>5</vt:i4>
      </vt:variant>
      <vt:variant>
        <vt:lpwstr/>
      </vt:variant>
      <vt:variant>
        <vt:lpwstr>_Toc306570819</vt:lpwstr>
      </vt:variant>
      <vt:variant>
        <vt:i4>1245242</vt:i4>
      </vt:variant>
      <vt:variant>
        <vt:i4>1748</vt:i4>
      </vt:variant>
      <vt:variant>
        <vt:i4>0</vt:i4>
      </vt:variant>
      <vt:variant>
        <vt:i4>5</vt:i4>
      </vt:variant>
      <vt:variant>
        <vt:lpwstr/>
      </vt:variant>
      <vt:variant>
        <vt:lpwstr>_Toc306570818</vt:lpwstr>
      </vt:variant>
      <vt:variant>
        <vt:i4>1245242</vt:i4>
      </vt:variant>
      <vt:variant>
        <vt:i4>1742</vt:i4>
      </vt:variant>
      <vt:variant>
        <vt:i4>0</vt:i4>
      </vt:variant>
      <vt:variant>
        <vt:i4>5</vt:i4>
      </vt:variant>
      <vt:variant>
        <vt:lpwstr/>
      </vt:variant>
      <vt:variant>
        <vt:lpwstr>_Toc306570817</vt:lpwstr>
      </vt:variant>
      <vt:variant>
        <vt:i4>1245242</vt:i4>
      </vt:variant>
      <vt:variant>
        <vt:i4>1736</vt:i4>
      </vt:variant>
      <vt:variant>
        <vt:i4>0</vt:i4>
      </vt:variant>
      <vt:variant>
        <vt:i4>5</vt:i4>
      </vt:variant>
      <vt:variant>
        <vt:lpwstr/>
      </vt:variant>
      <vt:variant>
        <vt:lpwstr>_Toc306570816</vt:lpwstr>
      </vt:variant>
      <vt:variant>
        <vt:i4>1245242</vt:i4>
      </vt:variant>
      <vt:variant>
        <vt:i4>1730</vt:i4>
      </vt:variant>
      <vt:variant>
        <vt:i4>0</vt:i4>
      </vt:variant>
      <vt:variant>
        <vt:i4>5</vt:i4>
      </vt:variant>
      <vt:variant>
        <vt:lpwstr/>
      </vt:variant>
      <vt:variant>
        <vt:lpwstr>_Toc306570815</vt:lpwstr>
      </vt:variant>
      <vt:variant>
        <vt:i4>1245242</vt:i4>
      </vt:variant>
      <vt:variant>
        <vt:i4>1724</vt:i4>
      </vt:variant>
      <vt:variant>
        <vt:i4>0</vt:i4>
      </vt:variant>
      <vt:variant>
        <vt:i4>5</vt:i4>
      </vt:variant>
      <vt:variant>
        <vt:lpwstr/>
      </vt:variant>
      <vt:variant>
        <vt:lpwstr>_Toc306570814</vt:lpwstr>
      </vt:variant>
      <vt:variant>
        <vt:i4>1245242</vt:i4>
      </vt:variant>
      <vt:variant>
        <vt:i4>1718</vt:i4>
      </vt:variant>
      <vt:variant>
        <vt:i4>0</vt:i4>
      </vt:variant>
      <vt:variant>
        <vt:i4>5</vt:i4>
      </vt:variant>
      <vt:variant>
        <vt:lpwstr/>
      </vt:variant>
      <vt:variant>
        <vt:lpwstr>_Toc306570813</vt:lpwstr>
      </vt:variant>
      <vt:variant>
        <vt:i4>1245242</vt:i4>
      </vt:variant>
      <vt:variant>
        <vt:i4>1712</vt:i4>
      </vt:variant>
      <vt:variant>
        <vt:i4>0</vt:i4>
      </vt:variant>
      <vt:variant>
        <vt:i4>5</vt:i4>
      </vt:variant>
      <vt:variant>
        <vt:lpwstr/>
      </vt:variant>
      <vt:variant>
        <vt:lpwstr>_Toc306570812</vt:lpwstr>
      </vt:variant>
      <vt:variant>
        <vt:i4>1245242</vt:i4>
      </vt:variant>
      <vt:variant>
        <vt:i4>1706</vt:i4>
      </vt:variant>
      <vt:variant>
        <vt:i4>0</vt:i4>
      </vt:variant>
      <vt:variant>
        <vt:i4>5</vt:i4>
      </vt:variant>
      <vt:variant>
        <vt:lpwstr/>
      </vt:variant>
      <vt:variant>
        <vt:lpwstr>_Toc306570811</vt:lpwstr>
      </vt:variant>
      <vt:variant>
        <vt:i4>1245242</vt:i4>
      </vt:variant>
      <vt:variant>
        <vt:i4>1700</vt:i4>
      </vt:variant>
      <vt:variant>
        <vt:i4>0</vt:i4>
      </vt:variant>
      <vt:variant>
        <vt:i4>5</vt:i4>
      </vt:variant>
      <vt:variant>
        <vt:lpwstr/>
      </vt:variant>
      <vt:variant>
        <vt:lpwstr>_Toc306570810</vt:lpwstr>
      </vt:variant>
      <vt:variant>
        <vt:i4>1179706</vt:i4>
      </vt:variant>
      <vt:variant>
        <vt:i4>1694</vt:i4>
      </vt:variant>
      <vt:variant>
        <vt:i4>0</vt:i4>
      </vt:variant>
      <vt:variant>
        <vt:i4>5</vt:i4>
      </vt:variant>
      <vt:variant>
        <vt:lpwstr/>
      </vt:variant>
      <vt:variant>
        <vt:lpwstr>_Toc306570809</vt:lpwstr>
      </vt:variant>
      <vt:variant>
        <vt:i4>1179706</vt:i4>
      </vt:variant>
      <vt:variant>
        <vt:i4>1688</vt:i4>
      </vt:variant>
      <vt:variant>
        <vt:i4>0</vt:i4>
      </vt:variant>
      <vt:variant>
        <vt:i4>5</vt:i4>
      </vt:variant>
      <vt:variant>
        <vt:lpwstr/>
      </vt:variant>
      <vt:variant>
        <vt:lpwstr>_Toc306570808</vt:lpwstr>
      </vt:variant>
      <vt:variant>
        <vt:i4>1179706</vt:i4>
      </vt:variant>
      <vt:variant>
        <vt:i4>1682</vt:i4>
      </vt:variant>
      <vt:variant>
        <vt:i4>0</vt:i4>
      </vt:variant>
      <vt:variant>
        <vt:i4>5</vt:i4>
      </vt:variant>
      <vt:variant>
        <vt:lpwstr/>
      </vt:variant>
      <vt:variant>
        <vt:lpwstr>_Toc306570807</vt:lpwstr>
      </vt:variant>
      <vt:variant>
        <vt:i4>1179706</vt:i4>
      </vt:variant>
      <vt:variant>
        <vt:i4>1676</vt:i4>
      </vt:variant>
      <vt:variant>
        <vt:i4>0</vt:i4>
      </vt:variant>
      <vt:variant>
        <vt:i4>5</vt:i4>
      </vt:variant>
      <vt:variant>
        <vt:lpwstr/>
      </vt:variant>
      <vt:variant>
        <vt:lpwstr>_Toc306570806</vt:lpwstr>
      </vt:variant>
      <vt:variant>
        <vt:i4>1179706</vt:i4>
      </vt:variant>
      <vt:variant>
        <vt:i4>1670</vt:i4>
      </vt:variant>
      <vt:variant>
        <vt:i4>0</vt:i4>
      </vt:variant>
      <vt:variant>
        <vt:i4>5</vt:i4>
      </vt:variant>
      <vt:variant>
        <vt:lpwstr/>
      </vt:variant>
      <vt:variant>
        <vt:lpwstr>_Toc306570805</vt:lpwstr>
      </vt:variant>
      <vt:variant>
        <vt:i4>1179706</vt:i4>
      </vt:variant>
      <vt:variant>
        <vt:i4>1664</vt:i4>
      </vt:variant>
      <vt:variant>
        <vt:i4>0</vt:i4>
      </vt:variant>
      <vt:variant>
        <vt:i4>5</vt:i4>
      </vt:variant>
      <vt:variant>
        <vt:lpwstr/>
      </vt:variant>
      <vt:variant>
        <vt:lpwstr>_Toc306570804</vt:lpwstr>
      </vt:variant>
      <vt:variant>
        <vt:i4>1179706</vt:i4>
      </vt:variant>
      <vt:variant>
        <vt:i4>1658</vt:i4>
      </vt:variant>
      <vt:variant>
        <vt:i4>0</vt:i4>
      </vt:variant>
      <vt:variant>
        <vt:i4>5</vt:i4>
      </vt:variant>
      <vt:variant>
        <vt:lpwstr/>
      </vt:variant>
      <vt:variant>
        <vt:lpwstr>_Toc306570803</vt:lpwstr>
      </vt:variant>
      <vt:variant>
        <vt:i4>1179706</vt:i4>
      </vt:variant>
      <vt:variant>
        <vt:i4>1652</vt:i4>
      </vt:variant>
      <vt:variant>
        <vt:i4>0</vt:i4>
      </vt:variant>
      <vt:variant>
        <vt:i4>5</vt:i4>
      </vt:variant>
      <vt:variant>
        <vt:lpwstr/>
      </vt:variant>
      <vt:variant>
        <vt:lpwstr>_Toc306570802</vt:lpwstr>
      </vt:variant>
      <vt:variant>
        <vt:i4>1179706</vt:i4>
      </vt:variant>
      <vt:variant>
        <vt:i4>1646</vt:i4>
      </vt:variant>
      <vt:variant>
        <vt:i4>0</vt:i4>
      </vt:variant>
      <vt:variant>
        <vt:i4>5</vt:i4>
      </vt:variant>
      <vt:variant>
        <vt:lpwstr/>
      </vt:variant>
      <vt:variant>
        <vt:lpwstr>_Toc306570801</vt:lpwstr>
      </vt:variant>
      <vt:variant>
        <vt:i4>1179706</vt:i4>
      </vt:variant>
      <vt:variant>
        <vt:i4>1640</vt:i4>
      </vt:variant>
      <vt:variant>
        <vt:i4>0</vt:i4>
      </vt:variant>
      <vt:variant>
        <vt:i4>5</vt:i4>
      </vt:variant>
      <vt:variant>
        <vt:lpwstr/>
      </vt:variant>
      <vt:variant>
        <vt:lpwstr>_Toc306570800</vt:lpwstr>
      </vt:variant>
      <vt:variant>
        <vt:i4>1769525</vt:i4>
      </vt:variant>
      <vt:variant>
        <vt:i4>1634</vt:i4>
      </vt:variant>
      <vt:variant>
        <vt:i4>0</vt:i4>
      </vt:variant>
      <vt:variant>
        <vt:i4>5</vt:i4>
      </vt:variant>
      <vt:variant>
        <vt:lpwstr/>
      </vt:variant>
      <vt:variant>
        <vt:lpwstr>_Toc306570799</vt:lpwstr>
      </vt:variant>
      <vt:variant>
        <vt:i4>1769525</vt:i4>
      </vt:variant>
      <vt:variant>
        <vt:i4>1628</vt:i4>
      </vt:variant>
      <vt:variant>
        <vt:i4>0</vt:i4>
      </vt:variant>
      <vt:variant>
        <vt:i4>5</vt:i4>
      </vt:variant>
      <vt:variant>
        <vt:lpwstr/>
      </vt:variant>
      <vt:variant>
        <vt:lpwstr>_Toc306570798</vt:lpwstr>
      </vt:variant>
      <vt:variant>
        <vt:i4>1769525</vt:i4>
      </vt:variant>
      <vt:variant>
        <vt:i4>1622</vt:i4>
      </vt:variant>
      <vt:variant>
        <vt:i4>0</vt:i4>
      </vt:variant>
      <vt:variant>
        <vt:i4>5</vt:i4>
      </vt:variant>
      <vt:variant>
        <vt:lpwstr/>
      </vt:variant>
      <vt:variant>
        <vt:lpwstr>_Toc306570797</vt:lpwstr>
      </vt:variant>
      <vt:variant>
        <vt:i4>1769525</vt:i4>
      </vt:variant>
      <vt:variant>
        <vt:i4>1616</vt:i4>
      </vt:variant>
      <vt:variant>
        <vt:i4>0</vt:i4>
      </vt:variant>
      <vt:variant>
        <vt:i4>5</vt:i4>
      </vt:variant>
      <vt:variant>
        <vt:lpwstr/>
      </vt:variant>
      <vt:variant>
        <vt:lpwstr>_Toc306570796</vt:lpwstr>
      </vt:variant>
      <vt:variant>
        <vt:i4>1769525</vt:i4>
      </vt:variant>
      <vt:variant>
        <vt:i4>1610</vt:i4>
      </vt:variant>
      <vt:variant>
        <vt:i4>0</vt:i4>
      </vt:variant>
      <vt:variant>
        <vt:i4>5</vt:i4>
      </vt:variant>
      <vt:variant>
        <vt:lpwstr/>
      </vt:variant>
      <vt:variant>
        <vt:lpwstr>_Toc306570795</vt:lpwstr>
      </vt:variant>
      <vt:variant>
        <vt:i4>1769525</vt:i4>
      </vt:variant>
      <vt:variant>
        <vt:i4>1604</vt:i4>
      </vt:variant>
      <vt:variant>
        <vt:i4>0</vt:i4>
      </vt:variant>
      <vt:variant>
        <vt:i4>5</vt:i4>
      </vt:variant>
      <vt:variant>
        <vt:lpwstr/>
      </vt:variant>
      <vt:variant>
        <vt:lpwstr>_Toc306570794</vt:lpwstr>
      </vt:variant>
      <vt:variant>
        <vt:i4>1769525</vt:i4>
      </vt:variant>
      <vt:variant>
        <vt:i4>1598</vt:i4>
      </vt:variant>
      <vt:variant>
        <vt:i4>0</vt:i4>
      </vt:variant>
      <vt:variant>
        <vt:i4>5</vt:i4>
      </vt:variant>
      <vt:variant>
        <vt:lpwstr/>
      </vt:variant>
      <vt:variant>
        <vt:lpwstr>_Toc306570793</vt:lpwstr>
      </vt:variant>
      <vt:variant>
        <vt:i4>1769525</vt:i4>
      </vt:variant>
      <vt:variant>
        <vt:i4>1592</vt:i4>
      </vt:variant>
      <vt:variant>
        <vt:i4>0</vt:i4>
      </vt:variant>
      <vt:variant>
        <vt:i4>5</vt:i4>
      </vt:variant>
      <vt:variant>
        <vt:lpwstr/>
      </vt:variant>
      <vt:variant>
        <vt:lpwstr>_Toc306570792</vt:lpwstr>
      </vt:variant>
      <vt:variant>
        <vt:i4>1769525</vt:i4>
      </vt:variant>
      <vt:variant>
        <vt:i4>1586</vt:i4>
      </vt:variant>
      <vt:variant>
        <vt:i4>0</vt:i4>
      </vt:variant>
      <vt:variant>
        <vt:i4>5</vt:i4>
      </vt:variant>
      <vt:variant>
        <vt:lpwstr/>
      </vt:variant>
      <vt:variant>
        <vt:lpwstr>_Toc306570791</vt:lpwstr>
      </vt:variant>
      <vt:variant>
        <vt:i4>1769525</vt:i4>
      </vt:variant>
      <vt:variant>
        <vt:i4>1580</vt:i4>
      </vt:variant>
      <vt:variant>
        <vt:i4>0</vt:i4>
      </vt:variant>
      <vt:variant>
        <vt:i4>5</vt:i4>
      </vt:variant>
      <vt:variant>
        <vt:lpwstr/>
      </vt:variant>
      <vt:variant>
        <vt:lpwstr>_Toc306570790</vt:lpwstr>
      </vt:variant>
      <vt:variant>
        <vt:i4>1703989</vt:i4>
      </vt:variant>
      <vt:variant>
        <vt:i4>1574</vt:i4>
      </vt:variant>
      <vt:variant>
        <vt:i4>0</vt:i4>
      </vt:variant>
      <vt:variant>
        <vt:i4>5</vt:i4>
      </vt:variant>
      <vt:variant>
        <vt:lpwstr/>
      </vt:variant>
      <vt:variant>
        <vt:lpwstr>_Toc306570789</vt:lpwstr>
      </vt:variant>
      <vt:variant>
        <vt:i4>1703989</vt:i4>
      </vt:variant>
      <vt:variant>
        <vt:i4>1568</vt:i4>
      </vt:variant>
      <vt:variant>
        <vt:i4>0</vt:i4>
      </vt:variant>
      <vt:variant>
        <vt:i4>5</vt:i4>
      </vt:variant>
      <vt:variant>
        <vt:lpwstr/>
      </vt:variant>
      <vt:variant>
        <vt:lpwstr>_Toc306570788</vt:lpwstr>
      </vt:variant>
      <vt:variant>
        <vt:i4>1703989</vt:i4>
      </vt:variant>
      <vt:variant>
        <vt:i4>1562</vt:i4>
      </vt:variant>
      <vt:variant>
        <vt:i4>0</vt:i4>
      </vt:variant>
      <vt:variant>
        <vt:i4>5</vt:i4>
      </vt:variant>
      <vt:variant>
        <vt:lpwstr/>
      </vt:variant>
      <vt:variant>
        <vt:lpwstr>_Toc306570787</vt:lpwstr>
      </vt:variant>
      <vt:variant>
        <vt:i4>1703989</vt:i4>
      </vt:variant>
      <vt:variant>
        <vt:i4>1556</vt:i4>
      </vt:variant>
      <vt:variant>
        <vt:i4>0</vt:i4>
      </vt:variant>
      <vt:variant>
        <vt:i4>5</vt:i4>
      </vt:variant>
      <vt:variant>
        <vt:lpwstr/>
      </vt:variant>
      <vt:variant>
        <vt:lpwstr>_Toc306570786</vt:lpwstr>
      </vt:variant>
      <vt:variant>
        <vt:i4>1703989</vt:i4>
      </vt:variant>
      <vt:variant>
        <vt:i4>1550</vt:i4>
      </vt:variant>
      <vt:variant>
        <vt:i4>0</vt:i4>
      </vt:variant>
      <vt:variant>
        <vt:i4>5</vt:i4>
      </vt:variant>
      <vt:variant>
        <vt:lpwstr/>
      </vt:variant>
      <vt:variant>
        <vt:lpwstr>_Toc306570785</vt:lpwstr>
      </vt:variant>
      <vt:variant>
        <vt:i4>1703989</vt:i4>
      </vt:variant>
      <vt:variant>
        <vt:i4>1544</vt:i4>
      </vt:variant>
      <vt:variant>
        <vt:i4>0</vt:i4>
      </vt:variant>
      <vt:variant>
        <vt:i4>5</vt:i4>
      </vt:variant>
      <vt:variant>
        <vt:lpwstr/>
      </vt:variant>
      <vt:variant>
        <vt:lpwstr>_Toc306570784</vt:lpwstr>
      </vt:variant>
      <vt:variant>
        <vt:i4>1703989</vt:i4>
      </vt:variant>
      <vt:variant>
        <vt:i4>1538</vt:i4>
      </vt:variant>
      <vt:variant>
        <vt:i4>0</vt:i4>
      </vt:variant>
      <vt:variant>
        <vt:i4>5</vt:i4>
      </vt:variant>
      <vt:variant>
        <vt:lpwstr/>
      </vt:variant>
      <vt:variant>
        <vt:lpwstr>_Toc306570783</vt:lpwstr>
      </vt:variant>
      <vt:variant>
        <vt:i4>1703989</vt:i4>
      </vt:variant>
      <vt:variant>
        <vt:i4>1532</vt:i4>
      </vt:variant>
      <vt:variant>
        <vt:i4>0</vt:i4>
      </vt:variant>
      <vt:variant>
        <vt:i4>5</vt:i4>
      </vt:variant>
      <vt:variant>
        <vt:lpwstr/>
      </vt:variant>
      <vt:variant>
        <vt:lpwstr>_Toc306570782</vt:lpwstr>
      </vt:variant>
      <vt:variant>
        <vt:i4>1703989</vt:i4>
      </vt:variant>
      <vt:variant>
        <vt:i4>1526</vt:i4>
      </vt:variant>
      <vt:variant>
        <vt:i4>0</vt:i4>
      </vt:variant>
      <vt:variant>
        <vt:i4>5</vt:i4>
      </vt:variant>
      <vt:variant>
        <vt:lpwstr/>
      </vt:variant>
      <vt:variant>
        <vt:lpwstr>_Toc306570781</vt:lpwstr>
      </vt:variant>
      <vt:variant>
        <vt:i4>1703989</vt:i4>
      </vt:variant>
      <vt:variant>
        <vt:i4>1520</vt:i4>
      </vt:variant>
      <vt:variant>
        <vt:i4>0</vt:i4>
      </vt:variant>
      <vt:variant>
        <vt:i4>5</vt:i4>
      </vt:variant>
      <vt:variant>
        <vt:lpwstr/>
      </vt:variant>
      <vt:variant>
        <vt:lpwstr>_Toc306570780</vt:lpwstr>
      </vt:variant>
      <vt:variant>
        <vt:i4>1376309</vt:i4>
      </vt:variant>
      <vt:variant>
        <vt:i4>1514</vt:i4>
      </vt:variant>
      <vt:variant>
        <vt:i4>0</vt:i4>
      </vt:variant>
      <vt:variant>
        <vt:i4>5</vt:i4>
      </vt:variant>
      <vt:variant>
        <vt:lpwstr/>
      </vt:variant>
      <vt:variant>
        <vt:lpwstr>_Toc306570779</vt:lpwstr>
      </vt:variant>
      <vt:variant>
        <vt:i4>1376309</vt:i4>
      </vt:variant>
      <vt:variant>
        <vt:i4>1508</vt:i4>
      </vt:variant>
      <vt:variant>
        <vt:i4>0</vt:i4>
      </vt:variant>
      <vt:variant>
        <vt:i4>5</vt:i4>
      </vt:variant>
      <vt:variant>
        <vt:lpwstr/>
      </vt:variant>
      <vt:variant>
        <vt:lpwstr>_Toc306570778</vt:lpwstr>
      </vt:variant>
      <vt:variant>
        <vt:i4>1376309</vt:i4>
      </vt:variant>
      <vt:variant>
        <vt:i4>1502</vt:i4>
      </vt:variant>
      <vt:variant>
        <vt:i4>0</vt:i4>
      </vt:variant>
      <vt:variant>
        <vt:i4>5</vt:i4>
      </vt:variant>
      <vt:variant>
        <vt:lpwstr/>
      </vt:variant>
      <vt:variant>
        <vt:lpwstr>_Toc306570777</vt:lpwstr>
      </vt:variant>
      <vt:variant>
        <vt:i4>1376309</vt:i4>
      </vt:variant>
      <vt:variant>
        <vt:i4>1496</vt:i4>
      </vt:variant>
      <vt:variant>
        <vt:i4>0</vt:i4>
      </vt:variant>
      <vt:variant>
        <vt:i4>5</vt:i4>
      </vt:variant>
      <vt:variant>
        <vt:lpwstr/>
      </vt:variant>
      <vt:variant>
        <vt:lpwstr>_Toc306570776</vt:lpwstr>
      </vt:variant>
      <vt:variant>
        <vt:i4>1376309</vt:i4>
      </vt:variant>
      <vt:variant>
        <vt:i4>1490</vt:i4>
      </vt:variant>
      <vt:variant>
        <vt:i4>0</vt:i4>
      </vt:variant>
      <vt:variant>
        <vt:i4>5</vt:i4>
      </vt:variant>
      <vt:variant>
        <vt:lpwstr/>
      </vt:variant>
      <vt:variant>
        <vt:lpwstr>_Toc306570775</vt:lpwstr>
      </vt:variant>
      <vt:variant>
        <vt:i4>1376309</vt:i4>
      </vt:variant>
      <vt:variant>
        <vt:i4>1484</vt:i4>
      </vt:variant>
      <vt:variant>
        <vt:i4>0</vt:i4>
      </vt:variant>
      <vt:variant>
        <vt:i4>5</vt:i4>
      </vt:variant>
      <vt:variant>
        <vt:lpwstr/>
      </vt:variant>
      <vt:variant>
        <vt:lpwstr>_Toc306570774</vt:lpwstr>
      </vt:variant>
      <vt:variant>
        <vt:i4>1376309</vt:i4>
      </vt:variant>
      <vt:variant>
        <vt:i4>1478</vt:i4>
      </vt:variant>
      <vt:variant>
        <vt:i4>0</vt:i4>
      </vt:variant>
      <vt:variant>
        <vt:i4>5</vt:i4>
      </vt:variant>
      <vt:variant>
        <vt:lpwstr/>
      </vt:variant>
      <vt:variant>
        <vt:lpwstr>_Toc306570773</vt:lpwstr>
      </vt:variant>
      <vt:variant>
        <vt:i4>1376309</vt:i4>
      </vt:variant>
      <vt:variant>
        <vt:i4>1472</vt:i4>
      </vt:variant>
      <vt:variant>
        <vt:i4>0</vt:i4>
      </vt:variant>
      <vt:variant>
        <vt:i4>5</vt:i4>
      </vt:variant>
      <vt:variant>
        <vt:lpwstr/>
      </vt:variant>
      <vt:variant>
        <vt:lpwstr>_Toc306570772</vt:lpwstr>
      </vt:variant>
      <vt:variant>
        <vt:i4>1376309</vt:i4>
      </vt:variant>
      <vt:variant>
        <vt:i4>1466</vt:i4>
      </vt:variant>
      <vt:variant>
        <vt:i4>0</vt:i4>
      </vt:variant>
      <vt:variant>
        <vt:i4>5</vt:i4>
      </vt:variant>
      <vt:variant>
        <vt:lpwstr/>
      </vt:variant>
      <vt:variant>
        <vt:lpwstr>_Toc306570771</vt:lpwstr>
      </vt:variant>
      <vt:variant>
        <vt:i4>1376309</vt:i4>
      </vt:variant>
      <vt:variant>
        <vt:i4>1460</vt:i4>
      </vt:variant>
      <vt:variant>
        <vt:i4>0</vt:i4>
      </vt:variant>
      <vt:variant>
        <vt:i4>5</vt:i4>
      </vt:variant>
      <vt:variant>
        <vt:lpwstr/>
      </vt:variant>
      <vt:variant>
        <vt:lpwstr>_Toc306570770</vt:lpwstr>
      </vt:variant>
      <vt:variant>
        <vt:i4>1310773</vt:i4>
      </vt:variant>
      <vt:variant>
        <vt:i4>1454</vt:i4>
      </vt:variant>
      <vt:variant>
        <vt:i4>0</vt:i4>
      </vt:variant>
      <vt:variant>
        <vt:i4>5</vt:i4>
      </vt:variant>
      <vt:variant>
        <vt:lpwstr/>
      </vt:variant>
      <vt:variant>
        <vt:lpwstr>_Toc306570769</vt:lpwstr>
      </vt:variant>
      <vt:variant>
        <vt:i4>1310773</vt:i4>
      </vt:variant>
      <vt:variant>
        <vt:i4>1448</vt:i4>
      </vt:variant>
      <vt:variant>
        <vt:i4>0</vt:i4>
      </vt:variant>
      <vt:variant>
        <vt:i4>5</vt:i4>
      </vt:variant>
      <vt:variant>
        <vt:lpwstr/>
      </vt:variant>
      <vt:variant>
        <vt:lpwstr>_Toc306570768</vt:lpwstr>
      </vt:variant>
      <vt:variant>
        <vt:i4>1310773</vt:i4>
      </vt:variant>
      <vt:variant>
        <vt:i4>1442</vt:i4>
      </vt:variant>
      <vt:variant>
        <vt:i4>0</vt:i4>
      </vt:variant>
      <vt:variant>
        <vt:i4>5</vt:i4>
      </vt:variant>
      <vt:variant>
        <vt:lpwstr/>
      </vt:variant>
      <vt:variant>
        <vt:lpwstr>_Toc306570767</vt:lpwstr>
      </vt:variant>
      <vt:variant>
        <vt:i4>1310773</vt:i4>
      </vt:variant>
      <vt:variant>
        <vt:i4>1436</vt:i4>
      </vt:variant>
      <vt:variant>
        <vt:i4>0</vt:i4>
      </vt:variant>
      <vt:variant>
        <vt:i4>5</vt:i4>
      </vt:variant>
      <vt:variant>
        <vt:lpwstr/>
      </vt:variant>
      <vt:variant>
        <vt:lpwstr>_Toc306570766</vt:lpwstr>
      </vt:variant>
      <vt:variant>
        <vt:i4>1310773</vt:i4>
      </vt:variant>
      <vt:variant>
        <vt:i4>1430</vt:i4>
      </vt:variant>
      <vt:variant>
        <vt:i4>0</vt:i4>
      </vt:variant>
      <vt:variant>
        <vt:i4>5</vt:i4>
      </vt:variant>
      <vt:variant>
        <vt:lpwstr/>
      </vt:variant>
      <vt:variant>
        <vt:lpwstr>_Toc306570765</vt:lpwstr>
      </vt:variant>
      <vt:variant>
        <vt:i4>1310773</vt:i4>
      </vt:variant>
      <vt:variant>
        <vt:i4>1424</vt:i4>
      </vt:variant>
      <vt:variant>
        <vt:i4>0</vt:i4>
      </vt:variant>
      <vt:variant>
        <vt:i4>5</vt:i4>
      </vt:variant>
      <vt:variant>
        <vt:lpwstr/>
      </vt:variant>
      <vt:variant>
        <vt:lpwstr>_Toc306570764</vt:lpwstr>
      </vt:variant>
      <vt:variant>
        <vt:i4>1310773</vt:i4>
      </vt:variant>
      <vt:variant>
        <vt:i4>1418</vt:i4>
      </vt:variant>
      <vt:variant>
        <vt:i4>0</vt:i4>
      </vt:variant>
      <vt:variant>
        <vt:i4>5</vt:i4>
      </vt:variant>
      <vt:variant>
        <vt:lpwstr/>
      </vt:variant>
      <vt:variant>
        <vt:lpwstr>_Toc306570763</vt:lpwstr>
      </vt:variant>
      <vt:variant>
        <vt:i4>1310773</vt:i4>
      </vt:variant>
      <vt:variant>
        <vt:i4>1412</vt:i4>
      </vt:variant>
      <vt:variant>
        <vt:i4>0</vt:i4>
      </vt:variant>
      <vt:variant>
        <vt:i4>5</vt:i4>
      </vt:variant>
      <vt:variant>
        <vt:lpwstr/>
      </vt:variant>
      <vt:variant>
        <vt:lpwstr>_Toc306570762</vt:lpwstr>
      </vt:variant>
      <vt:variant>
        <vt:i4>1310773</vt:i4>
      </vt:variant>
      <vt:variant>
        <vt:i4>1406</vt:i4>
      </vt:variant>
      <vt:variant>
        <vt:i4>0</vt:i4>
      </vt:variant>
      <vt:variant>
        <vt:i4>5</vt:i4>
      </vt:variant>
      <vt:variant>
        <vt:lpwstr/>
      </vt:variant>
      <vt:variant>
        <vt:lpwstr>_Toc306570761</vt:lpwstr>
      </vt:variant>
      <vt:variant>
        <vt:i4>1310773</vt:i4>
      </vt:variant>
      <vt:variant>
        <vt:i4>1400</vt:i4>
      </vt:variant>
      <vt:variant>
        <vt:i4>0</vt:i4>
      </vt:variant>
      <vt:variant>
        <vt:i4>5</vt:i4>
      </vt:variant>
      <vt:variant>
        <vt:lpwstr/>
      </vt:variant>
      <vt:variant>
        <vt:lpwstr>_Toc306570760</vt:lpwstr>
      </vt:variant>
      <vt:variant>
        <vt:i4>1507381</vt:i4>
      </vt:variant>
      <vt:variant>
        <vt:i4>1394</vt:i4>
      </vt:variant>
      <vt:variant>
        <vt:i4>0</vt:i4>
      </vt:variant>
      <vt:variant>
        <vt:i4>5</vt:i4>
      </vt:variant>
      <vt:variant>
        <vt:lpwstr/>
      </vt:variant>
      <vt:variant>
        <vt:lpwstr>_Toc306570759</vt:lpwstr>
      </vt:variant>
      <vt:variant>
        <vt:i4>1507381</vt:i4>
      </vt:variant>
      <vt:variant>
        <vt:i4>1388</vt:i4>
      </vt:variant>
      <vt:variant>
        <vt:i4>0</vt:i4>
      </vt:variant>
      <vt:variant>
        <vt:i4>5</vt:i4>
      </vt:variant>
      <vt:variant>
        <vt:lpwstr/>
      </vt:variant>
      <vt:variant>
        <vt:lpwstr>_Toc306570758</vt:lpwstr>
      </vt:variant>
      <vt:variant>
        <vt:i4>1507381</vt:i4>
      </vt:variant>
      <vt:variant>
        <vt:i4>1382</vt:i4>
      </vt:variant>
      <vt:variant>
        <vt:i4>0</vt:i4>
      </vt:variant>
      <vt:variant>
        <vt:i4>5</vt:i4>
      </vt:variant>
      <vt:variant>
        <vt:lpwstr/>
      </vt:variant>
      <vt:variant>
        <vt:lpwstr>_Toc306570757</vt:lpwstr>
      </vt:variant>
      <vt:variant>
        <vt:i4>1507381</vt:i4>
      </vt:variant>
      <vt:variant>
        <vt:i4>1376</vt:i4>
      </vt:variant>
      <vt:variant>
        <vt:i4>0</vt:i4>
      </vt:variant>
      <vt:variant>
        <vt:i4>5</vt:i4>
      </vt:variant>
      <vt:variant>
        <vt:lpwstr/>
      </vt:variant>
      <vt:variant>
        <vt:lpwstr>_Toc306570756</vt:lpwstr>
      </vt:variant>
      <vt:variant>
        <vt:i4>1507381</vt:i4>
      </vt:variant>
      <vt:variant>
        <vt:i4>1370</vt:i4>
      </vt:variant>
      <vt:variant>
        <vt:i4>0</vt:i4>
      </vt:variant>
      <vt:variant>
        <vt:i4>5</vt:i4>
      </vt:variant>
      <vt:variant>
        <vt:lpwstr/>
      </vt:variant>
      <vt:variant>
        <vt:lpwstr>_Toc306570755</vt:lpwstr>
      </vt:variant>
      <vt:variant>
        <vt:i4>1507381</vt:i4>
      </vt:variant>
      <vt:variant>
        <vt:i4>1364</vt:i4>
      </vt:variant>
      <vt:variant>
        <vt:i4>0</vt:i4>
      </vt:variant>
      <vt:variant>
        <vt:i4>5</vt:i4>
      </vt:variant>
      <vt:variant>
        <vt:lpwstr/>
      </vt:variant>
      <vt:variant>
        <vt:lpwstr>_Toc306570754</vt:lpwstr>
      </vt:variant>
      <vt:variant>
        <vt:i4>1507381</vt:i4>
      </vt:variant>
      <vt:variant>
        <vt:i4>1358</vt:i4>
      </vt:variant>
      <vt:variant>
        <vt:i4>0</vt:i4>
      </vt:variant>
      <vt:variant>
        <vt:i4>5</vt:i4>
      </vt:variant>
      <vt:variant>
        <vt:lpwstr/>
      </vt:variant>
      <vt:variant>
        <vt:lpwstr>_Toc306570753</vt:lpwstr>
      </vt:variant>
      <vt:variant>
        <vt:i4>1507381</vt:i4>
      </vt:variant>
      <vt:variant>
        <vt:i4>1352</vt:i4>
      </vt:variant>
      <vt:variant>
        <vt:i4>0</vt:i4>
      </vt:variant>
      <vt:variant>
        <vt:i4>5</vt:i4>
      </vt:variant>
      <vt:variant>
        <vt:lpwstr/>
      </vt:variant>
      <vt:variant>
        <vt:lpwstr>_Toc306570752</vt:lpwstr>
      </vt:variant>
      <vt:variant>
        <vt:i4>1507381</vt:i4>
      </vt:variant>
      <vt:variant>
        <vt:i4>1346</vt:i4>
      </vt:variant>
      <vt:variant>
        <vt:i4>0</vt:i4>
      </vt:variant>
      <vt:variant>
        <vt:i4>5</vt:i4>
      </vt:variant>
      <vt:variant>
        <vt:lpwstr/>
      </vt:variant>
      <vt:variant>
        <vt:lpwstr>_Toc306570751</vt:lpwstr>
      </vt:variant>
      <vt:variant>
        <vt:i4>1507381</vt:i4>
      </vt:variant>
      <vt:variant>
        <vt:i4>1340</vt:i4>
      </vt:variant>
      <vt:variant>
        <vt:i4>0</vt:i4>
      </vt:variant>
      <vt:variant>
        <vt:i4>5</vt:i4>
      </vt:variant>
      <vt:variant>
        <vt:lpwstr/>
      </vt:variant>
      <vt:variant>
        <vt:lpwstr>_Toc306570750</vt:lpwstr>
      </vt:variant>
      <vt:variant>
        <vt:i4>1441845</vt:i4>
      </vt:variant>
      <vt:variant>
        <vt:i4>1334</vt:i4>
      </vt:variant>
      <vt:variant>
        <vt:i4>0</vt:i4>
      </vt:variant>
      <vt:variant>
        <vt:i4>5</vt:i4>
      </vt:variant>
      <vt:variant>
        <vt:lpwstr/>
      </vt:variant>
      <vt:variant>
        <vt:lpwstr>_Toc306570749</vt:lpwstr>
      </vt:variant>
      <vt:variant>
        <vt:i4>1441845</vt:i4>
      </vt:variant>
      <vt:variant>
        <vt:i4>1328</vt:i4>
      </vt:variant>
      <vt:variant>
        <vt:i4>0</vt:i4>
      </vt:variant>
      <vt:variant>
        <vt:i4>5</vt:i4>
      </vt:variant>
      <vt:variant>
        <vt:lpwstr/>
      </vt:variant>
      <vt:variant>
        <vt:lpwstr>_Toc306570748</vt:lpwstr>
      </vt:variant>
      <vt:variant>
        <vt:i4>1441845</vt:i4>
      </vt:variant>
      <vt:variant>
        <vt:i4>1322</vt:i4>
      </vt:variant>
      <vt:variant>
        <vt:i4>0</vt:i4>
      </vt:variant>
      <vt:variant>
        <vt:i4>5</vt:i4>
      </vt:variant>
      <vt:variant>
        <vt:lpwstr/>
      </vt:variant>
      <vt:variant>
        <vt:lpwstr>_Toc306570747</vt:lpwstr>
      </vt:variant>
      <vt:variant>
        <vt:i4>1441845</vt:i4>
      </vt:variant>
      <vt:variant>
        <vt:i4>1316</vt:i4>
      </vt:variant>
      <vt:variant>
        <vt:i4>0</vt:i4>
      </vt:variant>
      <vt:variant>
        <vt:i4>5</vt:i4>
      </vt:variant>
      <vt:variant>
        <vt:lpwstr/>
      </vt:variant>
      <vt:variant>
        <vt:lpwstr>_Toc306570746</vt:lpwstr>
      </vt:variant>
      <vt:variant>
        <vt:i4>1441845</vt:i4>
      </vt:variant>
      <vt:variant>
        <vt:i4>1310</vt:i4>
      </vt:variant>
      <vt:variant>
        <vt:i4>0</vt:i4>
      </vt:variant>
      <vt:variant>
        <vt:i4>5</vt:i4>
      </vt:variant>
      <vt:variant>
        <vt:lpwstr/>
      </vt:variant>
      <vt:variant>
        <vt:lpwstr>_Toc306570745</vt:lpwstr>
      </vt:variant>
      <vt:variant>
        <vt:i4>1441845</vt:i4>
      </vt:variant>
      <vt:variant>
        <vt:i4>1304</vt:i4>
      </vt:variant>
      <vt:variant>
        <vt:i4>0</vt:i4>
      </vt:variant>
      <vt:variant>
        <vt:i4>5</vt:i4>
      </vt:variant>
      <vt:variant>
        <vt:lpwstr/>
      </vt:variant>
      <vt:variant>
        <vt:lpwstr>_Toc306570744</vt:lpwstr>
      </vt:variant>
      <vt:variant>
        <vt:i4>1441845</vt:i4>
      </vt:variant>
      <vt:variant>
        <vt:i4>1298</vt:i4>
      </vt:variant>
      <vt:variant>
        <vt:i4>0</vt:i4>
      </vt:variant>
      <vt:variant>
        <vt:i4>5</vt:i4>
      </vt:variant>
      <vt:variant>
        <vt:lpwstr/>
      </vt:variant>
      <vt:variant>
        <vt:lpwstr>_Toc306570743</vt:lpwstr>
      </vt:variant>
      <vt:variant>
        <vt:i4>1441845</vt:i4>
      </vt:variant>
      <vt:variant>
        <vt:i4>1292</vt:i4>
      </vt:variant>
      <vt:variant>
        <vt:i4>0</vt:i4>
      </vt:variant>
      <vt:variant>
        <vt:i4>5</vt:i4>
      </vt:variant>
      <vt:variant>
        <vt:lpwstr/>
      </vt:variant>
      <vt:variant>
        <vt:lpwstr>_Toc306570742</vt:lpwstr>
      </vt:variant>
      <vt:variant>
        <vt:i4>1441845</vt:i4>
      </vt:variant>
      <vt:variant>
        <vt:i4>1286</vt:i4>
      </vt:variant>
      <vt:variant>
        <vt:i4>0</vt:i4>
      </vt:variant>
      <vt:variant>
        <vt:i4>5</vt:i4>
      </vt:variant>
      <vt:variant>
        <vt:lpwstr/>
      </vt:variant>
      <vt:variant>
        <vt:lpwstr>_Toc306570741</vt:lpwstr>
      </vt:variant>
      <vt:variant>
        <vt:i4>1441845</vt:i4>
      </vt:variant>
      <vt:variant>
        <vt:i4>1280</vt:i4>
      </vt:variant>
      <vt:variant>
        <vt:i4>0</vt:i4>
      </vt:variant>
      <vt:variant>
        <vt:i4>5</vt:i4>
      </vt:variant>
      <vt:variant>
        <vt:lpwstr/>
      </vt:variant>
      <vt:variant>
        <vt:lpwstr>_Toc306570740</vt:lpwstr>
      </vt:variant>
      <vt:variant>
        <vt:i4>1114165</vt:i4>
      </vt:variant>
      <vt:variant>
        <vt:i4>1274</vt:i4>
      </vt:variant>
      <vt:variant>
        <vt:i4>0</vt:i4>
      </vt:variant>
      <vt:variant>
        <vt:i4>5</vt:i4>
      </vt:variant>
      <vt:variant>
        <vt:lpwstr/>
      </vt:variant>
      <vt:variant>
        <vt:lpwstr>_Toc306570738</vt:lpwstr>
      </vt:variant>
      <vt:variant>
        <vt:i4>1114165</vt:i4>
      </vt:variant>
      <vt:variant>
        <vt:i4>1268</vt:i4>
      </vt:variant>
      <vt:variant>
        <vt:i4>0</vt:i4>
      </vt:variant>
      <vt:variant>
        <vt:i4>5</vt:i4>
      </vt:variant>
      <vt:variant>
        <vt:lpwstr/>
      </vt:variant>
      <vt:variant>
        <vt:lpwstr>_Toc306570737</vt:lpwstr>
      </vt:variant>
      <vt:variant>
        <vt:i4>1114165</vt:i4>
      </vt:variant>
      <vt:variant>
        <vt:i4>1262</vt:i4>
      </vt:variant>
      <vt:variant>
        <vt:i4>0</vt:i4>
      </vt:variant>
      <vt:variant>
        <vt:i4>5</vt:i4>
      </vt:variant>
      <vt:variant>
        <vt:lpwstr/>
      </vt:variant>
      <vt:variant>
        <vt:lpwstr>_Toc306570736</vt:lpwstr>
      </vt:variant>
      <vt:variant>
        <vt:i4>1114165</vt:i4>
      </vt:variant>
      <vt:variant>
        <vt:i4>1256</vt:i4>
      </vt:variant>
      <vt:variant>
        <vt:i4>0</vt:i4>
      </vt:variant>
      <vt:variant>
        <vt:i4>5</vt:i4>
      </vt:variant>
      <vt:variant>
        <vt:lpwstr/>
      </vt:variant>
      <vt:variant>
        <vt:lpwstr>_Toc306570735</vt:lpwstr>
      </vt:variant>
      <vt:variant>
        <vt:i4>1114165</vt:i4>
      </vt:variant>
      <vt:variant>
        <vt:i4>1250</vt:i4>
      </vt:variant>
      <vt:variant>
        <vt:i4>0</vt:i4>
      </vt:variant>
      <vt:variant>
        <vt:i4>5</vt:i4>
      </vt:variant>
      <vt:variant>
        <vt:lpwstr/>
      </vt:variant>
      <vt:variant>
        <vt:lpwstr>_Toc306570734</vt:lpwstr>
      </vt:variant>
      <vt:variant>
        <vt:i4>1114165</vt:i4>
      </vt:variant>
      <vt:variant>
        <vt:i4>1244</vt:i4>
      </vt:variant>
      <vt:variant>
        <vt:i4>0</vt:i4>
      </vt:variant>
      <vt:variant>
        <vt:i4>5</vt:i4>
      </vt:variant>
      <vt:variant>
        <vt:lpwstr/>
      </vt:variant>
      <vt:variant>
        <vt:lpwstr>_Toc306570733</vt:lpwstr>
      </vt:variant>
      <vt:variant>
        <vt:i4>1114165</vt:i4>
      </vt:variant>
      <vt:variant>
        <vt:i4>1238</vt:i4>
      </vt:variant>
      <vt:variant>
        <vt:i4>0</vt:i4>
      </vt:variant>
      <vt:variant>
        <vt:i4>5</vt:i4>
      </vt:variant>
      <vt:variant>
        <vt:lpwstr/>
      </vt:variant>
      <vt:variant>
        <vt:lpwstr>_Toc306570732</vt:lpwstr>
      </vt:variant>
      <vt:variant>
        <vt:i4>1114165</vt:i4>
      </vt:variant>
      <vt:variant>
        <vt:i4>1232</vt:i4>
      </vt:variant>
      <vt:variant>
        <vt:i4>0</vt:i4>
      </vt:variant>
      <vt:variant>
        <vt:i4>5</vt:i4>
      </vt:variant>
      <vt:variant>
        <vt:lpwstr/>
      </vt:variant>
      <vt:variant>
        <vt:lpwstr>_Toc306570731</vt:lpwstr>
      </vt:variant>
      <vt:variant>
        <vt:i4>1114165</vt:i4>
      </vt:variant>
      <vt:variant>
        <vt:i4>1226</vt:i4>
      </vt:variant>
      <vt:variant>
        <vt:i4>0</vt:i4>
      </vt:variant>
      <vt:variant>
        <vt:i4>5</vt:i4>
      </vt:variant>
      <vt:variant>
        <vt:lpwstr/>
      </vt:variant>
      <vt:variant>
        <vt:lpwstr>_Toc306570730</vt:lpwstr>
      </vt:variant>
      <vt:variant>
        <vt:i4>1048629</vt:i4>
      </vt:variant>
      <vt:variant>
        <vt:i4>1220</vt:i4>
      </vt:variant>
      <vt:variant>
        <vt:i4>0</vt:i4>
      </vt:variant>
      <vt:variant>
        <vt:i4>5</vt:i4>
      </vt:variant>
      <vt:variant>
        <vt:lpwstr/>
      </vt:variant>
      <vt:variant>
        <vt:lpwstr>_Toc306570729</vt:lpwstr>
      </vt:variant>
      <vt:variant>
        <vt:i4>1048629</vt:i4>
      </vt:variant>
      <vt:variant>
        <vt:i4>1214</vt:i4>
      </vt:variant>
      <vt:variant>
        <vt:i4>0</vt:i4>
      </vt:variant>
      <vt:variant>
        <vt:i4>5</vt:i4>
      </vt:variant>
      <vt:variant>
        <vt:lpwstr/>
      </vt:variant>
      <vt:variant>
        <vt:lpwstr>_Toc306570728</vt:lpwstr>
      </vt:variant>
      <vt:variant>
        <vt:i4>1048629</vt:i4>
      </vt:variant>
      <vt:variant>
        <vt:i4>1208</vt:i4>
      </vt:variant>
      <vt:variant>
        <vt:i4>0</vt:i4>
      </vt:variant>
      <vt:variant>
        <vt:i4>5</vt:i4>
      </vt:variant>
      <vt:variant>
        <vt:lpwstr/>
      </vt:variant>
      <vt:variant>
        <vt:lpwstr>_Toc306570727</vt:lpwstr>
      </vt:variant>
      <vt:variant>
        <vt:i4>1048629</vt:i4>
      </vt:variant>
      <vt:variant>
        <vt:i4>1202</vt:i4>
      </vt:variant>
      <vt:variant>
        <vt:i4>0</vt:i4>
      </vt:variant>
      <vt:variant>
        <vt:i4>5</vt:i4>
      </vt:variant>
      <vt:variant>
        <vt:lpwstr/>
      </vt:variant>
      <vt:variant>
        <vt:lpwstr>_Toc306570726</vt:lpwstr>
      </vt:variant>
      <vt:variant>
        <vt:i4>1048629</vt:i4>
      </vt:variant>
      <vt:variant>
        <vt:i4>1196</vt:i4>
      </vt:variant>
      <vt:variant>
        <vt:i4>0</vt:i4>
      </vt:variant>
      <vt:variant>
        <vt:i4>5</vt:i4>
      </vt:variant>
      <vt:variant>
        <vt:lpwstr/>
      </vt:variant>
      <vt:variant>
        <vt:lpwstr>_Toc306570725</vt:lpwstr>
      </vt:variant>
      <vt:variant>
        <vt:i4>1048629</vt:i4>
      </vt:variant>
      <vt:variant>
        <vt:i4>1190</vt:i4>
      </vt:variant>
      <vt:variant>
        <vt:i4>0</vt:i4>
      </vt:variant>
      <vt:variant>
        <vt:i4>5</vt:i4>
      </vt:variant>
      <vt:variant>
        <vt:lpwstr/>
      </vt:variant>
      <vt:variant>
        <vt:lpwstr>_Toc306570724</vt:lpwstr>
      </vt:variant>
      <vt:variant>
        <vt:i4>1048629</vt:i4>
      </vt:variant>
      <vt:variant>
        <vt:i4>1184</vt:i4>
      </vt:variant>
      <vt:variant>
        <vt:i4>0</vt:i4>
      </vt:variant>
      <vt:variant>
        <vt:i4>5</vt:i4>
      </vt:variant>
      <vt:variant>
        <vt:lpwstr/>
      </vt:variant>
      <vt:variant>
        <vt:lpwstr>_Toc306570723</vt:lpwstr>
      </vt:variant>
      <vt:variant>
        <vt:i4>1048629</vt:i4>
      </vt:variant>
      <vt:variant>
        <vt:i4>1178</vt:i4>
      </vt:variant>
      <vt:variant>
        <vt:i4>0</vt:i4>
      </vt:variant>
      <vt:variant>
        <vt:i4>5</vt:i4>
      </vt:variant>
      <vt:variant>
        <vt:lpwstr/>
      </vt:variant>
      <vt:variant>
        <vt:lpwstr>_Toc306570722</vt:lpwstr>
      </vt:variant>
      <vt:variant>
        <vt:i4>1048629</vt:i4>
      </vt:variant>
      <vt:variant>
        <vt:i4>1172</vt:i4>
      </vt:variant>
      <vt:variant>
        <vt:i4>0</vt:i4>
      </vt:variant>
      <vt:variant>
        <vt:i4>5</vt:i4>
      </vt:variant>
      <vt:variant>
        <vt:lpwstr/>
      </vt:variant>
      <vt:variant>
        <vt:lpwstr>_Toc306570721</vt:lpwstr>
      </vt:variant>
      <vt:variant>
        <vt:i4>1048629</vt:i4>
      </vt:variant>
      <vt:variant>
        <vt:i4>1166</vt:i4>
      </vt:variant>
      <vt:variant>
        <vt:i4>0</vt:i4>
      </vt:variant>
      <vt:variant>
        <vt:i4>5</vt:i4>
      </vt:variant>
      <vt:variant>
        <vt:lpwstr/>
      </vt:variant>
      <vt:variant>
        <vt:lpwstr>_Toc306570720</vt:lpwstr>
      </vt:variant>
      <vt:variant>
        <vt:i4>1245237</vt:i4>
      </vt:variant>
      <vt:variant>
        <vt:i4>1160</vt:i4>
      </vt:variant>
      <vt:variant>
        <vt:i4>0</vt:i4>
      </vt:variant>
      <vt:variant>
        <vt:i4>5</vt:i4>
      </vt:variant>
      <vt:variant>
        <vt:lpwstr/>
      </vt:variant>
      <vt:variant>
        <vt:lpwstr>_Toc306570719</vt:lpwstr>
      </vt:variant>
      <vt:variant>
        <vt:i4>1245237</vt:i4>
      </vt:variant>
      <vt:variant>
        <vt:i4>1154</vt:i4>
      </vt:variant>
      <vt:variant>
        <vt:i4>0</vt:i4>
      </vt:variant>
      <vt:variant>
        <vt:i4>5</vt:i4>
      </vt:variant>
      <vt:variant>
        <vt:lpwstr/>
      </vt:variant>
      <vt:variant>
        <vt:lpwstr>_Toc306570718</vt:lpwstr>
      </vt:variant>
      <vt:variant>
        <vt:i4>1245237</vt:i4>
      </vt:variant>
      <vt:variant>
        <vt:i4>1148</vt:i4>
      </vt:variant>
      <vt:variant>
        <vt:i4>0</vt:i4>
      </vt:variant>
      <vt:variant>
        <vt:i4>5</vt:i4>
      </vt:variant>
      <vt:variant>
        <vt:lpwstr/>
      </vt:variant>
      <vt:variant>
        <vt:lpwstr>_Toc306570717</vt:lpwstr>
      </vt:variant>
      <vt:variant>
        <vt:i4>1245237</vt:i4>
      </vt:variant>
      <vt:variant>
        <vt:i4>1142</vt:i4>
      </vt:variant>
      <vt:variant>
        <vt:i4>0</vt:i4>
      </vt:variant>
      <vt:variant>
        <vt:i4>5</vt:i4>
      </vt:variant>
      <vt:variant>
        <vt:lpwstr/>
      </vt:variant>
      <vt:variant>
        <vt:lpwstr>_Toc306570716</vt:lpwstr>
      </vt:variant>
      <vt:variant>
        <vt:i4>1245237</vt:i4>
      </vt:variant>
      <vt:variant>
        <vt:i4>1136</vt:i4>
      </vt:variant>
      <vt:variant>
        <vt:i4>0</vt:i4>
      </vt:variant>
      <vt:variant>
        <vt:i4>5</vt:i4>
      </vt:variant>
      <vt:variant>
        <vt:lpwstr/>
      </vt:variant>
      <vt:variant>
        <vt:lpwstr>_Toc306570715</vt:lpwstr>
      </vt:variant>
      <vt:variant>
        <vt:i4>1245237</vt:i4>
      </vt:variant>
      <vt:variant>
        <vt:i4>1130</vt:i4>
      </vt:variant>
      <vt:variant>
        <vt:i4>0</vt:i4>
      </vt:variant>
      <vt:variant>
        <vt:i4>5</vt:i4>
      </vt:variant>
      <vt:variant>
        <vt:lpwstr/>
      </vt:variant>
      <vt:variant>
        <vt:lpwstr>_Toc306570714</vt:lpwstr>
      </vt:variant>
      <vt:variant>
        <vt:i4>1245237</vt:i4>
      </vt:variant>
      <vt:variant>
        <vt:i4>1124</vt:i4>
      </vt:variant>
      <vt:variant>
        <vt:i4>0</vt:i4>
      </vt:variant>
      <vt:variant>
        <vt:i4>5</vt:i4>
      </vt:variant>
      <vt:variant>
        <vt:lpwstr/>
      </vt:variant>
      <vt:variant>
        <vt:lpwstr>_Toc306570713</vt:lpwstr>
      </vt:variant>
      <vt:variant>
        <vt:i4>1245237</vt:i4>
      </vt:variant>
      <vt:variant>
        <vt:i4>1118</vt:i4>
      </vt:variant>
      <vt:variant>
        <vt:i4>0</vt:i4>
      </vt:variant>
      <vt:variant>
        <vt:i4>5</vt:i4>
      </vt:variant>
      <vt:variant>
        <vt:lpwstr/>
      </vt:variant>
      <vt:variant>
        <vt:lpwstr>_Toc306570712</vt:lpwstr>
      </vt:variant>
      <vt:variant>
        <vt:i4>1245237</vt:i4>
      </vt:variant>
      <vt:variant>
        <vt:i4>1112</vt:i4>
      </vt:variant>
      <vt:variant>
        <vt:i4>0</vt:i4>
      </vt:variant>
      <vt:variant>
        <vt:i4>5</vt:i4>
      </vt:variant>
      <vt:variant>
        <vt:lpwstr/>
      </vt:variant>
      <vt:variant>
        <vt:lpwstr>_Toc306570711</vt:lpwstr>
      </vt:variant>
      <vt:variant>
        <vt:i4>1245237</vt:i4>
      </vt:variant>
      <vt:variant>
        <vt:i4>1106</vt:i4>
      </vt:variant>
      <vt:variant>
        <vt:i4>0</vt:i4>
      </vt:variant>
      <vt:variant>
        <vt:i4>5</vt:i4>
      </vt:variant>
      <vt:variant>
        <vt:lpwstr/>
      </vt:variant>
      <vt:variant>
        <vt:lpwstr>_Toc306570710</vt:lpwstr>
      </vt:variant>
      <vt:variant>
        <vt:i4>1179701</vt:i4>
      </vt:variant>
      <vt:variant>
        <vt:i4>1100</vt:i4>
      </vt:variant>
      <vt:variant>
        <vt:i4>0</vt:i4>
      </vt:variant>
      <vt:variant>
        <vt:i4>5</vt:i4>
      </vt:variant>
      <vt:variant>
        <vt:lpwstr/>
      </vt:variant>
      <vt:variant>
        <vt:lpwstr>_Toc306570709</vt:lpwstr>
      </vt:variant>
      <vt:variant>
        <vt:i4>1179701</vt:i4>
      </vt:variant>
      <vt:variant>
        <vt:i4>1094</vt:i4>
      </vt:variant>
      <vt:variant>
        <vt:i4>0</vt:i4>
      </vt:variant>
      <vt:variant>
        <vt:i4>5</vt:i4>
      </vt:variant>
      <vt:variant>
        <vt:lpwstr/>
      </vt:variant>
      <vt:variant>
        <vt:lpwstr>_Toc306570708</vt:lpwstr>
      </vt:variant>
      <vt:variant>
        <vt:i4>1179701</vt:i4>
      </vt:variant>
      <vt:variant>
        <vt:i4>1088</vt:i4>
      </vt:variant>
      <vt:variant>
        <vt:i4>0</vt:i4>
      </vt:variant>
      <vt:variant>
        <vt:i4>5</vt:i4>
      </vt:variant>
      <vt:variant>
        <vt:lpwstr/>
      </vt:variant>
      <vt:variant>
        <vt:lpwstr>_Toc306570707</vt:lpwstr>
      </vt:variant>
      <vt:variant>
        <vt:i4>1179701</vt:i4>
      </vt:variant>
      <vt:variant>
        <vt:i4>1082</vt:i4>
      </vt:variant>
      <vt:variant>
        <vt:i4>0</vt:i4>
      </vt:variant>
      <vt:variant>
        <vt:i4>5</vt:i4>
      </vt:variant>
      <vt:variant>
        <vt:lpwstr/>
      </vt:variant>
      <vt:variant>
        <vt:lpwstr>_Toc306570706</vt:lpwstr>
      </vt:variant>
      <vt:variant>
        <vt:i4>1179701</vt:i4>
      </vt:variant>
      <vt:variant>
        <vt:i4>1076</vt:i4>
      </vt:variant>
      <vt:variant>
        <vt:i4>0</vt:i4>
      </vt:variant>
      <vt:variant>
        <vt:i4>5</vt:i4>
      </vt:variant>
      <vt:variant>
        <vt:lpwstr/>
      </vt:variant>
      <vt:variant>
        <vt:lpwstr>_Toc306570705</vt:lpwstr>
      </vt:variant>
      <vt:variant>
        <vt:i4>1179701</vt:i4>
      </vt:variant>
      <vt:variant>
        <vt:i4>1070</vt:i4>
      </vt:variant>
      <vt:variant>
        <vt:i4>0</vt:i4>
      </vt:variant>
      <vt:variant>
        <vt:i4>5</vt:i4>
      </vt:variant>
      <vt:variant>
        <vt:lpwstr/>
      </vt:variant>
      <vt:variant>
        <vt:lpwstr>_Toc306570704</vt:lpwstr>
      </vt:variant>
      <vt:variant>
        <vt:i4>1179701</vt:i4>
      </vt:variant>
      <vt:variant>
        <vt:i4>1064</vt:i4>
      </vt:variant>
      <vt:variant>
        <vt:i4>0</vt:i4>
      </vt:variant>
      <vt:variant>
        <vt:i4>5</vt:i4>
      </vt:variant>
      <vt:variant>
        <vt:lpwstr/>
      </vt:variant>
      <vt:variant>
        <vt:lpwstr>_Toc306570703</vt:lpwstr>
      </vt:variant>
      <vt:variant>
        <vt:i4>1179701</vt:i4>
      </vt:variant>
      <vt:variant>
        <vt:i4>1058</vt:i4>
      </vt:variant>
      <vt:variant>
        <vt:i4>0</vt:i4>
      </vt:variant>
      <vt:variant>
        <vt:i4>5</vt:i4>
      </vt:variant>
      <vt:variant>
        <vt:lpwstr/>
      </vt:variant>
      <vt:variant>
        <vt:lpwstr>_Toc306570701</vt:lpwstr>
      </vt:variant>
      <vt:variant>
        <vt:i4>1179701</vt:i4>
      </vt:variant>
      <vt:variant>
        <vt:i4>1052</vt:i4>
      </vt:variant>
      <vt:variant>
        <vt:i4>0</vt:i4>
      </vt:variant>
      <vt:variant>
        <vt:i4>5</vt:i4>
      </vt:variant>
      <vt:variant>
        <vt:lpwstr/>
      </vt:variant>
      <vt:variant>
        <vt:lpwstr>_Toc306570700</vt:lpwstr>
      </vt:variant>
      <vt:variant>
        <vt:i4>1769524</vt:i4>
      </vt:variant>
      <vt:variant>
        <vt:i4>1046</vt:i4>
      </vt:variant>
      <vt:variant>
        <vt:i4>0</vt:i4>
      </vt:variant>
      <vt:variant>
        <vt:i4>5</vt:i4>
      </vt:variant>
      <vt:variant>
        <vt:lpwstr/>
      </vt:variant>
      <vt:variant>
        <vt:lpwstr>_Toc306570699</vt:lpwstr>
      </vt:variant>
      <vt:variant>
        <vt:i4>1769524</vt:i4>
      </vt:variant>
      <vt:variant>
        <vt:i4>1040</vt:i4>
      </vt:variant>
      <vt:variant>
        <vt:i4>0</vt:i4>
      </vt:variant>
      <vt:variant>
        <vt:i4>5</vt:i4>
      </vt:variant>
      <vt:variant>
        <vt:lpwstr/>
      </vt:variant>
      <vt:variant>
        <vt:lpwstr>_Toc306570698</vt:lpwstr>
      </vt:variant>
      <vt:variant>
        <vt:i4>1769524</vt:i4>
      </vt:variant>
      <vt:variant>
        <vt:i4>1034</vt:i4>
      </vt:variant>
      <vt:variant>
        <vt:i4>0</vt:i4>
      </vt:variant>
      <vt:variant>
        <vt:i4>5</vt:i4>
      </vt:variant>
      <vt:variant>
        <vt:lpwstr/>
      </vt:variant>
      <vt:variant>
        <vt:lpwstr>_Toc306570697</vt:lpwstr>
      </vt:variant>
      <vt:variant>
        <vt:i4>1769524</vt:i4>
      </vt:variant>
      <vt:variant>
        <vt:i4>1028</vt:i4>
      </vt:variant>
      <vt:variant>
        <vt:i4>0</vt:i4>
      </vt:variant>
      <vt:variant>
        <vt:i4>5</vt:i4>
      </vt:variant>
      <vt:variant>
        <vt:lpwstr/>
      </vt:variant>
      <vt:variant>
        <vt:lpwstr>_Toc306570696</vt:lpwstr>
      </vt:variant>
      <vt:variant>
        <vt:i4>1769524</vt:i4>
      </vt:variant>
      <vt:variant>
        <vt:i4>1022</vt:i4>
      </vt:variant>
      <vt:variant>
        <vt:i4>0</vt:i4>
      </vt:variant>
      <vt:variant>
        <vt:i4>5</vt:i4>
      </vt:variant>
      <vt:variant>
        <vt:lpwstr/>
      </vt:variant>
      <vt:variant>
        <vt:lpwstr>_Toc306570695</vt:lpwstr>
      </vt:variant>
      <vt:variant>
        <vt:i4>1769524</vt:i4>
      </vt:variant>
      <vt:variant>
        <vt:i4>1016</vt:i4>
      </vt:variant>
      <vt:variant>
        <vt:i4>0</vt:i4>
      </vt:variant>
      <vt:variant>
        <vt:i4>5</vt:i4>
      </vt:variant>
      <vt:variant>
        <vt:lpwstr/>
      </vt:variant>
      <vt:variant>
        <vt:lpwstr>_Toc306570694</vt:lpwstr>
      </vt:variant>
      <vt:variant>
        <vt:i4>1769524</vt:i4>
      </vt:variant>
      <vt:variant>
        <vt:i4>1010</vt:i4>
      </vt:variant>
      <vt:variant>
        <vt:i4>0</vt:i4>
      </vt:variant>
      <vt:variant>
        <vt:i4>5</vt:i4>
      </vt:variant>
      <vt:variant>
        <vt:lpwstr/>
      </vt:variant>
      <vt:variant>
        <vt:lpwstr>_Toc306570693</vt:lpwstr>
      </vt:variant>
      <vt:variant>
        <vt:i4>1769524</vt:i4>
      </vt:variant>
      <vt:variant>
        <vt:i4>1004</vt:i4>
      </vt:variant>
      <vt:variant>
        <vt:i4>0</vt:i4>
      </vt:variant>
      <vt:variant>
        <vt:i4>5</vt:i4>
      </vt:variant>
      <vt:variant>
        <vt:lpwstr/>
      </vt:variant>
      <vt:variant>
        <vt:lpwstr>_Toc306570692</vt:lpwstr>
      </vt:variant>
      <vt:variant>
        <vt:i4>1769524</vt:i4>
      </vt:variant>
      <vt:variant>
        <vt:i4>998</vt:i4>
      </vt:variant>
      <vt:variant>
        <vt:i4>0</vt:i4>
      </vt:variant>
      <vt:variant>
        <vt:i4>5</vt:i4>
      </vt:variant>
      <vt:variant>
        <vt:lpwstr/>
      </vt:variant>
      <vt:variant>
        <vt:lpwstr>_Toc306570691</vt:lpwstr>
      </vt:variant>
      <vt:variant>
        <vt:i4>1769524</vt:i4>
      </vt:variant>
      <vt:variant>
        <vt:i4>992</vt:i4>
      </vt:variant>
      <vt:variant>
        <vt:i4>0</vt:i4>
      </vt:variant>
      <vt:variant>
        <vt:i4>5</vt:i4>
      </vt:variant>
      <vt:variant>
        <vt:lpwstr/>
      </vt:variant>
      <vt:variant>
        <vt:lpwstr>_Toc306570690</vt:lpwstr>
      </vt:variant>
      <vt:variant>
        <vt:i4>1703988</vt:i4>
      </vt:variant>
      <vt:variant>
        <vt:i4>986</vt:i4>
      </vt:variant>
      <vt:variant>
        <vt:i4>0</vt:i4>
      </vt:variant>
      <vt:variant>
        <vt:i4>5</vt:i4>
      </vt:variant>
      <vt:variant>
        <vt:lpwstr/>
      </vt:variant>
      <vt:variant>
        <vt:lpwstr>_Toc306570689</vt:lpwstr>
      </vt:variant>
      <vt:variant>
        <vt:i4>1703988</vt:i4>
      </vt:variant>
      <vt:variant>
        <vt:i4>980</vt:i4>
      </vt:variant>
      <vt:variant>
        <vt:i4>0</vt:i4>
      </vt:variant>
      <vt:variant>
        <vt:i4>5</vt:i4>
      </vt:variant>
      <vt:variant>
        <vt:lpwstr/>
      </vt:variant>
      <vt:variant>
        <vt:lpwstr>_Toc306570688</vt:lpwstr>
      </vt:variant>
      <vt:variant>
        <vt:i4>1703988</vt:i4>
      </vt:variant>
      <vt:variant>
        <vt:i4>974</vt:i4>
      </vt:variant>
      <vt:variant>
        <vt:i4>0</vt:i4>
      </vt:variant>
      <vt:variant>
        <vt:i4>5</vt:i4>
      </vt:variant>
      <vt:variant>
        <vt:lpwstr/>
      </vt:variant>
      <vt:variant>
        <vt:lpwstr>_Toc306570687</vt:lpwstr>
      </vt:variant>
      <vt:variant>
        <vt:i4>1703988</vt:i4>
      </vt:variant>
      <vt:variant>
        <vt:i4>968</vt:i4>
      </vt:variant>
      <vt:variant>
        <vt:i4>0</vt:i4>
      </vt:variant>
      <vt:variant>
        <vt:i4>5</vt:i4>
      </vt:variant>
      <vt:variant>
        <vt:lpwstr/>
      </vt:variant>
      <vt:variant>
        <vt:lpwstr>_Toc306570686</vt:lpwstr>
      </vt:variant>
      <vt:variant>
        <vt:i4>1703988</vt:i4>
      </vt:variant>
      <vt:variant>
        <vt:i4>962</vt:i4>
      </vt:variant>
      <vt:variant>
        <vt:i4>0</vt:i4>
      </vt:variant>
      <vt:variant>
        <vt:i4>5</vt:i4>
      </vt:variant>
      <vt:variant>
        <vt:lpwstr/>
      </vt:variant>
      <vt:variant>
        <vt:lpwstr>_Toc306570685</vt:lpwstr>
      </vt:variant>
      <vt:variant>
        <vt:i4>1703988</vt:i4>
      </vt:variant>
      <vt:variant>
        <vt:i4>956</vt:i4>
      </vt:variant>
      <vt:variant>
        <vt:i4>0</vt:i4>
      </vt:variant>
      <vt:variant>
        <vt:i4>5</vt:i4>
      </vt:variant>
      <vt:variant>
        <vt:lpwstr/>
      </vt:variant>
      <vt:variant>
        <vt:lpwstr>_Toc306570684</vt:lpwstr>
      </vt:variant>
      <vt:variant>
        <vt:i4>1703988</vt:i4>
      </vt:variant>
      <vt:variant>
        <vt:i4>950</vt:i4>
      </vt:variant>
      <vt:variant>
        <vt:i4>0</vt:i4>
      </vt:variant>
      <vt:variant>
        <vt:i4>5</vt:i4>
      </vt:variant>
      <vt:variant>
        <vt:lpwstr/>
      </vt:variant>
      <vt:variant>
        <vt:lpwstr>_Toc306570683</vt:lpwstr>
      </vt:variant>
      <vt:variant>
        <vt:i4>1703988</vt:i4>
      </vt:variant>
      <vt:variant>
        <vt:i4>944</vt:i4>
      </vt:variant>
      <vt:variant>
        <vt:i4>0</vt:i4>
      </vt:variant>
      <vt:variant>
        <vt:i4>5</vt:i4>
      </vt:variant>
      <vt:variant>
        <vt:lpwstr/>
      </vt:variant>
      <vt:variant>
        <vt:lpwstr>_Toc306570682</vt:lpwstr>
      </vt:variant>
      <vt:variant>
        <vt:i4>1703988</vt:i4>
      </vt:variant>
      <vt:variant>
        <vt:i4>938</vt:i4>
      </vt:variant>
      <vt:variant>
        <vt:i4>0</vt:i4>
      </vt:variant>
      <vt:variant>
        <vt:i4>5</vt:i4>
      </vt:variant>
      <vt:variant>
        <vt:lpwstr/>
      </vt:variant>
      <vt:variant>
        <vt:lpwstr>_Toc306570681</vt:lpwstr>
      </vt:variant>
      <vt:variant>
        <vt:i4>1703988</vt:i4>
      </vt:variant>
      <vt:variant>
        <vt:i4>932</vt:i4>
      </vt:variant>
      <vt:variant>
        <vt:i4>0</vt:i4>
      </vt:variant>
      <vt:variant>
        <vt:i4>5</vt:i4>
      </vt:variant>
      <vt:variant>
        <vt:lpwstr/>
      </vt:variant>
      <vt:variant>
        <vt:lpwstr>_Toc306570680</vt:lpwstr>
      </vt:variant>
      <vt:variant>
        <vt:i4>1376308</vt:i4>
      </vt:variant>
      <vt:variant>
        <vt:i4>926</vt:i4>
      </vt:variant>
      <vt:variant>
        <vt:i4>0</vt:i4>
      </vt:variant>
      <vt:variant>
        <vt:i4>5</vt:i4>
      </vt:variant>
      <vt:variant>
        <vt:lpwstr/>
      </vt:variant>
      <vt:variant>
        <vt:lpwstr>_Toc306570679</vt:lpwstr>
      </vt:variant>
      <vt:variant>
        <vt:i4>1376308</vt:i4>
      </vt:variant>
      <vt:variant>
        <vt:i4>920</vt:i4>
      </vt:variant>
      <vt:variant>
        <vt:i4>0</vt:i4>
      </vt:variant>
      <vt:variant>
        <vt:i4>5</vt:i4>
      </vt:variant>
      <vt:variant>
        <vt:lpwstr/>
      </vt:variant>
      <vt:variant>
        <vt:lpwstr>_Toc306570678</vt:lpwstr>
      </vt:variant>
      <vt:variant>
        <vt:i4>1376308</vt:i4>
      </vt:variant>
      <vt:variant>
        <vt:i4>914</vt:i4>
      </vt:variant>
      <vt:variant>
        <vt:i4>0</vt:i4>
      </vt:variant>
      <vt:variant>
        <vt:i4>5</vt:i4>
      </vt:variant>
      <vt:variant>
        <vt:lpwstr/>
      </vt:variant>
      <vt:variant>
        <vt:lpwstr>_Toc306570676</vt:lpwstr>
      </vt:variant>
      <vt:variant>
        <vt:i4>1376308</vt:i4>
      </vt:variant>
      <vt:variant>
        <vt:i4>908</vt:i4>
      </vt:variant>
      <vt:variant>
        <vt:i4>0</vt:i4>
      </vt:variant>
      <vt:variant>
        <vt:i4>5</vt:i4>
      </vt:variant>
      <vt:variant>
        <vt:lpwstr/>
      </vt:variant>
      <vt:variant>
        <vt:lpwstr>_Toc306570675</vt:lpwstr>
      </vt:variant>
      <vt:variant>
        <vt:i4>1376308</vt:i4>
      </vt:variant>
      <vt:variant>
        <vt:i4>902</vt:i4>
      </vt:variant>
      <vt:variant>
        <vt:i4>0</vt:i4>
      </vt:variant>
      <vt:variant>
        <vt:i4>5</vt:i4>
      </vt:variant>
      <vt:variant>
        <vt:lpwstr/>
      </vt:variant>
      <vt:variant>
        <vt:lpwstr>_Toc306570674</vt:lpwstr>
      </vt:variant>
      <vt:variant>
        <vt:i4>1376308</vt:i4>
      </vt:variant>
      <vt:variant>
        <vt:i4>896</vt:i4>
      </vt:variant>
      <vt:variant>
        <vt:i4>0</vt:i4>
      </vt:variant>
      <vt:variant>
        <vt:i4>5</vt:i4>
      </vt:variant>
      <vt:variant>
        <vt:lpwstr/>
      </vt:variant>
      <vt:variant>
        <vt:lpwstr>_Toc306570673</vt:lpwstr>
      </vt:variant>
      <vt:variant>
        <vt:i4>1376308</vt:i4>
      </vt:variant>
      <vt:variant>
        <vt:i4>890</vt:i4>
      </vt:variant>
      <vt:variant>
        <vt:i4>0</vt:i4>
      </vt:variant>
      <vt:variant>
        <vt:i4>5</vt:i4>
      </vt:variant>
      <vt:variant>
        <vt:lpwstr/>
      </vt:variant>
      <vt:variant>
        <vt:lpwstr>_Toc306570672</vt:lpwstr>
      </vt:variant>
      <vt:variant>
        <vt:i4>1376308</vt:i4>
      </vt:variant>
      <vt:variant>
        <vt:i4>884</vt:i4>
      </vt:variant>
      <vt:variant>
        <vt:i4>0</vt:i4>
      </vt:variant>
      <vt:variant>
        <vt:i4>5</vt:i4>
      </vt:variant>
      <vt:variant>
        <vt:lpwstr/>
      </vt:variant>
      <vt:variant>
        <vt:lpwstr>_Toc306570671</vt:lpwstr>
      </vt:variant>
      <vt:variant>
        <vt:i4>1376308</vt:i4>
      </vt:variant>
      <vt:variant>
        <vt:i4>878</vt:i4>
      </vt:variant>
      <vt:variant>
        <vt:i4>0</vt:i4>
      </vt:variant>
      <vt:variant>
        <vt:i4>5</vt:i4>
      </vt:variant>
      <vt:variant>
        <vt:lpwstr/>
      </vt:variant>
      <vt:variant>
        <vt:lpwstr>_Toc306570670</vt:lpwstr>
      </vt:variant>
      <vt:variant>
        <vt:i4>1310772</vt:i4>
      </vt:variant>
      <vt:variant>
        <vt:i4>872</vt:i4>
      </vt:variant>
      <vt:variant>
        <vt:i4>0</vt:i4>
      </vt:variant>
      <vt:variant>
        <vt:i4>5</vt:i4>
      </vt:variant>
      <vt:variant>
        <vt:lpwstr/>
      </vt:variant>
      <vt:variant>
        <vt:lpwstr>_Toc306570669</vt:lpwstr>
      </vt:variant>
      <vt:variant>
        <vt:i4>1310772</vt:i4>
      </vt:variant>
      <vt:variant>
        <vt:i4>866</vt:i4>
      </vt:variant>
      <vt:variant>
        <vt:i4>0</vt:i4>
      </vt:variant>
      <vt:variant>
        <vt:i4>5</vt:i4>
      </vt:variant>
      <vt:variant>
        <vt:lpwstr/>
      </vt:variant>
      <vt:variant>
        <vt:lpwstr>_Toc306570666</vt:lpwstr>
      </vt:variant>
      <vt:variant>
        <vt:i4>1310772</vt:i4>
      </vt:variant>
      <vt:variant>
        <vt:i4>860</vt:i4>
      </vt:variant>
      <vt:variant>
        <vt:i4>0</vt:i4>
      </vt:variant>
      <vt:variant>
        <vt:i4>5</vt:i4>
      </vt:variant>
      <vt:variant>
        <vt:lpwstr/>
      </vt:variant>
      <vt:variant>
        <vt:lpwstr>_Toc306570665</vt:lpwstr>
      </vt:variant>
      <vt:variant>
        <vt:i4>1310772</vt:i4>
      </vt:variant>
      <vt:variant>
        <vt:i4>854</vt:i4>
      </vt:variant>
      <vt:variant>
        <vt:i4>0</vt:i4>
      </vt:variant>
      <vt:variant>
        <vt:i4>5</vt:i4>
      </vt:variant>
      <vt:variant>
        <vt:lpwstr/>
      </vt:variant>
      <vt:variant>
        <vt:lpwstr>_Toc306570664</vt:lpwstr>
      </vt:variant>
      <vt:variant>
        <vt:i4>1310772</vt:i4>
      </vt:variant>
      <vt:variant>
        <vt:i4>848</vt:i4>
      </vt:variant>
      <vt:variant>
        <vt:i4>0</vt:i4>
      </vt:variant>
      <vt:variant>
        <vt:i4>5</vt:i4>
      </vt:variant>
      <vt:variant>
        <vt:lpwstr/>
      </vt:variant>
      <vt:variant>
        <vt:lpwstr>_Toc306570663</vt:lpwstr>
      </vt:variant>
      <vt:variant>
        <vt:i4>1310772</vt:i4>
      </vt:variant>
      <vt:variant>
        <vt:i4>842</vt:i4>
      </vt:variant>
      <vt:variant>
        <vt:i4>0</vt:i4>
      </vt:variant>
      <vt:variant>
        <vt:i4>5</vt:i4>
      </vt:variant>
      <vt:variant>
        <vt:lpwstr/>
      </vt:variant>
      <vt:variant>
        <vt:lpwstr>_Toc306570662</vt:lpwstr>
      </vt:variant>
      <vt:variant>
        <vt:i4>1310772</vt:i4>
      </vt:variant>
      <vt:variant>
        <vt:i4>836</vt:i4>
      </vt:variant>
      <vt:variant>
        <vt:i4>0</vt:i4>
      </vt:variant>
      <vt:variant>
        <vt:i4>5</vt:i4>
      </vt:variant>
      <vt:variant>
        <vt:lpwstr/>
      </vt:variant>
      <vt:variant>
        <vt:lpwstr>_Toc306570661</vt:lpwstr>
      </vt:variant>
      <vt:variant>
        <vt:i4>1310772</vt:i4>
      </vt:variant>
      <vt:variant>
        <vt:i4>830</vt:i4>
      </vt:variant>
      <vt:variant>
        <vt:i4>0</vt:i4>
      </vt:variant>
      <vt:variant>
        <vt:i4>5</vt:i4>
      </vt:variant>
      <vt:variant>
        <vt:lpwstr/>
      </vt:variant>
      <vt:variant>
        <vt:lpwstr>_Toc306570660</vt:lpwstr>
      </vt:variant>
      <vt:variant>
        <vt:i4>1507380</vt:i4>
      </vt:variant>
      <vt:variant>
        <vt:i4>824</vt:i4>
      </vt:variant>
      <vt:variant>
        <vt:i4>0</vt:i4>
      </vt:variant>
      <vt:variant>
        <vt:i4>5</vt:i4>
      </vt:variant>
      <vt:variant>
        <vt:lpwstr/>
      </vt:variant>
      <vt:variant>
        <vt:lpwstr>_Toc306570659</vt:lpwstr>
      </vt:variant>
      <vt:variant>
        <vt:i4>1507380</vt:i4>
      </vt:variant>
      <vt:variant>
        <vt:i4>818</vt:i4>
      </vt:variant>
      <vt:variant>
        <vt:i4>0</vt:i4>
      </vt:variant>
      <vt:variant>
        <vt:i4>5</vt:i4>
      </vt:variant>
      <vt:variant>
        <vt:lpwstr/>
      </vt:variant>
      <vt:variant>
        <vt:lpwstr>_Toc306570658</vt:lpwstr>
      </vt:variant>
      <vt:variant>
        <vt:i4>1507380</vt:i4>
      </vt:variant>
      <vt:variant>
        <vt:i4>812</vt:i4>
      </vt:variant>
      <vt:variant>
        <vt:i4>0</vt:i4>
      </vt:variant>
      <vt:variant>
        <vt:i4>5</vt:i4>
      </vt:variant>
      <vt:variant>
        <vt:lpwstr/>
      </vt:variant>
      <vt:variant>
        <vt:lpwstr>_Toc306570657</vt:lpwstr>
      </vt:variant>
      <vt:variant>
        <vt:i4>1507380</vt:i4>
      </vt:variant>
      <vt:variant>
        <vt:i4>806</vt:i4>
      </vt:variant>
      <vt:variant>
        <vt:i4>0</vt:i4>
      </vt:variant>
      <vt:variant>
        <vt:i4>5</vt:i4>
      </vt:variant>
      <vt:variant>
        <vt:lpwstr/>
      </vt:variant>
      <vt:variant>
        <vt:lpwstr>_Toc306570656</vt:lpwstr>
      </vt:variant>
      <vt:variant>
        <vt:i4>1507380</vt:i4>
      </vt:variant>
      <vt:variant>
        <vt:i4>800</vt:i4>
      </vt:variant>
      <vt:variant>
        <vt:i4>0</vt:i4>
      </vt:variant>
      <vt:variant>
        <vt:i4>5</vt:i4>
      </vt:variant>
      <vt:variant>
        <vt:lpwstr/>
      </vt:variant>
      <vt:variant>
        <vt:lpwstr>_Toc306570655</vt:lpwstr>
      </vt:variant>
      <vt:variant>
        <vt:i4>1507380</vt:i4>
      </vt:variant>
      <vt:variant>
        <vt:i4>794</vt:i4>
      </vt:variant>
      <vt:variant>
        <vt:i4>0</vt:i4>
      </vt:variant>
      <vt:variant>
        <vt:i4>5</vt:i4>
      </vt:variant>
      <vt:variant>
        <vt:lpwstr/>
      </vt:variant>
      <vt:variant>
        <vt:lpwstr>_Toc306570654</vt:lpwstr>
      </vt:variant>
      <vt:variant>
        <vt:i4>1507380</vt:i4>
      </vt:variant>
      <vt:variant>
        <vt:i4>788</vt:i4>
      </vt:variant>
      <vt:variant>
        <vt:i4>0</vt:i4>
      </vt:variant>
      <vt:variant>
        <vt:i4>5</vt:i4>
      </vt:variant>
      <vt:variant>
        <vt:lpwstr/>
      </vt:variant>
      <vt:variant>
        <vt:lpwstr>_Toc306570653</vt:lpwstr>
      </vt:variant>
      <vt:variant>
        <vt:i4>1507380</vt:i4>
      </vt:variant>
      <vt:variant>
        <vt:i4>782</vt:i4>
      </vt:variant>
      <vt:variant>
        <vt:i4>0</vt:i4>
      </vt:variant>
      <vt:variant>
        <vt:i4>5</vt:i4>
      </vt:variant>
      <vt:variant>
        <vt:lpwstr/>
      </vt:variant>
      <vt:variant>
        <vt:lpwstr>_Toc306570652</vt:lpwstr>
      </vt:variant>
      <vt:variant>
        <vt:i4>1507380</vt:i4>
      </vt:variant>
      <vt:variant>
        <vt:i4>776</vt:i4>
      </vt:variant>
      <vt:variant>
        <vt:i4>0</vt:i4>
      </vt:variant>
      <vt:variant>
        <vt:i4>5</vt:i4>
      </vt:variant>
      <vt:variant>
        <vt:lpwstr/>
      </vt:variant>
      <vt:variant>
        <vt:lpwstr>_Toc306570651</vt:lpwstr>
      </vt:variant>
      <vt:variant>
        <vt:i4>1507380</vt:i4>
      </vt:variant>
      <vt:variant>
        <vt:i4>770</vt:i4>
      </vt:variant>
      <vt:variant>
        <vt:i4>0</vt:i4>
      </vt:variant>
      <vt:variant>
        <vt:i4>5</vt:i4>
      </vt:variant>
      <vt:variant>
        <vt:lpwstr/>
      </vt:variant>
      <vt:variant>
        <vt:lpwstr>_Toc306570650</vt:lpwstr>
      </vt:variant>
      <vt:variant>
        <vt:i4>1441844</vt:i4>
      </vt:variant>
      <vt:variant>
        <vt:i4>764</vt:i4>
      </vt:variant>
      <vt:variant>
        <vt:i4>0</vt:i4>
      </vt:variant>
      <vt:variant>
        <vt:i4>5</vt:i4>
      </vt:variant>
      <vt:variant>
        <vt:lpwstr/>
      </vt:variant>
      <vt:variant>
        <vt:lpwstr>_Toc306570649</vt:lpwstr>
      </vt:variant>
      <vt:variant>
        <vt:i4>1441844</vt:i4>
      </vt:variant>
      <vt:variant>
        <vt:i4>758</vt:i4>
      </vt:variant>
      <vt:variant>
        <vt:i4>0</vt:i4>
      </vt:variant>
      <vt:variant>
        <vt:i4>5</vt:i4>
      </vt:variant>
      <vt:variant>
        <vt:lpwstr/>
      </vt:variant>
      <vt:variant>
        <vt:lpwstr>_Toc306570648</vt:lpwstr>
      </vt:variant>
      <vt:variant>
        <vt:i4>1441844</vt:i4>
      </vt:variant>
      <vt:variant>
        <vt:i4>752</vt:i4>
      </vt:variant>
      <vt:variant>
        <vt:i4>0</vt:i4>
      </vt:variant>
      <vt:variant>
        <vt:i4>5</vt:i4>
      </vt:variant>
      <vt:variant>
        <vt:lpwstr/>
      </vt:variant>
      <vt:variant>
        <vt:lpwstr>_Toc306570647</vt:lpwstr>
      </vt:variant>
      <vt:variant>
        <vt:i4>1441844</vt:i4>
      </vt:variant>
      <vt:variant>
        <vt:i4>746</vt:i4>
      </vt:variant>
      <vt:variant>
        <vt:i4>0</vt:i4>
      </vt:variant>
      <vt:variant>
        <vt:i4>5</vt:i4>
      </vt:variant>
      <vt:variant>
        <vt:lpwstr/>
      </vt:variant>
      <vt:variant>
        <vt:lpwstr>_Toc306570646</vt:lpwstr>
      </vt:variant>
      <vt:variant>
        <vt:i4>1441844</vt:i4>
      </vt:variant>
      <vt:variant>
        <vt:i4>740</vt:i4>
      </vt:variant>
      <vt:variant>
        <vt:i4>0</vt:i4>
      </vt:variant>
      <vt:variant>
        <vt:i4>5</vt:i4>
      </vt:variant>
      <vt:variant>
        <vt:lpwstr/>
      </vt:variant>
      <vt:variant>
        <vt:lpwstr>_Toc306570645</vt:lpwstr>
      </vt:variant>
      <vt:variant>
        <vt:i4>1441844</vt:i4>
      </vt:variant>
      <vt:variant>
        <vt:i4>734</vt:i4>
      </vt:variant>
      <vt:variant>
        <vt:i4>0</vt:i4>
      </vt:variant>
      <vt:variant>
        <vt:i4>5</vt:i4>
      </vt:variant>
      <vt:variant>
        <vt:lpwstr/>
      </vt:variant>
      <vt:variant>
        <vt:lpwstr>_Toc306570644</vt:lpwstr>
      </vt:variant>
      <vt:variant>
        <vt:i4>1441844</vt:i4>
      </vt:variant>
      <vt:variant>
        <vt:i4>728</vt:i4>
      </vt:variant>
      <vt:variant>
        <vt:i4>0</vt:i4>
      </vt:variant>
      <vt:variant>
        <vt:i4>5</vt:i4>
      </vt:variant>
      <vt:variant>
        <vt:lpwstr/>
      </vt:variant>
      <vt:variant>
        <vt:lpwstr>_Toc306570643</vt:lpwstr>
      </vt:variant>
      <vt:variant>
        <vt:i4>1441844</vt:i4>
      </vt:variant>
      <vt:variant>
        <vt:i4>722</vt:i4>
      </vt:variant>
      <vt:variant>
        <vt:i4>0</vt:i4>
      </vt:variant>
      <vt:variant>
        <vt:i4>5</vt:i4>
      </vt:variant>
      <vt:variant>
        <vt:lpwstr/>
      </vt:variant>
      <vt:variant>
        <vt:lpwstr>_Toc306570642</vt:lpwstr>
      </vt:variant>
      <vt:variant>
        <vt:i4>1441844</vt:i4>
      </vt:variant>
      <vt:variant>
        <vt:i4>716</vt:i4>
      </vt:variant>
      <vt:variant>
        <vt:i4>0</vt:i4>
      </vt:variant>
      <vt:variant>
        <vt:i4>5</vt:i4>
      </vt:variant>
      <vt:variant>
        <vt:lpwstr/>
      </vt:variant>
      <vt:variant>
        <vt:lpwstr>_Toc306570641</vt:lpwstr>
      </vt:variant>
      <vt:variant>
        <vt:i4>1441844</vt:i4>
      </vt:variant>
      <vt:variant>
        <vt:i4>710</vt:i4>
      </vt:variant>
      <vt:variant>
        <vt:i4>0</vt:i4>
      </vt:variant>
      <vt:variant>
        <vt:i4>5</vt:i4>
      </vt:variant>
      <vt:variant>
        <vt:lpwstr/>
      </vt:variant>
      <vt:variant>
        <vt:lpwstr>_Toc306570640</vt:lpwstr>
      </vt:variant>
      <vt:variant>
        <vt:i4>1114164</vt:i4>
      </vt:variant>
      <vt:variant>
        <vt:i4>704</vt:i4>
      </vt:variant>
      <vt:variant>
        <vt:i4>0</vt:i4>
      </vt:variant>
      <vt:variant>
        <vt:i4>5</vt:i4>
      </vt:variant>
      <vt:variant>
        <vt:lpwstr/>
      </vt:variant>
      <vt:variant>
        <vt:lpwstr>_Toc306570639</vt:lpwstr>
      </vt:variant>
      <vt:variant>
        <vt:i4>1114164</vt:i4>
      </vt:variant>
      <vt:variant>
        <vt:i4>698</vt:i4>
      </vt:variant>
      <vt:variant>
        <vt:i4>0</vt:i4>
      </vt:variant>
      <vt:variant>
        <vt:i4>5</vt:i4>
      </vt:variant>
      <vt:variant>
        <vt:lpwstr/>
      </vt:variant>
      <vt:variant>
        <vt:lpwstr>_Toc306570638</vt:lpwstr>
      </vt:variant>
      <vt:variant>
        <vt:i4>1114164</vt:i4>
      </vt:variant>
      <vt:variant>
        <vt:i4>692</vt:i4>
      </vt:variant>
      <vt:variant>
        <vt:i4>0</vt:i4>
      </vt:variant>
      <vt:variant>
        <vt:i4>5</vt:i4>
      </vt:variant>
      <vt:variant>
        <vt:lpwstr/>
      </vt:variant>
      <vt:variant>
        <vt:lpwstr>_Toc306570637</vt:lpwstr>
      </vt:variant>
      <vt:variant>
        <vt:i4>1114164</vt:i4>
      </vt:variant>
      <vt:variant>
        <vt:i4>686</vt:i4>
      </vt:variant>
      <vt:variant>
        <vt:i4>0</vt:i4>
      </vt:variant>
      <vt:variant>
        <vt:i4>5</vt:i4>
      </vt:variant>
      <vt:variant>
        <vt:lpwstr/>
      </vt:variant>
      <vt:variant>
        <vt:lpwstr>_Toc306570636</vt:lpwstr>
      </vt:variant>
      <vt:variant>
        <vt:i4>1114164</vt:i4>
      </vt:variant>
      <vt:variant>
        <vt:i4>680</vt:i4>
      </vt:variant>
      <vt:variant>
        <vt:i4>0</vt:i4>
      </vt:variant>
      <vt:variant>
        <vt:i4>5</vt:i4>
      </vt:variant>
      <vt:variant>
        <vt:lpwstr/>
      </vt:variant>
      <vt:variant>
        <vt:lpwstr>_Toc306570635</vt:lpwstr>
      </vt:variant>
      <vt:variant>
        <vt:i4>1114164</vt:i4>
      </vt:variant>
      <vt:variant>
        <vt:i4>674</vt:i4>
      </vt:variant>
      <vt:variant>
        <vt:i4>0</vt:i4>
      </vt:variant>
      <vt:variant>
        <vt:i4>5</vt:i4>
      </vt:variant>
      <vt:variant>
        <vt:lpwstr/>
      </vt:variant>
      <vt:variant>
        <vt:lpwstr>_Toc306570634</vt:lpwstr>
      </vt:variant>
      <vt:variant>
        <vt:i4>1114164</vt:i4>
      </vt:variant>
      <vt:variant>
        <vt:i4>668</vt:i4>
      </vt:variant>
      <vt:variant>
        <vt:i4>0</vt:i4>
      </vt:variant>
      <vt:variant>
        <vt:i4>5</vt:i4>
      </vt:variant>
      <vt:variant>
        <vt:lpwstr/>
      </vt:variant>
      <vt:variant>
        <vt:lpwstr>_Toc306570633</vt:lpwstr>
      </vt:variant>
      <vt:variant>
        <vt:i4>1114164</vt:i4>
      </vt:variant>
      <vt:variant>
        <vt:i4>662</vt:i4>
      </vt:variant>
      <vt:variant>
        <vt:i4>0</vt:i4>
      </vt:variant>
      <vt:variant>
        <vt:i4>5</vt:i4>
      </vt:variant>
      <vt:variant>
        <vt:lpwstr/>
      </vt:variant>
      <vt:variant>
        <vt:lpwstr>_Toc306570632</vt:lpwstr>
      </vt:variant>
      <vt:variant>
        <vt:i4>1114164</vt:i4>
      </vt:variant>
      <vt:variant>
        <vt:i4>656</vt:i4>
      </vt:variant>
      <vt:variant>
        <vt:i4>0</vt:i4>
      </vt:variant>
      <vt:variant>
        <vt:i4>5</vt:i4>
      </vt:variant>
      <vt:variant>
        <vt:lpwstr/>
      </vt:variant>
      <vt:variant>
        <vt:lpwstr>_Toc306570631</vt:lpwstr>
      </vt:variant>
      <vt:variant>
        <vt:i4>1114164</vt:i4>
      </vt:variant>
      <vt:variant>
        <vt:i4>650</vt:i4>
      </vt:variant>
      <vt:variant>
        <vt:i4>0</vt:i4>
      </vt:variant>
      <vt:variant>
        <vt:i4>5</vt:i4>
      </vt:variant>
      <vt:variant>
        <vt:lpwstr/>
      </vt:variant>
      <vt:variant>
        <vt:lpwstr>_Toc306570630</vt:lpwstr>
      </vt:variant>
      <vt:variant>
        <vt:i4>1048628</vt:i4>
      </vt:variant>
      <vt:variant>
        <vt:i4>644</vt:i4>
      </vt:variant>
      <vt:variant>
        <vt:i4>0</vt:i4>
      </vt:variant>
      <vt:variant>
        <vt:i4>5</vt:i4>
      </vt:variant>
      <vt:variant>
        <vt:lpwstr/>
      </vt:variant>
      <vt:variant>
        <vt:lpwstr>_Toc306570629</vt:lpwstr>
      </vt:variant>
      <vt:variant>
        <vt:i4>1048628</vt:i4>
      </vt:variant>
      <vt:variant>
        <vt:i4>638</vt:i4>
      </vt:variant>
      <vt:variant>
        <vt:i4>0</vt:i4>
      </vt:variant>
      <vt:variant>
        <vt:i4>5</vt:i4>
      </vt:variant>
      <vt:variant>
        <vt:lpwstr/>
      </vt:variant>
      <vt:variant>
        <vt:lpwstr>_Toc306570628</vt:lpwstr>
      </vt:variant>
      <vt:variant>
        <vt:i4>1048628</vt:i4>
      </vt:variant>
      <vt:variant>
        <vt:i4>632</vt:i4>
      </vt:variant>
      <vt:variant>
        <vt:i4>0</vt:i4>
      </vt:variant>
      <vt:variant>
        <vt:i4>5</vt:i4>
      </vt:variant>
      <vt:variant>
        <vt:lpwstr/>
      </vt:variant>
      <vt:variant>
        <vt:lpwstr>_Toc306570627</vt:lpwstr>
      </vt:variant>
      <vt:variant>
        <vt:i4>1048628</vt:i4>
      </vt:variant>
      <vt:variant>
        <vt:i4>626</vt:i4>
      </vt:variant>
      <vt:variant>
        <vt:i4>0</vt:i4>
      </vt:variant>
      <vt:variant>
        <vt:i4>5</vt:i4>
      </vt:variant>
      <vt:variant>
        <vt:lpwstr/>
      </vt:variant>
      <vt:variant>
        <vt:lpwstr>_Toc306570626</vt:lpwstr>
      </vt:variant>
      <vt:variant>
        <vt:i4>1048628</vt:i4>
      </vt:variant>
      <vt:variant>
        <vt:i4>620</vt:i4>
      </vt:variant>
      <vt:variant>
        <vt:i4>0</vt:i4>
      </vt:variant>
      <vt:variant>
        <vt:i4>5</vt:i4>
      </vt:variant>
      <vt:variant>
        <vt:lpwstr/>
      </vt:variant>
      <vt:variant>
        <vt:lpwstr>_Toc306570625</vt:lpwstr>
      </vt:variant>
      <vt:variant>
        <vt:i4>1048628</vt:i4>
      </vt:variant>
      <vt:variant>
        <vt:i4>614</vt:i4>
      </vt:variant>
      <vt:variant>
        <vt:i4>0</vt:i4>
      </vt:variant>
      <vt:variant>
        <vt:i4>5</vt:i4>
      </vt:variant>
      <vt:variant>
        <vt:lpwstr/>
      </vt:variant>
      <vt:variant>
        <vt:lpwstr>_Toc306570624</vt:lpwstr>
      </vt:variant>
      <vt:variant>
        <vt:i4>1048628</vt:i4>
      </vt:variant>
      <vt:variant>
        <vt:i4>608</vt:i4>
      </vt:variant>
      <vt:variant>
        <vt:i4>0</vt:i4>
      </vt:variant>
      <vt:variant>
        <vt:i4>5</vt:i4>
      </vt:variant>
      <vt:variant>
        <vt:lpwstr/>
      </vt:variant>
      <vt:variant>
        <vt:lpwstr>_Toc306570623</vt:lpwstr>
      </vt:variant>
      <vt:variant>
        <vt:i4>1048628</vt:i4>
      </vt:variant>
      <vt:variant>
        <vt:i4>602</vt:i4>
      </vt:variant>
      <vt:variant>
        <vt:i4>0</vt:i4>
      </vt:variant>
      <vt:variant>
        <vt:i4>5</vt:i4>
      </vt:variant>
      <vt:variant>
        <vt:lpwstr/>
      </vt:variant>
      <vt:variant>
        <vt:lpwstr>_Toc306570622</vt:lpwstr>
      </vt:variant>
      <vt:variant>
        <vt:i4>1048628</vt:i4>
      </vt:variant>
      <vt:variant>
        <vt:i4>596</vt:i4>
      </vt:variant>
      <vt:variant>
        <vt:i4>0</vt:i4>
      </vt:variant>
      <vt:variant>
        <vt:i4>5</vt:i4>
      </vt:variant>
      <vt:variant>
        <vt:lpwstr/>
      </vt:variant>
      <vt:variant>
        <vt:lpwstr>_Toc306570621</vt:lpwstr>
      </vt:variant>
      <vt:variant>
        <vt:i4>1048628</vt:i4>
      </vt:variant>
      <vt:variant>
        <vt:i4>590</vt:i4>
      </vt:variant>
      <vt:variant>
        <vt:i4>0</vt:i4>
      </vt:variant>
      <vt:variant>
        <vt:i4>5</vt:i4>
      </vt:variant>
      <vt:variant>
        <vt:lpwstr/>
      </vt:variant>
      <vt:variant>
        <vt:lpwstr>_Toc306570620</vt:lpwstr>
      </vt:variant>
      <vt:variant>
        <vt:i4>1245236</vt:i4>
      </vt:variant>
      <vt:variant>
        <vt:i4>584</vt:i4>
      </vt:variant>
      <vt:variant>
        <vt:i4>0</vt:i4>
      </vt:variant>
      <vt:variant>
        <vt:i4>5</vt:i4>
      </vt:variant>
      <vt:variant>
        <vt:lpwstr/>
      </vt:variant>
      <vt:variant>
        <vt:lpwstr>_Toc306570619</vt:lpwstr>
      </vt:variant>
      <vt:variant>
        <vt:i4>1245236</vt:i4>
      </vt:variant>
      <vt:variant>
        <vt:i4>578</vt:i4>
      </vt:variant>
      <vt:variant>
        <vt:i4>0</vt:i4>
      </vt:variant>
      <vt:variant>
        <vt:i4>5</vt:i4>
      </vt:variant>
      <vt:variant>
        <vt:lpwstr/>
      </vt:variant>
      <vt:variant>
        <vt:lpwstr>_Toc306570618</vt:lpwstr>
      </vt:variant>
      <vt:variant>
        <vt:i4>1245236</vt:i4>
      </vt:variant>
      <vt:variant>
        <vt:i4>572</vt:i4>
      </vt:variant>
      <vt:variant>
        <vt:i4>0</vt:i4>
      </vt:variant>
      <vt:variant>
        <vt:i4>5</vt:i4>
      </vt:variant>
      <vt:variant>
        <vt:lpwstr/>
      </vt:variant>
      <vt:variant>
        <vt:lpwstr>_Toc306570617</vt:lpwstr>
      </vt:variant>
      <vt:variant>
        <vt:i4>1245236</vt:i4>
      </vt:variant>
      <vt:variant>
        <vt:i4>566</vt:i4>
      </vt:variant>
      <vt:variant>
        <vt:i4>0</vt:i4>
      </vt:variant>
      <vt:variant>
        <vt:i4>5</vt:i4>
      </vt:variant>
      <vt:variant>
        <vt:lpwstr/>
      </vt:variant>
      <vt:variant>
        <vt:lpwstr>_Toc306570616</vt:lpwstr>
      </vt:variant>
      <vt:variant>
        <vt:i4>1245236</vt:i4>
      </vt:variant>
      <vt:variant>
        <vt:i4>560</vt:i4>
      </vt:variant>
      <vt:variant>
        <vt:i4>0</vt:i4>
      </vt:variant>
      <vt:variant>
        <vt:i4>5</vt:i4>
      </vt:variant>
      <vt:variant>
        <vt:lpwstr/>
      </vt:variant>
      <vt:variant>
        <vt:lpwstr>_Toc306570615</vt:lpwstr>
      </vt:variant>
      <vt:variant>
        <vt:i4>1245236</vt:i4>
      </vt:variant>
      <vt:variant>
        <vt:i4>554</vt:i4>
      </vt:variant>
      <vt:variant>
        <vt:i4>0</vt:i4>
      </vt:variant>
      <vt:variant>
        <vt:i4>5</vt:i4>
      </vt:variant>
      <vt:variant>
        <vt:lpwstr/>
      </vt:variant>
      <vt:variant>
        <vt:lpwstr>_Toc306570614</vt:lpwstr>
      </vt:variant>
      <vt:variant>
        <vt:i4>1245236</vt:i4>
      </vt:variant>
      <vt:variant>
        <vt:i4>548</vt:i4>
      </vt:variant>
      <vt:variant>
        <vt:i4>0</vt:i4>
      </vt:variant>
      <vt:variant>
        <vt:i4>5</vt:i4>
      </vt:variant>
      <vt:variant>
        <vt:lpwstr/>
      </vt:variant>
      <vt:variant>
        <vt:lpwstr>_Toc306570613</vt:lpwstr>
      </vt:variant>
      <vt:variant>
        <vt:i4>1245236</vt:i4>
      </vt:variant>
      <vt:variant>
        <vt:i4>542</vt:i4>
      </vt:variant>
      <vt:variant>
        <vt:i4>0</vt:i4>
      </vt:variant>
      <vt:variant>
        <vt:i4>5</vt:i4>
      </vt:variant>
      <vt:variant>
        <vt:lpwstr/>
      </vt:variant>
      <vt:variant>
        <vt:lpwstr>_Toc306570612</vt:lpwstr>
      </vt:variant>
      <vt:variant>
        <vt:i4>1245236</vt:i4>
      </vt:variant>
      <vt:variant>
        <vt:i4>536</vt:i4>
      </vt:variant>
      <vt:variant>
        <vt:i4>0</vt:i4>
      </vt:variant>
      <vt:variant>
        <vt:i4>5</vt:i4>
      </vt:variant>
      <vt:variant>
        <vt:lpwstr/>
      </vt:variant>
      <vt:variant>
        <vt:lpwstr>_Toc306570611</vt:lpwstr>
      </vt:variant>
      <vt:variant>
        <vt:i4>1245236</vt:i4>
      </vt:variant>
      <vt:variant>
        <vt:i4>530</vt:i4>
      </vt:variant>
      <vt:variant>
        <vt:i4>0</vt:i4>
      </vt:variant>
      <vt:variant>
        <vt:i4>5</vt:i4>
      </vt:variant>
      <vt:variant>
        <vt:lpwstr/>
      </vt:variant>
      <vt:variant>
        <vt:lpwstr>_Toc306570610</vt:lpwstr>
      </vt:variant>
      <vt:variant>
        <vt:i4>1179700</vt:i4>
      </vt:variant>
      <vt:variant>
        <vt:i4>524</vt:i4>
      </vt:variant>
      <vt:variant>
        <vt:i4>0</vt:i4>
      </vt:variant>
      <vt:variant>
        <vt:i4>5</vt:i4>
      </vt:variant>
      <vt:variant>
        <vt:lpwstr/>
      </vt:variant>
      <vt:variant>
        <vt:lpwstr>_Toc306570609</vt:lpwstr>
      </vt:variant>
      <vt:variant>
        <vt:i4>1179700</vt:i4>
      </vt:variant>
      <vt:variant>
        <vt:i4>518</vt:i4>
      </vt:variant>
      <vt:variant>
        <vt:i4>0</vt:i4>
      </vt:variant>
      <vt:variant>
        <vt:i4>5</vt:i4>
      </vt:variant>
      <vt:variant>
        <vt:lpwstr/>
      </vt:variant>
      <vt:variant>
        <vt:lpwstr>_Toc306570608</vt:lpwstr>
      </vt:variant>
      <vt:variant>
        <vt:i4>1179700</vt:i4>
      </vt:variant>
      <vt:variant>
        <vt:i4>512</vt:i4>
      </vt:variant>
      <vt:variant>
        <vt:i4>0</vt:i4>
      </vt:variant>
      <vt:variant>
        <vt:i4>5</vt:i4>
      </vt:variant>
      <vt:variant>
        <vt:lpwstr/>
      </vt:variant>
      <vt:variant>
        <vt:lpwstr>_Toc306570607</vt:lpwstr>
      </vt:variant>
      <vt:variant>
        <vt:i4>1179700</vt:i4>
      </vt:variant>
      <vt:variant>
        <vt:i4>506</vt:i4>
      </vt:variant>
      <vt:variant>
        <vt:i4>0</vt:i4>
      </vt:variant>
      <vt:variant>
        <vt:i4>5</vt:i4>
      </vt:variant>
      <vt:variant>
        <vt:lpwstr/>
      </vt:variant>
      <vt:variant>
        <vt:lpwstr>_Toc306570606</vt:lpwstr>
      </vt:variant>
      <vt:variant>
        <vt:i4>1179700</vt:i4>
      </vt:variant>
      <vt:variant>
        <vt:i4>500</vt:i4>
      </vt:variant>
      <vt:variant>
        <vt:i4>0</vt:i4>
      </vt:variant>
      <vt:variant>
        <vt:i4>5</vt:i4>
      </vt:variant>
      <vt:variant>
        <vt:lpwstr/>
      </vt:variant>
      <vt:variant>
        <vt:lpwstr>_Toc306570605</vt:lpwstr>
      </vt:variant>
      <vt:variant>
        <vt:i4>1179700</vt:i4>
      </vt:variant>
      <vt:variant>
        <vt:i4>494</vt:i4>
      </vt:variant>
      <vt:variant>
        <vt:i4>0</vt:i4>
      </vt:variant>
      <vt:variant>
        <vt:i4>5</vt:i4>
      </vt:variant>
      <vt:variant>
        <vt:lpwstr/>
      </vt:variant>
      <vt:variant>
        <vt:lpwstr>_Toc306570604</vt:lpwstr>
      </vt:variant>
      <vt:variant>
        <vt:i4>1179700</vt:i4>
      </vt:variant>
      <vt:variant>
        <vt:i4>488</vt:i4>
      </vt:variant>
      <vt:variant>
        <vt:i4>0</vt:i4>
      </vt:variant>
      <vt:variant>
        <vt:i4>5</vt:i4>
      </vt:variant>
      <vt:variant>
        <vt:lpwstr/>
      </vt:variant>
      <vt:variant>
        <vt:lpwstr>_Toc306570603</vt:lpwstr>
      </vt:variant>
      <vt:variant>
        <vt:i4>1179700</vt:i4>
      </vt:variant>
      <vt:variant>
        <vt:i4>482</vt:i4>
      </vt:variant>
      <vt:variant>
        <vt:i4>0</vt:i4>
      </vt:variant>
      <vt:variant>
        <vt:i4>5</vt:i4>
      </vt:variant>
      <vt:variant>
        <vt:lpwstr/>
      </vt:variant>
      <vt:variant>
        <vt:lpwstr>_Toc306570602</vt:lpwstr>
      </vt:variant>
      <vt:variant>
        <vt:i4>1179700</vt:i4>
      </vt:variant>
      <vt:variant>
        <vt:i4>476</vt:i4>
      </vt:variant>
      <vt:variant>
        <vt:i4>0</vt:i4>
      </vt:variant>
      <vt:variant>
        <vt:i4>5</vt:i4>
      </vt:variant>
      <vt:variant>
        <vt:lpwstr/>
      </vt:variant>
      <vt:variant>
        <vt:lpwstr>_Toc306570601</vt:lpwstr>
      </vt:variant>
      <vt:variant>
        <vt:i4>1179700</vt:i4>
      </vt:variant>
      <vt:variant>
        <vt:i4>470</vt:i4>
      </vt:variant>
      <vt:variant>
        <vt:i4>0</vt:i4>
      </vt:variant>
      <vt:variant>
        <vt:i4>5</vt:i4>
      </vt:variant>
      <vt:variant>
        <vt:lpwstr/>
      </vt:variant>
      <vt:variant>
        <vt:lpwstr>_Toc306570600</vt:lpwstr>
      </vt:variant>
      <vt:variant>
        <vt:i4>1769527</vt:i4>
      </vt:variant>
      <vt:variant>
        <vt:i4>464</vt:i4>
      </vt:variant>
      <vt:variant>
        <vt:i4>0</vt:i4>
      </vt:variant>
      <vt:variant>
        <vt:i4>5</vt:i4>
      </vt:variant>
      <vt:variant>
        <vt:lpwstr/>
      </vt:variant>
      <vt:variant>
        <vt:lpwstr>_Toc306570599</vt:lpwstr>
      </vt:variant>
      <vt:variant>
        <vt:i4>1769527</vt:i4>
      </vt:variant>
      <vt:variant>
        <vt:i4>458</vt:i4>
      </vt:variant>
      <vt:variant>
        <vt:i4>0</vt:i4>
      </vt:variant>
      <vt:variant>
        <vt:i4>5</vt:i4>
      </vt:variant>
      <vt:variant>
        <vt:lpwstr/>
      </vt:variant>
      <vt:variant>
        <vt:lpwstr>_Toc306570598</vt:lpwstr>
      </vt:variant>
      <vt:variant>
        <vt:i4>1769527</vt:i4>
      </vt:variant>
      <vt:variant>
        <vt:i4>452</vt:i4>
      </vt:variant>
      <vt:variant>
        <vt:i4>0</vt:i4>
      </vt:variant>
      <vt:variant>
        <vt:i4>5</vt:i4>
      </vt:variant>
      <vt:variant>
        <vt:lpwstr/>
      </vt:variant>
      <vt:variant>
        <vt:lpwstr>_Toc306570597</vt:lpwstr>
      </vt:variant>
      <vt:variant>
        <vt:i4>1769527</vt:i4>
      </vt:variant>
      <vt:variant>
        <vt:i4>446</vt:i4>
      </vt:variant>
      <vt:variant>
        <vt:i4>0</vt:i4>
      </vt:variant>
      <vt:variant>
        <vt:i4>5</vt:i4>
      </vt:variant>
      <vt:variant>
        <vt:lpwstr/>
      </vt:variant>
      <vt:variant>
        <vt:lpwstr>_Toc306570596</vt:lpwstr>
      </vt:variant>
      <vt:variant>
        <vt:i4>1769527</vt:i4>
      </vt:variant>
      <vt:variant>
        <vt:i4>440</vt:i4>
      </vt:variant>
      <vt:variant>
        <vt:i4>0</vt:i4>
      </vt:variant>
      <vt:variant>
        <vt:i4>5</vt:i4>
      </vt:variant>
      <vt:variant>
        <vt:lpwstr/>
      </vt:variant>
      <vt:variant>
        <vt:lpwstr>_Toc306570595</vt:lpwstr>
      </vt:variant>
      <vt:variant>
        <vt:i4>1769527</vt:i4>
      </vt:variant>
      <vt:variant>
        <vt:i4>434</vt:i4>
      </vt:variant>
      <vt:variant>
        <vt:i4>0</vt:i4>
      </vt:variant>
      <vt:variant>
        <vt:i4>5</vt:i4>
      </vt:variant>
      <vt:variant>
        <vt:lpwstr/>
      </vt:variant>
      <vt:variant>
        <vt:lpwstr>_Toc306570594</vt:lpwstr>
      </vt:variant>
      <vt:variant>
        <vt:i4>1769527</vt:i4>
      </vt:variant>
      <vt:variant>
        <vt:i4>428</vt:i4>
      </vt:variant>
      <vt:variant>
        <vt:i4>0</vt:i4>
      </vt:variant>
      <vt:variant>
        <vt:i4>5</vt:i4>
      </vt:variant>
      <vt:variant>
        <vt:lpwstr/>
      </vt:variant>
      <vt:variant>
        <vt:lpwstr>_Toc306570593</vt:lpwstr>
      </vt:variant>
      <vt:variant>
        <vt:i4>1769527</vt:i4>
      </vt:variant>
      <vt:variant>
        <vt:i4>422</vt:i4>
      </vt:variant>
      <vt:variant>
        <vt:i4>0</vt:i4>
      </vt:variant>
      <vt:variant>
        <vt:i4>5</vt:i4>
      </vt:variant>
      <vt:variant>
        <vt:lpwstr/>
      </vt:variant>
      <vt:variant>
        <vt:lpwstr>_Toc306570592</vt:lpwstr>
      </vt:variant>
      <vt:variant>
        <vt:i4>1769527</vt:i4>
      </vt:variant>
      <vt:variant>
        <vt:i4>416</vt:i4>
      </vt:variant>
      <vt:variant>
        <vt:i4>0</vt:i4>
      </vt:variant>
      <vt:variant>
        <vt:i4>5</vt:i4>
      </vt:variant>
      <vt:variant>
        <vt:lpwstr/>
      </vt:variant>
      <vt:variant>
        <vt:lpwstr>_Toc306570591</vt:lpwstr>
      </vt:variant>
      <vt:variant>
        <vt:i4>1769527</vt:i4>
      </vt:variant>
      <vt:variant>
        <vt:i4>410</vt:i4>
      </vt:variant>
      <vt:variant>
        <vt:i4>0</vt:i4>
      </vt:variant>
      <vt:variant>
        <vt:i4>5</vt:i4>
      </vt:variant>
      <vt:variant>
        <vt:lpwstr/>
      </vt:variant>
      <vt:variant>
        <vt:lpwstr>_Toc306570590</vt:lpwstr>
      </vt:variant>
      <vt:variant>
        <vt:i4>1703991</vt:i4>
      </vt:variant>
      <vt:variant>
        <vt:i4>404</vt:i4>
      </vt:variant>
      <vt:variant>
        <vt:i4>0</vt:i4>
      </vt:variant>
      <vt:variant>
        <vt:i4>5</vt:i4>
      </vt:variant>
      <vt:variant>
        <vt:lpwstr/>
      </vt:variant>
      <vt:variant>
        <vt:lpwstr>_Toc306570589</vt:lpwstr>
      </vt:variant>
      <vt:variant>
        <vt:i4>1703991</vt:i4>
      </vt:variant>
      <vt:variant>
        <vt:i4>398</vt:i4>
      </vt:variant>
      <vt:variant>
        <vt:i4>0</vt:i4>
      </vt:variant>
      <vt:variant>
        <vt:i4>5</vt:i4>
      </vt:variant>
      <vt:variant>
        <vt:lpwstr/>
      </vt:variant>
      <vt:variant>
        <vt:lpwstr>_Toc306570588</vt:lpwstr>
      </vt:variant>
      <vt:variant>
        <vt:i4>1703991</vt:i4>
      </vt:variant>
      <vt:variant>
        <vt:i4>392</vt:i4>
      </vt:variant>
      <vt:variant>
        <vt:i4>0</vt:i4>
      </vt:variant>
      <vt:variant>
        <vt:i4>5</vt:i4>
      </vt:variant>
      <vt:variant>
        <vt:lpwstr/>
      </vt:variant>
      <vt:variant>
        <vt:lpwstr>_Toc306570587</vt:lpwstr>
      </vt:variant>
      <vt:variant>
        <vt:i4>1703991</vt:i4>
      </vt:variant>
      <vt:variant>
        <vt:i4>386</vt:i4>
      </vt:variant>
      <vt:variant>
        <vt:i4>0</vt:i4>
      </vt:variant>
      <vt:variant>
        <vt:i4>5</vt:i4>
      </vt:variant>
      <vt:variant>
        <vt:lpwstr/>
      </vt:variant>
      <vt:variant>
        <vt:lpwstr>_Toc306570586</vt:lpwstr>
      </vt:variant>
      <vt:variant>
        <vt:i4>1703991</vt:i4>
      </vt:variant>
      <vt:variant>
        <vt:i4>380</vt:i4>
      </vt:variant>
      <vt:variant>
        <vt:i4>0</vt:i4>
      </vt:variant>
      <vt:variant>
        <vt:i4>5</vt:i4>
      </vt:variant>
      <vt:variant>
        <vt:lpwstr/>
      </vt:variant>
      <vt:variant>
        <vt:lpwstr>_Toc306570585</vt:lpwstr>
      </vt:variant>
      <vt:variant>
        <vt:i4>1703991</vt:i4>
      </vt:variant>
      <vt:variant>
        <vt:i4>374</vt:i4>
      </vt:variant>
      <vt:variant>
        <vt:i4>0</vt:i4>
      </vt:variant>
      <vt:variant>
        <vt:i4>5</vt:i4>
      </vt:variant>
      <vt:variant>
        <vt:lpwstr/>
      </vt:variant>
      <vt:variant>
        <vt:lpwstr>_Toc306570584</vt:lpwstr>
      </vt:variant>
      <vt:variant>
        <vt:i4>1703991</vt:i4>
      </vt:variant>
      <vt:variant>
        <vt:i4>368</vt:i4>
      </vt:variant>
      <vt:variant>
        <vt:i4>0</vt:i4>
      </vt:variant>
      <vt:variant>
        <vt:i4>5</vt:i4>
      </vt:variant>
      <vt:variant>
        <vt:lpwstr/>
      </vt:variant>
      <vt:variant>
        <vt:lpwstr>_Toc306570583</vt:lpwstr>
      </vt:variant>
      <vt:variant>
        <vt:i4>1703991</vt:i4>
      </vt:variant>
      <vt:variant>
        <vt:i4>362</vt:i4>
      </vt:variant>
      <vt:variant>
        <vt:i4>0</vt:i4>
      </vt:variant>
      <vt:variant>
        <vt:i4>5</vt:i4>
      </vt:variant>
      <vt:variant>
        <vt:lpwstr/>
      </vt:variant>
      <vt:variant>
        <vt:lpwstr>_Toc306570582</vt:lpwstr>
      </vt:variant>
      <vt:variant>
        <vt:i4>1703991</vt:i4>
      </vt:variant>
      <vt:variant>
        <vt:i4>356</vt:i4>
      </vt:variant>
      <vt:variant>
        <vt:i4>0</vt:i4>
      </vt:variant>
      <vt:variant>
        <vt:i4>5</vt:i4>
      </vt:variant>
      <vt:variant>
        <vt:lpwstr/>
      </vt:variant>
      <vt:variant>
        <vt:lpwstr>_Toc306570581</vt:lpwstr>
      </vt:variant>
      <vt:variant>
        <vt:i4>1703991</vt:i4>
      </vt:variant>
      <vt:variant>
        <vt:i4>350</vt:i4>
      </vt:variant>
      <vt:variant>
        <vt:i4>0</vt:i4>
      </vt:variant>
      <vt:variant>
        <vt:i4>5</vt:i4>
      </vt:variant>
      <vt:variant>
        <vt:lpwstr/>
      </vt:variant>
      <vt:variant>
        <vt:lpwstr>_Toc306570580</vt:lpwstr>
      </vt:variant>
      <vt:variant>
        <vt:i4>1376311</vt:i4>
      </vt:variant>
      <vt:variant>
        <vt:i4>344</vt:i4>
      </vt:variant>
      <vt:variant>
        <vt:i4>0</vt:i4>
      </vt:variant>
      <vt:variant>
        <vt:i4>5</vt:i4>
      </vt:variant>
      <vt:variant>
        <vt:lpwstr/>
      </vt:variant>
      <vt:variant>
        <vt:lpwstr>_Toc306570579</vt:lpwstr>
      </vt:variant>
      <vt:variant>
        <vt:i4>1376311</vt:i4>
      </vt:variant>
      <vt:variant>
        <vt:i4>338</vt:i4>
      </vt:variant>
      <vt:variant>
        <vt:i4>0</vt:i4>
      </vt:variant>
      <vt:variant>
        <vt:i4>5</vt:i4>
      </vt:variant>
      <vt:variant>
        <vt:lpwstr/>
      </vt:variant>
      <vt:variant>
        <vt:lpwstr>_Toc306570578</vt:lpwstr>
      </vt:variant>
      <vt:variant>
        <vt:i4>1376311</vt:i4>
      </vt:variant>
      <vt:variant>
        <vt:i4>332</vt:i4>
      </vt:variant>
      <vt:variant>
        <vt:i4>0</vt:i4>
      </vt:variant>
      <vt:variant>
        <vt:i4>5</vt:i4>
      </vt:variant>
      <vt:variant>
        <vt:lpwstr/>
      </vt:variant>
      <vt:variant>
        <vt:lpwstr>_Toc306570577</vt:lpwstr>
      </vt:variant>
      <vt:variant>
        <vt:i4>1376311</vt:i4>
      </vt:variant>
      <vt:variant>
        <vt:i4>326</vt:i4>
      </vt:variant>
      <vt:variant>
        <vt:i4>0</vt:i4>
      </vt:variant>
      <vt:variant>
        <vt:i4>5</vt:i4>
      </vt:variant>
      <vt:variant>
        <vt:lpwstr/>
      </vt:variant>
      <vt:variant>
        <vt:lpwstr>_Toc306570576</vt:lpwstr>
      </vt:variant>
      <vt:variant>
        <vt:i4>1376311</vt:i4>
      </vt:variant>
      <vt:variant>
        <vt:i4>320</vt:i4>
      </vt:variant>
      <vt:variant>
        <vt:i4>0</vt:i4>
      </vt:variant>
      <vt:variant>
        <vt:i4>5</vt:i4>
      </vt:variant>
      <vt:variant>
        <vt:lpwstr/>
      </vt:variant>
      <vt:variant>
        <vt:lpwstr>_Toc306570575</vt:lpwstr>
      </vt:variant>
      <vt:variant>
        <vt:i4>1376311</vt:i4>
      </vt:variant>
      <vt:variant>
        <vt:i4>314</vt:i4>
      </vt:variant>
      <vt:variant>
        <vt:i4>0</vt:i4>
      </vt:variant>
      <vt:variant>
        <vt:i4>5</vt:i4>
      </vt:variant>
      <vt:variant>
        <vt:lpwstr/>
      </vt:variant>
      <vt:variant>
        <vt:lpwstr>_Toc306570574</vt:lpwstr>
      </vt:variant>
      <vt:variant>
        <vt:i4>1376311</vt:i4>
      </vt:variant>
      <vt:variant>
        <vt:i4>308</vt:i4>
      </vt:variant>
      <vt:variant>
        <vt:i4>0</vt:i4>
      </vt:variant>
      <vt:variant>
        <vt:i4>5</vt:i4>
      </vt:variant>
      <vt:variant>
        <vt:lpwstr/>
      </vt:variant>
      <vt:variant>
        <vt:lpwstr>_Toc306570573</vt:lpwstr>
      </vt:variant>
      <vt:variant>
        <vt:i4>1376311</vt:i4>
      </vt:variant>
      <vt:variant>
        <vt:i4>302</vt:i4>
      </vt:variant>
      <vt:variant>
        <vt:i4>0</vt:i4>
      </vt:variant>
      <vt:variant>
        <vt:i4>5</vt:i4>
      </vt:variant>
      <vt:variant>
        <vt:lpwstr/>
      </vt:variant>
      <vt:variant>
        <vt:lpwstr>_Toc306570572</vt:lpwstr>
      </vt:variant>
      <vt:variant>
        <vt:i4>1376311</vt:i4>
      </vt:variant>
      <vt:variant>
        <vt:i4>296</vt:i4>
      </vt:variant>
      <vt:variant>
        <vt:i4>0</vt:i4>
      </vt:variant>
      <vt:variant>
        <vt:i4>5</vt:i4>
      </vt:variant>
      <vt:variant>
        <vt:lpwstr/>
      </vt:variant>
      <vt:variant>
        <vt:lpwstr>_Toc306570571</vt:lpwstr>
      </vt:variant>
      <vt:variant>
        <vt:i4>1376311</vt:i4>
      </vt:variant>
      <vt:variant>
        <vt:i4>290</vt:i4>
      </vt:variant>
      <vt:variant>
        <vt:i4>0</vt:i4>
      </vt:variant>
      <vt:variant>
        <vt:i4>5</vt:i4>
      </vt:variant>
      <vt:variant>
        <vt:lpwstr/>
      </vt:variant>
      <vt:variant>
        <vt:lpwstr>_Toc306570570</vt:lpwstr>
      </vt:variant>
      <vt:variant>
        <vt:i4>1310775</vt:i4>
      </vt:variant>
      <vt:variant>
        <vt:i4>284</vt:i4>
      </vt:variant>
      <vt:variant>
        <vt:i4>0</vt:i4>
      </vt:variant>
      <vt:variant>
        <vt:i4>5</vt:i4>
      </vt:variant>
      <vt:variant>
        <vt:lpwstr/>
      </vt:variant>
      <vt:variant>
        <vt:lpwstr>_Toc306570569</vt:lpwstr>
      </vt:variant>
      <vt:variant>
        <vt:i4>1310775</vt:i4>
      </vt:variant>
      <vt:variant>
        <vt:i4>278</vt:i4>
      </vt:variant>
      <vt:variant>
        <vt:i4>0</vt:i4>
      </vt:variant>
      <vt:variant>
        <vt:i4>5</vt:i4>
      </vt:variant>
      <vt:variant>
        <vt:lpwstr/>
      </vt:variant>
      <vt:variant>
        <vt:lpwstr>_Toc306570568</vt:lpwstr>
      </vt:variant>
      <vt:variant>
        <vt:i4>1310775</vt:i4>
      </vt:variant>
      <vt:variant>
        <vt:i4>272</vt:i4>
      </vt:variant>
      <vt:variant>
        <vt:i4>0</vt:i4>
      </vt:variant>
      <vt:variant>
        <vt:i4>5</vt:i4>
      </vt:variant>
      <vt:variant>
        <vt:lpwstr/>
      </vt:variant>
      <vt:variant>
        <vt:lpwstr>_Toc306570567</vt:lpwstr>
      </vt:variant>
      <vt:variant>
        <vt:i4>1310775</vt:i4>
      </vt:variant>
      <vt:variant>
        <vt:i4>266</vt:i4>
      </vt:variant>
      <vt:variant>
        <vt:i4>0</vt:i4>
      </vt:variant>
      <vt:variant>
        <vt:i4>5</vt:i4>
      </vt:variant>
      <vt:variant>
        <vt:lpwstr/>
      </vt:variant>
      <vt:variant>
        <vt:lpwstr>_Toc306570566</vt:lpwstr>
      </vt:variant>
      <vt:variant>
        <vt:i4>1310775</vt:i4>
      </vt:variant>
      <vt:variant>
        <vt:i4>260</vt:i4>
      </vt:variant>
      <vt:variant>
        <vt:i4>0</vt:i4>
      </vt:variant>
      <vt:variant>
        <vt:i4>5</vt:i4>
      </vt:variant>
      <vt:variant>
        <vt:lpwstr/>
      </vt:variant>
      <vt:variant>
        <vt:lpwstr>_Toc306570565</vt:lpwstr>
      </vt:variant>
      <vt:variant>
        <vt:i4>1310775</vt:i4>
      </vt:variant>
      <vt:variant>
        <vt:i4>254</vt:i4>
      </vt:variant>
      <vt:variant>
        <vt:i4>0</vt:i4>
      </vt:variant>
      <vt:variant>
        <vt:i4>5</vt:i4>
      </vt:variant>
      <vt:variant>
        <vt:lpwstr/>
      </vt:variant>
      <vt:variant>
        <vt:lpwstr>_Toc306570564</vt:lpwstr>
      </vt:variant>
      <vt:variant>
        <vt:i4>1310775</vt:i4>
      </vt:variant>
      <vt:variant>
        <vt:i4>248</vt:i4>
      </vt:variant>
      <vt:variant>
        <vt:i4>0</vt:i4>
      </vt:variant>
      <vt:variant>
        <vt:i4>5</vt:i4>
      </vt:variant>
      <vt:variant>
        <vt:lpwstr/>
      </vt:variant>
      <vt:variant>
        <vt:lpwstr>_Toc306570563</vt:lpwstr>
      </vt:variant>
      <vt:variant>
        <vt:i4>1310775</vt:i4>
      </vt:variant>
      <vt:variant>
        <vt:i4>242</vt:i4>
      </vt:variant>
      <vt:variant>
        <vt:i4>0</vt:i4>
      </vt:variant>
      <vt:variant>
        <vt:i4>5</vt:i4>
      </vt:variant>
      <vt:variant>
        <vt:lpwstr/>
      </vt:variant>
      <vt:variant>
        <vt:lpwstr>_Toc306570562</vt:lpwstr>
      </vt:variant>
      <vt:variant>
        <vt:i4>1310775</vt:i4>
      </vt:variant>
      <vt:variant>
        <vt:i4>236</vt:i4>
      </vt:variant>
      <vt:variant>
        <vt:i4>0</vt:i4>
      </vt:variant>
      <vt:variant>
        <vt:i4>5</vt:i4>
      </vt:variant>
      <vt:variant>
        <vt:lpwstr/>
      </vt:variant>
      <vt:variant>
        <vt:lpwstr>_Toc306570561</vt:lpwstr>
      </vt:variant>
      <vt:variant>
        <vt:i4>1310775</vt:i4>
      </vt:variant>
      <vt:variant>
        <vt:i4>230</vt:i4>
      </vt:variant>
      <vt:variant>
        <vt:i4>0</vt:i4>
      </vt:variant>
      <vt:variant>
        <vt:i4>5</vt:i4>
      </vt:variant>
      <vt:variant>
        <vt:lpwstr/>
      </vt:variant>
      <vt:variant>
        <vt:lpwstr>_Toc306570560</vt:lpwstr>
      </vt:variant>
      <vt:variant>
        <vt:i4>1507383</vt:i4>
      </vt:variant>
      <vt:variant>
        <vt:i4>224</vt:i4>
      </vt:variant>
      <vt:variant>
        <vt:i4>0</vt:i4>
      </vt:variant>
      <vt:variant>
        <vt:i4>5</vt:i4>
      </vt:variant>
      <vt:variant>
        <vt:lpwstr/>
      </vt:variant>
      <vt:variant>
        <vt:lpwstr>_Toc306570559</vt:lpwstr>
      </vt:variant>
      <vt:variant>
        <vt:i4>1507383</vt:i4>
      </vt:variant>
      <vt:variant>
        <vt:i4>218</vt:i4>
      </vt:variant>
      <vt:variant>
        <vt:i4>0</vt:i4>
      </vt:variant>
      <vt:variant>
        <vt:i4>5</vt:i4>
      </vt:variant>
      <vt:variant>
        <vt:lpwstr/>
      </vt:variant>
      <vt:variant>
        <vt:lpwstr>_Toc306570558</vt:lpwstr>
      </vt:variant>
      <vt:variant>
        <vt:i4>1507383</vt:i4>
      </vt:variant>
      <vt:variant>
        <vt:i4>212</vt:i4>
      </vt:variant>
      <vt:variant>
        <vt:i4>0</vt:i4>
      </vt:variant>
      <vt:variant>
        <vt:i4>5</vt:i4>
      </vt:variant>
      <vt:variant>
        <vt:lpwstr/>
      </vt:variant>
      <vt:variant>
        <vt:lpwstr>_Toc306570557</vt:lpwstr>
      </vt:variant>
      <vt:variant>
        <vt:i4>1507383</vt:i4>
      </vt:variant>
      <vt:variant>
        <vt:i4>206</vt:i4>
      </vt:variant>
      <vt:variant>
        <vt:i4>0</vt:i4>
      </vt:variant>
      <vt:variant>
        <vt:i4>5</vt:i4>
      </vt:variant>
      <vt:variant>
        <vt:lpwstr/>
      </vt:variant>
      <vt:variant>
        <vt:lpwstr>_Toc306570556</vt:lpwstr>
      </vt:variant>
      <vt:variant>
        <vt:i4>1507383</vt:i4>
      </vt:variant>
      <vt:variant>
        <vt:i4>200</vt:i4>
      </vt:variant>
      <vt:variant>
        <vt:i4>0</vt:i4>
      </vt:variant>
      <vt:variant>
        <vt:i4>5</vt:i4>
      </vt:variant>
      <vt:variant>
        <vt:lpwstr/>
      </vt:variant>
      <vt:variant>
        <vt:lpwstr>_Toc306570555</vt:lpwstr>
      </vt:variant>
      <vt:variant>
        <vt:i4>1507383</vt:i4>
      </vt:variant>
      <vt:variant>
        <vt:i4>194</vt:i4>
      </vt:variant>
      <vt:variant>
        <vt:i4>0</vt:i4>
      </vt:variant>
      <vt:variant>
        <vt:i4>5</vt:i4>
      </vt:variant>
      <vt:variant>
        <vt:lpwstr/>
      </vt:variant>
      <vt:variant>
        <vt:lpwstr>_Toc306570554</vt:lpwstr>
      </vt:variant>
      <vt:variant>
        <vt:i4>1507383</vt:i4>
      </vt:variant>
      <vt:variant>
        <vt:i4>188</vt:i4>
      </vt:variant>
      <vt:variant>
        <vt:i4>0</vt:i4>
      </vt:variant>
      <vt:variant>
        <vt:i4>5</vt:i4>
      </vt:variant>
      <vt:variant>
        <vt:lpwstr/>
      </vt:variant>
      <vt:variant>
        <vt:lpwstr>_Toc306570553</vt:lpwstr>
      </vt:variant>
      <vt:variant>
        <vt:i4>1507383</vt:i4>
      </vt:variant>
      <vt:variant>
        <vt:i4>182</vt:i4>
      </vt:variant>
      <vt:variant>
        <vt:i4>0</vt:i4>
      </vt:variant>
      <vt:variant>
        <vt:i4>5</vt:i4>
      </vt:variant>
      <vt:variant>
        <vt:lpwstr/>
      </vt:variant>
      <vt:variant>
        <vt:lpwstr>_Toc306570552</vt:lpwstr>
      </vt:variant>
      <vt:variant>
        <vt:i4>1507383</vt:i4>
      </vt:variant>
      <vt:variant>
        <vt:i4>176</vt:i4>
      </vt:variant>
      <vt:variant>
        <vt:i4>0</vt:i4>
      </vt:variant>
      <vt:variant>
        <vt:i4>5</vt:i4>
      </vt:variant>
      <vt:variant>
        <vt:lpwstr/>
      </vt:variant>
      <vt:variant>
        <vt:lpwstr>_Toc306570551</vt:lpwstr>
      </vt:variant>
      <vt:variant>
        <vt:i4>1507383</vt:i4>
      </vt:variant>
      <vt:variant>
        <vt:i4>170</vt:i4>
      </vt:variant>
      <vt:variant>
        <vt:i4>0</vt:i4>
      </vt:variant>
      <vt:variant>
        <vt:i4>5</vt:i4>
      </vt:variant>
      <vt:variant>
        <vt:lpwstr/>
      </vt:variant>
      <vt:variant>
        <vt:lpwstr>_Toc306570550</vt:lpwstr>
      </vt:variant>
      <vt:variant>
        <vt:i4>1441847</vt:i4>
      </vt:variant>
      <vt:variant>
        <vt:i4>164</vt:i4>
      </vt:variant>
      <vt:variant>
        <vt:i4>0</vt:i4>
      </vt:variant>
      <vt:variant>
        <vt:i4>5</vt:i4>
      </vt:variant>
      <vt:variant>
        <vt:lpwstr/>
      </vt:variant>
      <vt:variant>
        <vt:lpwstr>_Toc306570549</vt:lpwstr>
      </vt:variant>
      <vt:variant>
        <vt:i4>1441847</vt:i4>
      </vt:variant>
      <vt:variant>
        <vt:i4>158</vt:i4>
      </vt:variant>
      <vt:variant>
        <vt:i4>0</vt:i4>
      </vt:variant>
      <vt:variant>
        <vt:i4>5</vt:i4>
      </vt:variant>
      <vt:variant>
        <vt:lpwstr/>
      </vt:variant>
      <vt:variant>
        <vt:lpwstr>_Toc306570548</vt:lpwstr>
      </vt:variant>
      <vt:variant>
        <vt:i4>1441847</vt:i4>
      </vt:variant>
      <vt:variant>
        <vt:i4>152</vt:i4>
      </vt:variant>
      <vt:variant>
        <vt:i4>0</vt:i4>
      </vt:variant>
      <vt:variant>
        <vt:i4>5</vt:i4>
      </vt:variant>
      <vt:variant>
        <vt:lpwstr/>
      </vt:variant>
      <vt:variant>
        <vt:lpwstr>_Toc306570547</vt:lpwstr>
      </vt:variant>
      <vt:variant>
        <vt:i4>1441847</vt:i4>
      </vt:variant>
      <vt:variant>
        <vt:i4>146</vt:i4>
      </vt:variant>
      <vt:variant>
        <vt:i4>0</vt:i4>
      </vt:variant>
      <vt:variant>
        <vt:i4>5</vt:i4>
      </vt:variant>
      <vt:variant>
        <vt:lpwstr/>
      </vt:variant>
      <vt:variant>
        <vt:lpwstr>_Toc306570546</vt:lpwstr>
      </vt:variant>
      <vt:variant>
        <vt:i4>1441847</vt:i4>
      </vt:variant>
      <vt:variant>
        <vt:i4>140</vt:i4>
      </vt:variant>
      <vt:variant>
        <vt:i4>0</vt:i4>
      </vt:variant>
      <vt:variant>
        <vt:i4>5</vt:i4>
      </vt:variant>
      <vt:variant>
        <vt:lpwstr/>
      </vt:variant>
      <vt:variant>
        <vt:lpwstr>_Toc306570545</vt:lpwstr>
      </vt:variant>
      <vt:variant>
        <vt:i4>1441847</vt:i4>
      </vt:variant>
      <vt:variant>
        <vt:i4>134</vt:i4>
      </vt:variant>
      <vt:variant>
        <vt:i4>0</vt:i4>
      </vt:variant>
      <vt:variant>
        <vt:i4>5</vt:i4>
      </vt:variant>
      <vt:variant>
        <vt:lpwstr/>
      </vt:variant>
      <vt:variant>
        <vt:lpwstr>_Toc306570544</vt:lpwstr>
      </vt:variant>
      <vt:variant>
        <vt:i4>1441847</vt:i4>
      </vt:variant>
      <vt:variant>
        <vt:i4>128</vt:i4>
      </vt:variant>
      <vt:variant>
        <vt:i4>0</vt:i4>
      </vt:variant>
      <vt:variant>
        <vt:i4>5</vt:i4>
      </vt:variant>
      <vt:variant>
        <vt:lpwstr/>
      </vt:variant>
      <vt:variant>
        <vt:lpwstr>_Toc306570543</vt:lpwstr>
      </vt:variant>
      <vt:variant>
        <vt:i4>1441847</vt:i4>
      </vt:variant>
      <vt:variant>
        <vt:i4>122</vt:i4>
      </vt:variant>
      <vt:variant>
        <vt:i4>0</vt:i4>
      </vt:variant>
      <vt:variant>
        <vt:i4>5</vt:i4>
      </vt:variant>
      <vt:variant>
        <vt:lpwstr/>
      </vt:variant>
      <vt:variant>
        <vt:lpwstr>_Toc306570542</vt:lpwstr>
      </vt:variant>
      <vt:variant>
        <vt:i4>1441847</vt:i4>
      </vt:variant>
      <vt:variant>
        <vt:i4>116</vt:i4>
      </vt:variant>
      <vt:variant>
        <vt:i4>0</vt:i4>
      </vt:variant>
      <vt:variant>
        <vt:i4>5</vt:i4>
      </vt:variant>
      <vt:variant>
        <vt:lpwstr/>
      </vt:variant>
      <vt:variant>
        <vt:lpwstr>_Toc306570541</vt:lpwstr>
      </vt:variant>
      <vt:variant>
        <vt:i4>1441847</vt:i4>
      </vt:variant>
      <vt:variant>
        <vt:i4>110</vt:i4>
      </vt:variant>
      <vt:variant>
        <vt:i4>0</vt:i4>
      </vt:variant>
      <vt:variant>
        <vt:i4>5</vt:i4>
      </vt:variant>
      <vt:variant>
        <vt:lpwstr/>
      </vt:variant>
      <vt:variant>
        <vt:lpwstr>_Toc306570540</vt:lpwstr>
      </vt:variant>
      <vt:variant>
        <vt:i4>1114167</vt:i4>
      </vt:variant>
      <vt:variant>
        <vt:i4>104</vt:i4>
      </vt:variant>
      <vt:variant>
        <vt:i4>0</vt:i4>
      </vt:variant>
      <vt:variant>
        <vt:i4>5</vt:i4>
      </vt:variant>
      <vt:variant>
        <vt:lpwstr/>
      </vt:variant>
      <vt:variant>
        <vt:lpwstr>_Toc306570539</vt:lpwstr>
      </vt:variant>
      <vt:variant>
        <vt:i4>1114167</vt:i4>
      </vt:variant>
      <vt:variant>
        <vt:i4>98</vt:i4>
      </vt:variant>
      <vt:variant>
        <vt:i4>0</vt:i4>
      </vt:variant>
      <vt:variant>
        <vt:i4>5</vt:i4>
      </vt:variant>
      <vt:variant>
        <vt:lpwstr/>
      </vt:variant>
      <vt:variant>
        <vt:lpwstr>_Toc306570538</vt:lpwstr>
      </vt:variant>
      <vt:variant>
        <vt:i4>1114167</vt:i4>
      </vt:variant>
      <vt:variant>
        <vt:i4>92</vt:i4>
      </vt:variant>
      <vt:variant>
        <vt:i4>0</vt:i4>
      </vt:variant>
      <vt:variant>
        <vt:i4>5</vt:i4>
      </vt:variant>
      <vt:variant>
        <vt:lpwstr/>
      </vt:variant>
      <vt:variant>
        <vt:lpwstr>_Toc306570537</vt:lpwstr>
      </vt:variant>
      <vt:variant>
        <vt:i4>1114167</vt:i4>
      </vt:variant>
      <vt:variant>
        <vt:i4>86</vt:i4>
      </vt:variant>
      <vt:variant>
        <vt:i4>0</vt:i4>
      </vt:variant>
      <vt:variant>
        <vt:i4>5</vt:i4>
      </vt:variant>
      <vt:variant>
        <vt:lpwstr/>
      </vt:variant>
      <vt:variant>
        <vt:lpwstr>_Toc306570536</vt:lpwstr>
      </vt:variant>
      <vt:variant>
        <vt:i4>1114167</vt:i4>
      </vt:variant>
      <vt:variant>
        <vt:i4>80</vt:i4>
      </vt:variant>
      <vt:variant>
        <vt:i4>0</vt:i4>
      </vt:variant>
      <vt:variant>
        <vt:i4>5</vt:i4>
      </vt:variant>
      <vt:variant>
        <vt:lpwstr/>
      </vt:variant>
      <vt:variant>
        <vt:lpwstr>_Toc306570535</vt:lpwstr>
      </vt:variant>
      <vt:variant>
        <vt:i4>1114167</vt:i4>
      </vt:variant>
      <vt:variant>
        <vt:i4>74</vt:i4>
      </vt:variant>
      <vt:variant>
        <vt:i4>0</vt:i4>
      </vt:variant>
      <vt:variant>
        <vt:i4>5</vt:i4>
      </vt:variant>
      <vt:variant>
        <vt:lpwstr/>
      </vt:variant>
      <vt:variant>
        <vt:lpwstr>_Toc306570534</vt:lpwstr>
      </vt:variant>
      <vt:variant>
        <vt:i4>1114167</vt:i4>
      </vt:variant>
      <vt:variant>
        <vt:i4>68</vt:i4>
      </vt:variant>
      <vt:variant>
        <vt:i4>0</vt:i4>
      </vt:variant>
      <vt:variant>
        <vt:i4>5</vt:i4>
      </vt:variant>
      <vt:variant>
        <vt:lpwstr/>
      </vt:variant>
      <vt:variant>
        <vt:lpwstr>_Toc306570533</vt:lpwstr>
      </vt:variant>
      <vt:variant>
        <vt:i4>1114167</vt:i4>
      </vt:variant>
      <vt:variant>
        <vt:i4>62</vt:i4>
      </vt:variant>
      <vt:variant>
        <vt:i4>0</vt:i4>
      </vt:variant>
      <vt:variant>
        <vt:i4>5</vt:i4>
      </vt:variant>
      <vt:variant>
        <vt:lpwstr/>
      </vt:variant>
      <vt:variant>
        <vt:lpwstr>_Toc306570532</vt:lpwstr>
      </vt:variant>
      <vt:variant>
        <vt:i4>1114167</vt:i4>
      </vt:variant>
      <vt:variant>
        <vt:i4>56</vt:i4>
      </vt:variant>
      <vt:variant>
        <vt:i4>0</vt:i4>
      </vt:variant>
      <vt:variant>
        <vt:i4>5</vt:i4>
      </vt:variant>
      <vt:variant>
        <vt:lpwstr/>
      </vt:variant>
      <vt:variant>
        <vt:lpwstr>_Toc306570531</vt:lpwstr>
      </vt:variant>
      <vt:variant>
        <vt:i4>1114167</vt:i4>
      </vt:variant>
      <vt:variant>
        <vt:i4>50</vt:i4>
      </vt:variant>
      <vt:variant>
        <vt:i4>0</vt:i4>
      </vt:variant>
      <vt:variant>
        <vt:i4>5</vt:i4>
      </vt:variant>
      <vt:variant>
        <vt:lpwstr/>
      </vt:variant>
      <vt:variant>
        <vt:lpwstr>_Toc306570530</vt:lpwstr>
      </vt:variant>
      <vt:variant>
        <vt:i4>1048631</vt:i4>
      </vt:variant>
      <vt:variant>
        <vt:i4>44</vt:i4>
      </vt:variant>
      <vt:variant>
        <vt:i4>0</vt:i4>
      </vt:variant>
      <vt:variant>
        <vt:i4>5</vt:i4>
      </vt:variant>
      <vt:variant>
        <vt:lpwstr/>
      </vt:variant>
      <vt:variant>
        <vt:lpwstr>_Toc306570529</vt:lpwstr>
      </vt:variant>
      <vt:variant>
        <vt:i4>1048631</vt:i4>
      </vt:variant>
      <vt:variant>
        <vt:i4>38</vt:i4>
      </vt:variant>
      <vt:variant>
        <vt:i4>0</vt:i4>
      </vt:variant>
      <vt:variant>
        <vt:i4>5</vt:i4>
      </vt:variant>
      <vt:variant>
        <vt:lpwstr/>
      </vt:variant>
      <vt:variant>
        <vt:lpwstr>_Toc306570528</vt:lpwstr>
      </vt:variant>
      <vt:variant>
        <vt:i4>1048631</vt:i4>
      </vt:variant>
      <vt:variant>
        <vt:i4>32</vt:i4>
      </vt:variant>
      <vt:variant>
        <vt:i4>0</vt:i4>
      </vt:variant>
      <vt:variant>
        <vt:i4>5</vt:i4>
      </vt:variant>
      <vt:variant>
        <vt:lpwstr/>
      </vt:variant>
      <vt:variant>
        <vt:lpwstr>_Toc306570527</vt:lpwstr>
      </vt:variant>
      <vt:variant>
        <vt:i4>1048631</vt:i4>
      </vt:variant>
      <vt:variant>
        <vt:i4>26</vt:i4>
      </vt:variant>
      <vt:variant>
        <vt:i4>0</vt:i4>
      </vt:variant>
      <vt:variant>
        <vt:i4>5</vt:i4>
      </vt:variant>
      <vt:variant>
        <vt:lpwstr/>
      </vt:variant>
      <vt:variant>
        <vt:lpwstr>_Toc306570526</vt:lpwstr>
      </vt:variant>
      <vt:variant>
        <vt:i4>1048631</vt:i4>
      </vt:variant>
      <vt:variant>
        <vt:i4>20</vt:i4>
      </vt:variant>
      <vt:variant>
        <vt:i4>0</vt:i4>
      </vt:variant>
      <vt:variant>
        <vt:i4>5</vt:i4>
      </vt:variant>
      <vt:variant>
        <vt:lpwstr/>
      </vt:variant>
      <vt:variant>
        <vt:lpwstr>_Toc306570525</vt:lpwstr>
      </vt:variant>
      <vt:variant>
        <vt:i4>1048631</vt:i4>
      </vt:variant>
      <vt:variant>
        <vt:i4>14</vt:i4>
      </vt:variant>
      <vt:variant>
        <vt:i4>0</vt:i4>
      </vt:variant>
      <vt:variant>
        <vt:i4>5</vt:i4>
      </vt:variant>
      <vt:variant>
        <vt:lpwstr/>
      </vt:variant>
      <vt:variant>
        <vt:lpwstr>_Toc306570524</vt:lpwstr>
      </vt:variant>
      <vt:variant>
        <vt:i4>1048631</vt:i4>
      </vt:variant>
      <vt:variant>
        <vt:i4>8</vt:i4>
      </vt:variant>
      <vt:variant>
        <vt:i4>0</vt:i4>
      </vt:variant>
      <vt:variant>
        <vt:i4>5</vt:i4>
      </vt:variant>
      <vt:variant>
        <vt:lpwstr/>
      </vt:variant>
      <vt:variant>
        <vt:lpwstr>_Toc306570523</vt:lpwstr>
      </vt:variant>
      <vt:variant>
        <vt:i4>1048631</vt:i4>
      </vt:variant>
      <vt:variant>
        <vt:i4>2</vt:i4>
      </vt:variant>
      <vt:variant>
        <vt:i4>0</vt:i4>
      </vt:variant>
      <vt:variant>
        <vt:i4>5</vt:i4>
      </vt:variant>
      <vt:variant>
        <vt:lpwstr/>
      </vt:variant>
      <vt:variant>
        <vt:lpwstr>_Toc306570522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Raj</dc:creator>
  <cp:lastModifiedBy>Raj</cp:lastModifiedBy>
  <cp:revision>3</cp:revision>
  <cp:lastPrinted>2011-12-21T20:53:00Z</cp:lastPrinted>
  <dcterms:created xsi:type="dcterms:W3CDTF">2011-12-21T21:25:00Z</dcterms:created>
  <dcterms:modified xsi:type="dcterms:W3CDTF">2011-12-22T15:46:00Z</dcterms:modified>
</cp:coreProperties>
</file>